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right="360"/>
        <w:jc w:val="center"/>
        <w:rPr>
          <w:rFonts w:ascii="Arial" w:hAnsi="Arial" w:eastAsia="Arial" w:cs="Arial"/>
          <w:b/>
          <w:sz w:val="24"/>
        </w:rPr>
      </w:pPr>
      <w:bookmarkStart w:id="0" w:name="page1"/>
      <w:bookmarkEnd w:id="0"/>
      <w:r>
        <w:rPr>
          <w:rFonts w:eastAsia="Arial" w:cs="Arial" w:ascii="Arial" w:hAnsi="Arial"/>
          <w:b/>
          <w:sz w:val="24"/>
        </w:rPr>
        <w:t>DRAFT AGREEMENT FOR SALE</w:t>
      </w:r>
    </w:p>
    <w:p>
      <w:pPr>
        <w:pStyle w:val="Normal"/>
        <w:spacing w:lineRule="atLeast" w:line="0"/>
        <w:ind w:left="900" w:right="0"/>
        <w:rPr/>
      </w:pPr>
      <w:r>
        <w:rPr>
          <w:rFonts w:eastAsia="Arial" w:cs="Arial" w:ascii="Arial" w:hAnsi="Arial"/>
          <w:sz w:val="22"/>
        </w:rPr>
        <w:t>by reference to the Standard Commercial Property Conditions (2</w:t>
      </w:r>
      <w:r>
        <w:rPr>
          <w:rFonts w:eastAsia="Arial" w:cs="Arial" w:ascii="Arial" w:hAnsi="Arial"/>
          <w:sz w:val="28"/>
          <w:vertAlign w:val="superscript"/>
        </w:rPr>
        <w:t>nd</w:t>
      </w:r>
      <w:r>
        <w:rPr>
          <w:rFonts w:eastAsia="Arial" w:cs="Arial" w:ascii="Arial" w:hAnsi="Arial"/>
          <w:sz w:val="22"/>
        </w:rPr>
        <w:t xml:space="preserve"> Edition)</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b/>
          <w:sz w:val="22"/>
        </w:rPr>
      </w:pPr>
      <w:r>
        <w:rPr>
          <w:rFonts w:eastAsia="Arial" w:cs="Arial" w:ascii="Arial" w:hAnsi="Arial"/>
          <w:b/>
          <w:sz w:val="22"/>
        </w:rPr>
        <w:t>PARTICULARS</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tbl>
      <w:tblPr>
        <w:tblW w:w="9020" w:type="dxa"/>
        <w:jc w:val="left"/>
        <w:tblInd w:w="360" w:type="dxa"/>
        <w:tblLayout w:type="fixed"/>
        <w:tblCellMar>
          <w:top w:w="0" w:type="dxa"/>
          <w:left w:w="0" w:type="dxa"/>
          <w:bottom w:w="0" w:type="dxa"/>
          <w:right w:w="0" w:type="dxa"/>
        </w:tblCellMar>
      </w:tblPr>
      <w:tblGrid>
        <w:gridCol w:w="460"/>
        <w:gridCol w:w="760"/>
        <w:gridCol w:w="1660"/>
        <w:gridCol w:w="6140"/>
      </w:tblGrid>
      <w:tr>
        <w:trPr>
          <w:trHeight w:val="253" w:hRule="atLeast"/>
        </w:trPr>
        <w:tc>
          <w:tcPr>
            <w:tcW w:w="460" w:type="dxa"/>
            <w:tcBorders/>
          </w:tcPr>
          <w:p>
            <w:pPr>
              <w:pStyle w:val="Normal"/>
              <w:spacing w:lineRule="atLeast" w:line="0"/>
              <w:ind w:right="170"/>
              <w:jc w:val="right"/>
              <w:rPr>
                <w:rFonts w:ascii="Arial" w:hAnsi="Arial" w:eastAsia="Arial" w:cs="Arial"/>
                <w:w w:val="86"/>
                <w:sz w:val="22"/>
              </w:rPr>
            </w:pPr>
            <w:r>
              <w:rPr>
                <w:rFonts w:eastAsia="Arial" w:cs="Arial" w:ascii="Arial" w:hAnsi="Arial"/>
                <w:w w:val="86"/>
                <w:sz w:val="22"/>
              </w:rPr>
              <w:t>1.</w:t>
            </w:r>
          </w:p>
        </w:tc>
        <w:tc>
          <w:tcPr>
            <w:tcW w:w="760" w:type="dxa"/>
            <w:tcBorders/>
          </w:tcPr>
          <w:p>
            <w:pPr>
              <w:pStyle w:val="Normal"/>
              <w:spacing w:lineRule="atLeast" w:line="0"/>
              <w:ind w:left="280" w:right="0"/>
              <w:rPr>
                <w:rFonts w:ascii="Arial" w:hAnsi="Arial" w:eastAsia="Arial" w:cs="Arial"/>
                <w:sz w:val="22"/>
              </w:rPr>
            </w:pPr>
            <w:r>
              <w:rPr>
                <w:rFonts w:eastAsia="Arial" w:cs="Arial" w:ascii="Arial" w:hAnsi="Arial"/>
                <w:sz w:val="22"/>
              </w:rPr>
              <w:t>(i)</w:t>
            </w:r>
          </w:p>
        </w:tc>
        <w:tc>
          <w:tcPr>
            <w:tcW w:w="1660" w:type="dxa"/>
            <w:tcBorders/>
          </w:tcPr>
          <w:p>
            <w:pPr>
              <w:pStyle w:val="Normal"/>
              <w:spacing w:lineRule="atLeast" w:line="0"/>
              <w:ind w:left="240" w:right="0"/>
              <w:rPr>
                <w:rFonts w:ascii="Arial" w:hAnsi="Arial" w:eastAsia="Arial" w:cs="Arial"/>
                <w:sz w:val="22"/>
              </w:rPr>
            </w:pPr>
            <w:r>
              <w:rPr>
                <w:rFonts w:eastAsia="Arial" w:cs="Arial" w:ascii="Arial" w:hAnsi="Arial"/>
                <w:sz w:val="22"/>
              </w:rPr>
              <w:t>Vendor</w:t>
            </w:r>
          </w:p>
        </w:tc>
        <w:tc>
          <w:tcPr>
            <w:tcW w:w="6140" w:type="dxa"/>
            <w:tcBorders/>
          </w:tcPr>
          <w:p>
            <w:pPr>
              <w:pStyle w:val="Normal"/>
              <w:spacing w:lineRule="atLeast" w:line="0"/>
              <w:ind w:left="720" w:right="0"/>
              <w:rPr>
                <w:rFonts w:ascii="Arial" w:hAnsi="Arial" w:eastAsia="Arial" w:cs="Arial"/>
                <w:b/>
                <w:sz w:val="22"/>
              </w:rPr>
            </w:pPr>
            <w:r>
              <w:rPr>
                <w:rFonts w:eastAsia="Arial" w:cs="Arial" w:ascii="Arial" w:hAnsi="Arial"/>
                <w:b/>
                <w:sz w:val="22"/>
              </w:rPr>
              <w:t>THE MAYOR AND BURGESSES OF THE LONDON</w:t>
            </w:r>
          </w:p>
        </w:tc>
      </w:tr>
      <w:tr>
        <w:trPr>
          <w:trHeight w:val="253" w:hRule="atLeast"/>
        </w:trPr>
        <w:tc>
          <w:tcPr>
            <w:tcW w:w="46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7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140" w:type="dxa"/>
            <w:tcBorders/>
          </w:tcPr>
          <w:p>
            <w:pPr>
              <w:pStyle w:val="Normal"/>
              <w:spacing w:lineRule="atLeast" w:line="0"/>
              <w:ind w:left="720" w:right="0"/>
              <w:rPr/>
            </w:pPr>
            <w:r>
              <w:rPr>
                <w:rFonts w:eastAsia="Arial" w:cs="Arial" w:ascii="Arial" w:hAnsi="Arial"/>
                <w:b/>
                <w:sz w:val="22"/>
              </w:rPr>
              <w:t>BOROUGH OF HARINGEY</w:t>
            </w:r>
            <w:r>
              <w:rPr>
                <w:rFonts w:eastAsia="Arial" w:cs="Arial" w:ascii="Arial" w:hAnsi="Arial"/>
                <w:sz w:val="22"/>
              </w:rPr>
              <w:t xml:space="preserve"> of the Civic Centre, Wood</w:t>
            </w:r>
          </w:p>
        </w:tc>
      </w:tr>
      <w:tr>
        <w:trPr>
          <w:trHeight w:val="291" w:hRule="atLeast"/>
        </w:trPr>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40" w:type="dxa"/>
            <w:tcBorders/>
          </w:tcPr>
          <w:p>
            <w:pPr>
              <w:pStyle w:val="Normal"/>
              <w:spacing w:lineRule="atLeast" w:line="0"/>
              <w:ind w:left="720" w:right="0"/>
              <w:rPr>
                <w:rFonts w:ascii="Arial" w:hAnsi="Arial" w:eastAsia="Arial" w:cs="Arial"/>
                <w:sz w:val="22"/>
              </w:rPr>
            </w:pPr>
            <w:r>
              <w:rPr>
                <w:rFonts w:eastAsia="Arial" w:cs="Arial" w:ascii="Arial" w:hAnsi="Arial"/>
                <w:sz w:val="22"/>
              </w:rPr>
              <w:t>Green, N22 8LE acting by its Principal Lawyer</w:t>
            </w:r>
          </w:p>
        </w:tc>
      </w:tr>
      <w:tr>
        <w:trPr>
          <w:trHeight w:val="506" w:hRule="atLeast"/>
        </w:trPr>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pacing w:lineRule="atLeast" w:line="0"/>
              <w:ind w:left="280" w:right="0"/>
              <w:rPr>
                <w:rFonts w:ascii="Arial" w:hAnsi="Arial" w:eastAsia="Arial" w:cs="Arial"/>
                <w:sz w:val="22"/>
              </w:rPr>
            </w:pPr>
            <w:r>
              <w:rPr>
                <w:rFonts w:eastAsia="Arial" w:cs="Arial" w:ascii="Arial" w:hAnsi="Arial"/>
                <w:sz w:val="22"/>
              </w:rPr>
              <w:t>(ii)</w:t>
            </w:r>
          </w:p>
        </w:tc>
        <w:tc>
          <w:tcPr>
            <w:tcW w:w="1660" w:type="dxa"/>
            <w:tcBorders/>
          </w:tcPr>
          <w:p>
            <w:pPr>
              <w:pStyle w:val="Normal"/>
              <w:spacing w:lineRule="atLeast" w:line="0"/>
              <w:ind w:left="240" w:right="0"/>
              <w:rPr>
                <w:rFonts w:ascii="Arial" w:hAnsi="Arial" w:eastAsia="Arial" w:cs="Arial"/>
                <w:sz w:val="22"/>
              </w:rPr>
            </w:pPr>
            <w:r>
              <w:rPr>
                <w:rFonts w:eastAsia="Arial" w:cs="Arial" w:ascii="Arial" w:hAnsi="Arial"/>
                <w:sz w:val="22"/>
              </w:rPr>
              <w:t>Selling</w:t>
            </w:r>
          </w:p>
        </w:tc>
        <w:tc>
          <w:tcPr>
            <w:tcW w:w="6140" w:type="dxa"/>
            <w:tcBorders/>
          </w:tcPr>
          <w:p>
            <w:pPr>
              <w:pStyle w:val="Normal"/>
              <w:spacing w:lineRule="atLeast" w:line="0"/>
              <w:ind w:left="720" w:right="0"/>
              <w:rPr>
                <w:rFonts w:ascii="Arial" w:hAnsi="Arial" w:eastAsia="Arial" w:cs="Arial"/>
                <w:sz w:val="22"/>
              </w:rPr>
            </w:pPr>
            <w:r>
              <w:rPr>
                <w:rFonts w:eastAsia="Arial" w:cs="Arial" w:ascii="Arial" w:hAnsi="Arial"/>
                <w:sz w:val="22"/>
              </w:rPr>
              <w:t>Full Title Guarantee</w:t>
            </w:r>
          </w:p>
        </w:tc>
      </w:tr>
    </w:tbl>
    <w:p>
      <w:pPr>
        <w:pStyle w:val="Normal"/>
        <w:spacing w:lineRule="exact" w:line="2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100" w:leader="none"/>
        </w:tabs>
        <w:spacing w:lineRule="atLeast" w:line="0"/>
        <w:ind w:hanging="740" w:left="1100" w:right="0"/>
        <w:rPr>
          <w:rFonts w:ascii="Arial" w:hAnsi="Arial" w:eastAsia="Arial" w:cs="Arial"/>
          <w:sz w:val="22"/>
        </w:rPr>
      </w:pPr>
      <w:r>
        <w:rPr>
          <w:rFonts w:eastAsia="Arial" w:cs="Arial" w:ascii="Arial" w:hAnsi="Arial"/>
          <w:sz w:val="22"/>
        </w:rPr>
        <w:t>Purchaser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tbl>
      <w:tblPr>
        <w:tblW w:w="9020" w:type="dxa"/>
        <w:jc w:val="left"/>
        <w:tblInd w:w="360" w:type="dxa"/>
        <w:tblLayout w:type="fixed"/>
        <w:tblCellMar>
          <w:top w:w="0" w:type="dxa"/>
          <w:left w:w="0" w:type="dxa"/>
          <w:bottom w:w="0" w:type="dxa"/>
          <w:right w:w="0" w:type="dxa"/>
        </w:tblCellMar>
      </w:tblPr>
      <w:tblGrid>
        <w:gridCol w:w="460"/>
        <w:gridCol w:w="2580"/>
        <w:gridCol w:w="1640"/>
        <w:gridCol w:w="1420"/>
        <w:gridCol w:w="1280"/>
        <w:gridCol w:w="1640"/>
      </w:tblGrid>
      <w:tr>
        <w:trPr>
          <w:trHeight w:val="291" w:hRule="atLeast"/>
        </w:trPr>
        <w:tc>
          <w:tcPr>
            <w:tcW w:w="460" w:type="dxa"/>
            <w:tcBorders/>
          </w:tcPr>
          <w:p>
            <w:pPr>
              <w:pStyle w:val="Normal"/>
              <w:spacing w:lineRule="atLeast" w:line="0"/>
              <w:ind w:right="170"/>
              <w:jc w:val="right"/>
              <w:rPr>
                <w:rFonts w:ascii="Arial" w:hAnsi="Arial" w:eastAsia="Arial" w:cs="Arial"/>
                <w:w w:val="86"/>
                <w:sz w:val="22"/>
              </w:rPr>
            </w:pPr>
            <w:r>
              <w:rPr>
                <w:rFonts w:eastAsia="Arial" w:cs="Arial" w:ascii="Arial" w:hAnsi="Arial"/>
                <w:w w:val="86"/>
                <w:sz w:val="22"/>
              </w:rPr>
              <w:t>3.</w:t>
            </w:r>
          </w:p>
        </w:tc>
        <w:tc>
          <w:tcPr>
            <w:tcW w:w="2580" w:type="dxa"/>
            <w:tcBorders/>
          </w:tcPr>
          <w:p>
            <w:pPr>
              <w:pStyle w:val="Normal"/>
              <w:spacing w:lineRule="atLeast" w:line="0"/>
              <w:ind w:left="280" w:right="0"/>
              <w:rPr>
                <w:rFonts w:ascii="Arial" w:hAnsi="Arial" w:eastAsia="Arial" w:cs="Arial"/>
                <w:sz w:val="22"/>
              </w:rPr>
            </w:pPr>
            <w:r>
              <w:rPr>
                <w:rFonts w:eastAsia="Arial" w:cs="Arial" w:ascii="Arial" w:hAnsi="Arial"/>
                <w:sz w:val="22"/>
              </w:rPr>
              <w:t>Price</w:t>
            </w:r>
          </w:p>
        </w:tc>
        <w:tc>
          <w:tcPr>
            <w:tcW w:w="1640" w:type="dxa"/>
            <w:tcBorders/>
          </w:tcPr>
          <w:p>
            <w:pPr>
              <w:pStyle w:val="Normal"/>
              <w:spacing w:lineRule="atLeast" w:line="0"/>
              <w:ind w:left="560" w:right="0"/>
              <w:rPr>
                <w:rFonts w:ascii="Arial" w:hAnsi="Arial" w:eastAsia="Arial" w:cs="Arial"/>
                <w:sz w:val="22"/>
              </w:rPr>
            </w:pPr>
            <w:r>
              <w:rPr>
                <w:rFonts w:eastAsia="Arial" w:cs="Arial" w:ascii="Arial" w:hAnsi="Arial"/>
                <w:sz w:val="22"/>
              </w:rPr>
              <w:t>£</w:t>
            </w:r>
          </w:p>
        </w:tc>
        <w:tc>
          <w:tcPr>
            <w:tcW w:w="1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68" w:hRule="atLeast"/>
        </w:trPr>
        <w:tc>
          <w:tcPr>
            <w:tcW w:w="460" w:type="dxa"/>
            <w:tcBorders/>
          </w:tcPr>
          <w:p>
            <w:pPr>
              <w:pStyle w:val="Normal"/>
              <w:spacing w:lineRule="atLeast" w:line="0"/>
              <w:ind w:right="170"/>
              <w:jc w:val="right"/>
              <w:rPr>
                <w:rFonts w:ascii="Arial" w:hAnsi="Arial" w:eastAsia="Arial" w:cs="Arial"/>
                <w:w w:val="86"/>
                <w:sz w:val="22"/>
              </w:rPr>
            </w:pPr>
            <w:r>
              <w:rPr>
                <w:rFonts w:eastAsia="Arial" w:cs="Arial" w:ascii="Arial" w:hAnsi="Arial"/>
                <w:w w:val="86"/>
                <w:sz w:val="22"/>
              </w:rPr>
              <w:t>4.</w:t>
            </w:r>
          </w:p>
        </w:tc>
        <w:tc>
          <w:tcPr>
            <w:tcW w:w="2580" w:type="dxa"/>
            <w:tcBorders/>
          </w:tcPr>
          <w:p>
            <w:pPr>
              <w:pStyle w:val="Normal"/>
              <w:spacing w:lineRule="atLeast" w:line="0"/>
              <w:ind w:left="280" w:right="0"/>
              <w:rPr>
                <w:rFonts w:ascii="Arial" w:hAnsi="Arial" w:eastAsia="Arial" w:cs="Arial"/>
                <w:sz w:val="22"/>
              </w:rPr>
            </w:pPr>
            <w:r>
              <w:rPr>
                <w:rFonts w:eastAsia="Arial" w:cs="Arial" w:ascii="Arial" w:hAnsi="Arial"/>
                <w:sz w:val="22"/>
              </w:rPr>
              <w:t>Description of</w:t>
            </w:r>
          </w:p>
        </w:tc>
        <w:tc>
          <w:tcPr>
            <w:tcW w:w="5980" w:type="dxa"/>
            <w:gridSpan w:val="4"/>
            <w:tcBorders/>
          </w:tcPr>
          <w:p>
            <w:pPr>
              <w:pStyle w:val="Normal"/>
              <w:spacing w:lineRule="atLeast" w:line="0"/>
              <w:ind w:left="560" w:right="0"/>
              <w:rPr>
                <w:rFonts w:ascii="Arial" w:hAnsi="Arial" w:eastAsia="Arial" w:cs="Arial"/>
                <w:sz w:val="22"/>
              </w:rPr>
            </w:pPr>
            <w:r>
              <w:rPr>
                <w:rFonts w:eastAsia="Arial" w:cs="Arial" w:ascii="Arial" w:hAnsi="Arial"/>
                <w:sz w:val="22"/>
              </w:rPr>
              <w:t>The  freehold  title  of  the  property  known  as  1-12</w:t>
            </w:r>
          </w:p>
        </w:tc>
      </w:tr>
      <w:tr>
        <w:trPr>
          <w:trHeight w:val="253" w:hRule="atLeast"/>
        </w:trPr>
        <w:tc>
          <w:tcPr>
            <w:tcW w:w="4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580" w:type="dxa"/>
            <w:tcBorders/>
          </w:tcPr>
          <w:p>
            <w:pPr>
              <w:pStyle w:val="Normal"/>
              <w:spacing w:lineRule="atLeast" w:line="0"/>
              <w:ind w:left="280" w:right="0"/>
              <w:rPr>
                <w:rFonts w:ascii="Arial" w:hAnsi="Arial" w:eastAsia="Arial" w:cs="Arial"/>
                <w:sz w:val="22"/>
              </w:rPr>
            </w:pPr>
            <w:r>
              <w:rPr>
                <w:rFonts w:eastAsia="Arial" w:cs="Arial" w:ascii="Arial" w:hAnsi="Arial"/>
                <w:sz w:val="22"/>
              </w:rPr>
              <w:t>Property and</w:t>
            </w:r>
          </w:p>
        </w:tc>
        <w:tc>
          <w:tcPr>
            <w:tcW w:w="5980" w:type="dxa"/>
            <w:gridSpan w:val="4"/>
            <w:tcBorders/>
          </w:tcPr>
          <w:p>
            <w:pPr>
              <w:pStyle w:val="Normal"/>
              <w:spacing w:lineRule="atLeast" w:line="0"/>
              <w:ind w:left="560" w:right="0"/>
              <w:rPr>
                <w:rFonts w:ascii="Arial" w:hAnsi="Arial" w:eastAsia="Arial" w:cs="Arial"/>
                <w:sz w:val="22"/>
              </w:rPr>
            </w:pPr>
            <w:r>
              <w:rPr>
                <w:rFonts w:eastAsia="Arial" w:cs="Arial" w:ascii="Arial" w:hAnsi="Arial"/>
                <w:sz w:val="22"/>
              </w:rPr>
              <w:t>Archway Heights 16-20 Archway Road London N19</w:t>
            </w:r>
          </w:p>
        </w:tc>
      </w:tr>
      <w:tr>
        <w:trPr>
          <w:trHeight w:val="253" w:hRule="atLeast"/>
        </w:trPr>
        <w:tc>
          <w:tcPr>
            <w:tcW w:w="4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580" w:type="dxa"/>
            <w:tcBorders/>
          </w:tcPr>
          <w:p>
            <w:pPr>
              <w:pStyle w:val="Normal"/>
              <w:spacing w:lineRule="atLeast" w:line="0"/>
              <w:ind w:left="280" w:right="0"/>
              <w:rPr>
                <w:rFonts w:ascii="Arial" w:hAnsi="Arial" w:eastAsia="Arial" w:cs="Arial"/>
                <w:sz w:val="22"/>
              </w:rPr>
            </w:pPr>
            <w:r>
              <w:rPr>
                <w:rFonts w:eastAsia="Arial" w:cs="Arial" w:ascii="Arial" w:hAnsi="Arial"/>
                <w:sz w:val="22"/>
              </w:rPr>
              <w:t>interest sold</w:t>
            </w:r>
          </w:p>
        </w:tc>
        <w:tc>
          <w:tcPr>
            <w:tcW w:w="5980" w:type="dxa"/>
            <w:gridSpan w:val="4"/>
            <w:tcBorders/>
          </w:tcPr>
          <w:p>
            <w:pPr>
              <w:pStyle w:val="Normal"/>
              <w:spacing w:lineRule="atLeast" w:line="0"/>
              <w:ind w:left="560" w:right="0"/>
              <w:rPr>
                <w:rFonts w:ascii="Arial" w:hAnsi="Arial" w:eastAsia="Arial" w:cs="Arial"/>
                <w:sz w:val="22"/>
              </w:rPr>
            </w:pPr>
            <w:r>
              <w:rPr>
                <w:rFonts w:eastAsia="Arial" w:cs="Arial" w:ascii="Arial" w:hAnsi="Arial"/>
                <w:sz w:val="22"/>
              </w:rPr>
              <w:t>and for the purposes of identification only shown edged</w:t>
            </w:r>
          </w:p>
        </w:tc>
      </w:tr>
      <w:tr>
        <w:trPr>
          <w:trHeight w:val="291" w:hRule="atLeast"/>
        </w:trPr>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980" w:type="dxa"/>
            <w:gridSpan w:val="4"/>
            <w:tcBorders/>
          </w:tcPr>
          <w:p>
            <w:pPr>
              <w:pStyle w:val="Normal"/>
              <w:spacing w:lineRule="atLeast" w:line="0"/>
              <w:ind w:left="560" w:right="0"/>
              <w:rPr>
                <w:rFonts w:ascii="Arial" w:hAnsi="Arial" w:eastAsia="Arial" w:cs="Arial"/>
                <w:sz w:val="22"/>
              </w:rPr>
            </w:pPr>
            <w:r>
              <w:rPr>
                <w:rFonts w:eastAsia="Arial" w:cs="Arial" w:ascii="Arial" w:hAnsi="Arial"/>
                <w:sz w:val="22"/>
              </w:rPr>
              <w:t>red on the plan attached to this Agreement</w:t>
            </w:r>
          </w:p>
        </w:tc>
      </w:tr>
      <w:tr>
        <w:trPr>
          <w:trHeight w:val="468" w:hRule="atLeast"/>
        </w:trPr>
        <w:tc>
          <w:tcPr>
            <w:tcW w:w="460" w:type="dxa"/>
            <w:tcBorders/>
          </w:tcPr>
          <w:p>
            <w:pPr>
              <w:pStyle w:val="Normal"/>
              <w:spacing w:lineRule="atLeast" w:line="0"/>
              <w:ind w:right="170"/>
              <w:jc w:val="right"/>
              <w:rPr>
                <w:rFonts w:ascii="Arial" w:hAnsi="Arial" w:eastAsia="Arial" w:cs="Arial"/>
                <w:w w:val="86"/>
                <w:sz w:val="22"/>
              </w:rPr>
            </w:pPr>
            <w:r>
              <w:rPr>
                <w:rFonts w:eastAsia="Arial" w:cs="Arial" w:ascii="Arial" w:hAnsi="Arial"/>
                <w:w w:val="86"/>
                <w:sz w:val="22"/>
              </w:rPr>
              <w:t>5.</w:t>
            </w:r>
          </w:p>
        </w:tc>
        <w:tc>
          <w:tcPr>
            <w:tcW w:w="2580" w:type="dxa"/>
            <w:tcBorders/>
          </w:tcPr>
          <w:p>
            <w:pPr>
              <w:pStyle w:val="Normal"/>
              <w:spacing w:lineRule="atLeast" w:line="0"/>
              <w:ind w:left="280" w:right="0"/>
              <w:rPr/>
            </w:pPr>
            <w:r>
              <w:rPr>
                <w:rFonts w:eastAsia="Arial" w:cs="Arial" w:ascii="Arial" w:hAnsi="Arial"/>
                <w:sz w:val="22"/>
              </w:rPr>
              <w:t>Vendor’s enabling</w:t>
            </w:r>
          </w:p>
        </w:tc>
        <w:tc>
          <w:tcPr>
            <w:tcW w:w="3060" w:type="dxa"/>
            <w:gridSpan w:val="2"/>
            <w:tcBorders/>
          </w:tcPr>
          <w:p>
            <w:pPr>
              <w:pStyle w:val="Normal"/>
              <w:spacing w:lineRule="atLeast" w:line="0"/>
              <w:ind w:left="560" w:right="0"/>
              <w:rPr>
                <w:rFonts w:ascii="Arial" w:hAnsi="Arial" w:eastAsia="Arial" w:cs="Arial"/>
                <w:sz w:val="22"/>
              </w:rPr>
            </w:pPr>
            <w:r>
              <w:rPr>
                <w:rFonts w:eastAsia="Arial" w:cs="Arial" w:ascii="Arial" w:hAnsi="Arial"/>
                <w:sz w:val="22"/>
              </w:rPr>
              <w:t>[Housing Act 1985]</w:t>
            </w:r>
          </w:p>
        </w:tc>
        <w:tc>
          <w:tcPr>
            <w:tcW w:w="1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1" w:hRule="atLeast"/>
        </w:trPr>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80" w:type="dxa"/>
            <w:tcBorders/>
          </w:tcPr>
          <w:p>
            <w:pPr>
              <w:pStyle w:val="Normal"/>
              <w:spacing w:lineRule="atLeast" w:line="0"/>
              <w:ind w:left="280" w:right="0"/>
              <w:rPr>
                <w:rFonts w:ascii="Arial" w:hAnsi="Arial" w:eastAsia="Arial" w:cs="Arial"/>
                <w:sz w:val="22"/>
              </w:rPr>
            </w:pPr>
            <w:r>
              <w:rPr>
                <w:rFonts w:eastAsia="Arial" w:cs="Arial" w:ascii="Arial" w:hAnsi="Arial"/>
                <w:sz w:val="22"/>
              </w:rPr>
              <w:t>power</w:t>
            </w:r>
          </w:p>
        </w:tc>
        <w:tc>
          <w:tcPr>
            <w:tcW w:w="1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69" w:hRule="atLeast"/>
        </w:trPr>
        <w:tc>
          <w:tcPr>
            <w:tcW w:w="460" w:type="dxa"/>
            <w:tcBorders/>
          </w:tcPr>
          <w:p>
            <w:pPr>
              <w:pStyle w:val="Normal"/>
              <w:spacing w:lineRule="atLeast" w:line="0"/>
              <w:ind w:right="170"/>
              <w:jc w:val="right"/>
              <w:rPr>
                <w:rFonts w:ascii="Arial" w:hAnsi="Arial" w:eastAsia="Arial" w:cs="Arial"/>
                <w:w w:val="86"/>
                <w:sz w:val="22"/>
              </w:rPr>
            </w:pPr>
            <w:r>
              <w:rPr>
                <w:rFonts w:eastAsia="Arial" w:cs="Arial" w:ascii="Arial" w:hAnsi="Arial"/>
                <w:w w:val="86"/>
                <w:sz w:val="22"/>
              </w:rPr>
              <w:t>6.</w:t>
            </w:r>
          </w:p>
        </w:tc>
        <w:tc>
          <w:tcPr>
            <w:tcW w:w="2580" w:type="dxa"/>
            <w:tcBorders/>
          </w:tcPr>
          <w:p>
            <w:pPr>
              <w:pStyle w:val="Normal"/>
              <w:spacing w:lineRule="atLeast" w:line="0"/>
              <w:ind w:left="280" w:right="0"/>
              <w:rPr>
                <w:rFonts w:ascii="Arial" w:hAnsi="Arial" w:eastAsia="Arial" w:cs="Arial"/>
                <w:sz w:val="22"/>
              </w:rPr>
            </w:pPr>
            <w:r>
              <w:rPr>
                <w:rFonts w:eastAsia="Arial" w:cs="Arial" w:ascii="Arial" w:hAnsi="Arial"/>
                <w:sz w:val="22"/>
              </w:rPr>
              <w:t>Completion Date</w:t>
            </w:r>
          </w:p>
        </w:tc>
        <w:tc>
          <w:tcPr>
            <w:tcW w:w="1640" w:type="dxa"/>
            <w:tcBorders/>
          </w:tcPr>
          <w:p>
            <w:pPr>
              <w:pStyle w:val="Normal"/>
              <w:spacing w:lineRule="atLeast" w:line="0"/>
              <w:ind w:left="560" w:right="0"/>
              <w:rPr>
                <w:rFonts w:ascii="Arial" w:hAnsi="Arial" w:eastAsia="Arial" w:cs="Arial"/>
                <w:sz w:val="22"/>
              </w:rPr>
            </w:pPr>
            <w:r>
              <w:rPr>
                <w:rFonts w:eastAsia="Arial" w:cs="Arial" w:ascii="Arial" w:hAnsi="Arial"/>
                <w:sz w:val="22"/>
              </w:rPr>
              <w:t>On the</w:t>
            </w:r>
          </w:p>
        </w:tc>
        <w:tc>
          <w:tcPr>
            <w:tcW w:w="1420" w:type="dxa"/>
            <w:tcBorders/>
          </w:tcPr>
          <w:p>
            <w:pPr>
              <w:pStyle w:val="Normal"/>
              <w:spacing w:lineRule="atLeast" w:line="0"/>
              <w:ind w:left="400" w:right="0"/>
              <w:rPr>
                <w:rFonts w:ascii="Arial" w:hAnsi="Arial" w:eastAsia="Arial" w:cs="Arial"/>
                <w:sz w:val="22"/>
              </w:rPr>
            </w:pPr>
            <w:r>
              <w:rPr>
                <w:rFonts w:eastAsia="Arial" w:cs="Arial" w:ascii="Arial" w:hAnsi="Arial"/>
                <w:sz w:val="22"/>
              </w:rPr>
              <w:t>day of</w:t>
            </w:r>
          </w:p>
        </w:tc>
        <w:tc>
          <w:tcPr>
            <w:tcW w:w="1280" w:type="dxa"/>
            <w:tcBorders/>
          </w:tcPr>
          <w:p>
            <w:pPr>
              <w:pStyle w:val="Normal"/>
              <w:spacing w:lineRule="atLeast" w:line="0"/>
              <w:ind w:right="410"/>
              <w:jc w:val="right"/>
              <w:rPr>
                <w:rFonts w:ascii="Arial" w:hAnsi="Arial" w:eastAsia="Arial" w:cs="Arial"/>
                <w:sz w:val="22"/>
              </w:rPr>
            </w:pPr>
            <w:r>
              <w:rPr>
                <w:rFonts w:eastAsia="Arial" w:cs="Arial" w:ascii="Arial" w:hAnsi="Arial"/>
                <w:sz w:val="22"/>
              </w:rPr>
              <w:t>200</w:t>
            </w:r>
          </w:p>
        </w:tc>
        <w:tc>
          <w:tcPr>
            <w:tcW w:w="1640" w:type="dxa"/>
            <w:tcBorders/>
          </w:tcPr>
          <w:p>
            <w:pPr>
              <w:pStyle w:val="Normal"/>
              <w:spacing w:lineRule="atLeast" w:line="0"/>
              <w:ind w:left="180" w:right="0"/>
              <w:rPr>
                <w:rFonts w:ascii="Arial" w:hAnsi="Arial" w:eastAsia="Arial" w:cs="Arial"/>
                <w:sz w:val="22"/>
              </w:rPr>
            </w:pPr>
            <w:r>
              <w:rPr>
                <w:rFonts w:eastAsia="Arial" w:cs="Arial" w:ascii="Arial" w:hAnsi="Arial"/>
                <w:sz w:val="22"/>
              </w:rPr>
              <w:t>at the office of</w:t>
            </w:r>
          </w:p>
        </w:tc>
      </w:tr>
      <w:tr>
        <w:trPr>
          <w:trHeight w:val="253" w:hRule="atLeast"/>
        </w:trPr>
        <w:tc>
          <w:tcPr>
            <w:tcW w:w="4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5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980" w:type="dxa"/>
            <w:gridSpan w:val="4"/>
            <w:tcBorders/>
          </w:tcPr>
          <w:p>
            <w:pPr>
              <w:pStyle w:val="Normal"/>
              <w:spacing w:lineRule="atLeast" w:line="0"/>
              <w:ind w:left="560" w:right="0"/>
              <w:rPr/>
            </w:pPr>
            <w:r>
              <w:rPr>
                <w:rFonts w:eastAsia="Arial" w:cs="Arial" w:ascii="Arial" w:hAnsi="Arial"/>
                <w:sz w:val="22"/>
              </w:rPr>
              <w:t>the Vendor’s Principal Lawyer, Alexandra House, 10</w:t>
            </w:r>
          </w:p>
        </w:tc>
      </w:tr>
      <w:tr>
        <w:trPr>
          <w:trHeight w:val="291" w:hRule="atLeast"/>
        </w:trPr>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340" w:type="dxa"/>
            <w:gridSpan w:val="3"/>
            <w:tcBorders/>
          </w:tcPr>
          <w:p>
            <w:pPr>
              <w:pStyle w:val="Normal"/>
              <w:spacing w:lineRule="atLeast" w:line="0"/>
              <w:ind w:left="560" w:right="0"/>
              <w:rPr>
                <w:rFonts w:ascii="Arial" w:hAnsi="Arial" w:eastAsia="Arial" w:cs="Arial"/>
                <w:sz w:val="22"/>
              </w:rPr>
            </w:pPr>
            <w:r>
              <w:rPr>
                <w:rFonts w:eastAsia="Arial" w:cs="Arial" w:ascii="Arial" w:hAnsi="Arial"/>
                <w:sz w:val="22"/>
              </w:rPr>
              <w:t>Station Road, Wood Green N22 7TR</w:t>
            </w:r>
          </w:p>
        </w:tc>
        <w:tc>
          <w:tcPr>
            <w:tcW w:w="1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sz w:val="22"/>
        </w:rPr>
      </w:pPr>
      <w:r>
        <w:rPr>
          <w:rFonts w:eastAsia="Arial" w:cs="Arial" w:ascii="Arial" w:hAnsi="Arial"/>
          <w:sz w:val="22"/>
        </w:rPr>
        <w:t>The Standard Commercial Property Conditions (Second Edition) are deemed to be</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sz w:val="22"/>
        </w:rPr>
      </w:pPr>
      <w:r>
        <w:rPr>
          <w:rFonts w:eastAsia="Arial" w:cs="Arial" w:ascii="Arial" w:hAnsi="Arial"/>
          <w:sz w:val="22"/>
        </w:rPr>
        <w:t>incorporated in this Agreement as far as they are not inconsistent with the following</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sz w:val="22"/>
        </w:rPr>
      </w:pPr>
      <w:r>
        <w:rPr>
          <w:rFonts w:eastAsia="Arial" w:cs="Arial" w:ascii="Arial" w:hAnsi="Arial"/>
          <w:sz w:val="22"/>
        </w:rPr>
        <w:t>special conditions.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sz w:val="22"/>
        </w:rPr>
      </w:pPr>
      <w:r>
        <w:rPr>
          <w:rFonts w:eastAsia="Arial" w:cs="Arial" w:ascii="Arial" w:hAnsi="Arial"/>
          <w:sz w:val="22"/>
        </w:rPr>
        <w:t>The Vendor agrees to sell and the Purchaser agrees to purchase the Property</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sz w:val="22"/>
        </w:rPr>
      </w:pPr>
      <w:r>
        <w:rPr>
          <w:rFonts w:eastAsia="Arial" w:cs="Arial" w:ascii="Arial" w:hAnsi="Arial"/>
          <w:sz w:val="22"/>
        </w:rPr>
        <w:t>described in the Particulars and on the terms of this agreement.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b/>
          <w:sz w:val="22"/>
        </w:rPr>
      </w:pPr>
      <w:r>
        <w:rPr>
          <w:rFonts w:eastAsia="Arial" w:cs="Arial" w:ascii="Arial" w:hAnsi="Arial"/>
          <w:b/>
          <w:sz w:val="22"/>
        </w:rPr>
        <w:t>SPECIAL CONDITIONS</w:t>
      </w:r>
    </w:p>
    <w:p>
      <w:pPr>
        <w:pStyle w:val="Normal"/>
        <w:spacing w:lineRule="exact" w:line="25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
        </w:numPr>
        <w:tabs>
          <w:tab w:val="clear" w:pos="720"/>
          <w:tab w:val="left" w:pos="1081" w:leader="none"/>
        </w:tabs>
        <w:spacing w:lineRule="auto" w:line="478"/>
        <w:ind w:hanging="720" w:left="1080" w:right="720"/>
        <w:rPr>
          <w:rFonts w:ascii="Arial" w:hAnsi="Arial" w:eastAsia="Arial" w:cs="Arial"/>
          <w:sz w:val="22"/>
        </w:rPr>
      </w:pPr>
      <w:r>
        <w:rPr>
          <w:rFonts w:eastAsia="Arial" w:cs="Arial" w:ascii="Arial" w:hAnsi="Arial"/>
          <w:sz w:val="22"/>
        </w:rPr>
        <w:t>Title is deduced and consists of as shown in Part I of the Schedule to this Agreement (“the Schedule”).</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2"/>
        </w:numPr>
        <w:tabs>
          <w:tab w:val="clear" w:pos="720"/>
          <w:tab w:val="left" w:pos="1080" w:leader="none"/>
        </w:tabs>
        <w:spacing w:lineRule="auto" w:line="497"/>
        <w:ind w:hanging="720" w:left="1080" w:right="720"/>
        <w:jc w:val="both"/>
        <w:rPr>
          <w:rFonts w:ascii="Arial" w:hAnsi="Arial" w:eastAsia="Arial" w:cs="Arial"/>
          <w:sz w:val="22"/>
        </w:rPr>
        <w:sectPr>
          <w:type w:val="nextPage"/>
          <w:pgSz w:w="11906" w:h="16838"/>
          <w:pgMar w:left="1440" w:right="1080" w:gutter="0" w:header="0" w:top="1417" w:footer="0" w:bottom="1089"/>
          <w:pgNumType w:fmt="decimal"/>
          <w:formProt w:val="false"/>
          <w:textDirection w:val="lrTb"/>
          <w:docGrid w:type="default" w:linePitch="360" w:charSpace="0"/>
        </w:sectPr>
      </w:pPr>
      <w:r>
        <w:rPr>
          <w:rFonts w:eastAsia="Arial" w:cs="Arial" w:ascii="Arial" w:hAnsi="Arial"/>
          <w:sz w:val="22"/>
        </w:rPr>
        <w:t>The property is sold subject to and with the benefit of the entries in the Registers of the Vendor's Title and the Purchaser having been supplied with copies of the entries is deemed to purchase with full knowledge of the entries</w:t>
      </w:r>
    </w:p>
    <w:p>
      <w:pPr>
        <w:pStyle w:val="Normal"/>
        <w:spacing w:lineRule="atLeast" w:line="0"/>
        <w:ind w:left="1080" w:right="0"/>
        <w:rPr>
          <w:rFonts w:ascii="Arial" w:hAnsi="Arial" w:eastAsia="Arial" w:cs="Arial"/>
          <w:sz w:val="22"/>
        </w:rPr>
      </w:pPr>
      <w:bookmarkStart w:id="1" w:name="page2"/>
      <w:bookmarkEnd w:id="1"/>
      <w:r>
        <w:rPr>
          <w:rFonts w:eastAsia="Arial" w:cs="Arial" w:ascii="Arial" w:hAnsi="Arial"/>
          <w:sz w:val="22"/>
        </w:rPr>
        <w:t>and shall raise no further enquiry or requisition.</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1081" w:leader="none"/>
        </w:tabs>
        <w:spacing w:lineRule="auto" w:line="478"/>
        <w:ind w:hanging="720" w:left="1080" w:right="360"/>
        <w:rPr>
          <w:rFonts w:ascii="Arial" w:hAnsi="Arial" w:eastAsia="Arial" w:cs="Arial"/>
          <w:sz w:val="22"/>
        </w:rPr>
      </w:pPr>
      <w:r>
        <w:rPr>
          <w:rFonts w:eastAsia="Arial" w:cs="Arial" w:ascii="Arial" w:hAnsi="Arial"/>
          <w:sz w:val="22"/>
        </w:rPr>
        <w:t>In addition to the Purchase Price the Purchaser will pay the sums specified in Part 2 of the Schedule.</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1081" w:leader="none"/>
        </w:tabs>
        <w:spacing w:lineRule="auto" w:line="478"/>
        <w:ind w:hanging="720" w:left="1080" w:right="360"/>
        <w:rPr>
          <w:rFonts w:ascii="Arial" w:hAnsi="Arial" w:eastAsia="Arial" w:cs="Arial"/>
          <w:sz w:val="22"/>
        </w:rPr>
      </w:pPr>
      <w:r>
        <w:rPr>
          <w:rFonts w:eastAsia="Arial" w:cs="Arial" w:ascii="Arial" w:hAnsi="Arial"/>
          <w:sz w:val="22"/>
        </w:rPr>
        <w:t>Possession will be given in accordance with the provisions of Part 3 of the Schedule.</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1080" w:leader="none"/>
        </w:tabs>
        <w:spacing w:lineRule="auto" w:line="480"/>
        <w:ind w:hanging="720" w:left="1080" w:right="360"/>
        <w:jc w:val="both"/>
        <w:rPr>
          <w:rFonts w:ascii="Arial" w:hAnsi="Arial" w:eastAsia="Arial" w:cs="Arial"/>
          <w:sz w:val="22"/>
        </w:rPr>
      </w:pPr>
      <w:r>
        <w:rPr>
          <w:rFonts w:eastAsia="Arial" w:cs="Arial" w:ascii="Arial" w:hAnsi="Arial"/>
          <w:sz w:val="22"/>
        </w:rPr>
        <w:t>The prescribed rate of interest payable under Conditions 2 and 9 of the Standard Conditions of Sale is 4% per annum above the current Co-operative Bank Base Rate but with a minimum of 15% per annum.</w:t>
      </w:r>
    </w:p>
    <w:p>
      <w:pPr>
        <w:pStyle w:val="Normal"/>
        <w:numPr>
          <w:ilvl w:val="0"/>
          <w:numId w:val="3"/>
        </w:numPr>
        <w:tabs>
          <w:tab w:val="clear" w:pos="720"/>
          <w:tab w:val="left" w:pos="1080" w:leader="none"/>
        </w:tabs>
        <w:spacing w:lineRule="atLeast" w:line="0"/>
        <w:ind w:hanging="720" w:left="1080" w:right="0"/>
        <w:rPr>
          <w:rFonts w:ascii="Arial" w:hAnsi="Arial" w:eastAsia="Arial" w:cs="Arial"/>
          <w:sz w:val="22"/>
        </w:rPr>
      </w:pPr>
      <w:r>
        <w:rPr>
          <w:rFonts w:eastAsia="Arial" w:cs="Arial" w:ascii="Arial" w:hAnsi="Arial"/>
          <w:sz w:val="22"/>
        </w:rPr>
        <w:t>The Vendor will not be obliged to convey otherwise than to the Purchaser.</w:t>
      </w:r>
    </w:p>
    <w:p>
      <w:pPr>
        <w:pStyle w:val="Normal"/>
        <w:spacing w:lineRule="exact" w:line="253"/>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1081" w:leader="none"/>
        </w:tabs>
        <w:spacing w:lineRule="auto" w:line="478"/>
        <w:ind w:hanging="720" w:left="1080" w:right="360"/>
        <w:jc w:val="both"/>
        <w:rPr>
          <w:rFonts w:ascii="Arial" w:hAnsi="Arial" w:eastAsia="Arial" w:cs="Arial"/>
          <w:sz w:val="22"/>
        </w:rPr>
      </w:pPr>
      <w:r>
        <w:rPr>
          <w:rFonts w:eastAsia="Arial" w:cs="Arial" w:ascii="Arial" w:hAnsi="Arial"/>
          <w:sz w:val="22"/>
        </w:rPr>
        <w:t>The Purchaser, having had the opportunity to inspect the Property personally or through agents and professional advisers, acknowledges that it is entering into this Contract solely in reliance on such inspection and not in reliance on any representation whether written oral or implied made by or on behalf of the Vendor other than written reply to the Purchaser’s Solicitors’ written enquiries.</w:t>
      </w:r>
    </w:p>
    <w:p>
      <w:pPr>
        <w:pStyle w:val="Normal"/>
        <w:spacing w:lineRule="exact" w:line="5"/>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1080" w:leader="none"/>
        </w:tabs>
        <w:spacing w:lineRule="auto" w:line="478"/>
        <w:ind w:hanging="720" w:left="1080" w:right="360"/>
        <w:jc w:val="both"/>
        <w:rPr>
          <w:rFonts w:ascii="Arial" w:hAnsi="Arial" w:eastAsia="Arial" w:cs="Arial"/>
          <w:sz w:val="22"/>
        </w:rPr>
      </w:pPr>
      <w:r>
        <w:rPr>
          <w:rFonts w:eastAsia="Arial" w:cs="Arial" w:ascii="Arial" w:hAnsi="Arial"/>
          <w:sz w:val="22"/>
        </w:rPr>
        <w:t>The Buyer shall accept that vacant possession is the giving of the property notwithstanding that there may be unlawful occupiers, furniture and building materials and/or rubbish remaining therein. The Seller shall incur no liability whatsoever for the cost of their removal and the Buyer hereby fully indemnifies the Seller in respect of the same.</w:t>
      </w:r>
    </w:p>
    <w:p>
      <w:pPr>
        <w:pStyle w:val="Normal"/>
        <w:spacing w:lineRule="exact" w:line="5"/>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1080" w:leader="none"/>
        </w:tabs>
        <w:spacing w:lineRule="auto" w:line="478"/>
        <w:ind w:hanging="720" w:left="1080" w:right="360"/>
        <w:jc w:val="both"/>
        <w:rPr>
          <w:rFonts w:ascii="Arial" w:hAnsi="Arial" w:eastAsia="Arial" w:cs="Arial"/>
          <w:sz w:val="22"/>
        </w:rPr>
      </w:pPr>
      <w:r>
        <w:rPr>
          <w:rFonts w:eastAsia="Arial" w:cs="Arial" w:ascii="Arial" w:hAnsi="Arial"/>
          <w:sz w:val="22"/>
        </w:rPr>
        <w:t>Notwithstanding that at the sole discretion of the Vendor the 10% deposit may be waived or reduced on exchange of Contracts, in the event of the Purchaser failing to complete on the Completion Date then the full 10% deposit (or the balance of) becomes immediately due and recoverable as a debt on demand.</w:t>
      </w:r>
    </w:p>
    <w:p>
      <w:pPr>
        <w:pStyle w:val="Normal"/>
        <w:spacing w:lineRule="exact" w:line="5"/>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1080" w:leader="none"/>
        </w:tabs>
        <w:spacing w:lineRule="auto" w:line="480"/>
        <w:ind w:hanging="720" w:left="1080" w:right="360"/>
        <w:jc w:val="both"/>
        <w:rPr>
          <w:rFonts w:ascii="Arial" w:hAnsi="Arial" w:eastAsia="Arial" w:cs="Arial"/>
          <w:sz w:val="22"/>
        </w:rPr>
      </w:pPr>
      <w:r>
        <w:rPr>
          <w:rFonts w:eastAsia="Arial" w:cs="Arial" w:ascii="Arial" w:hAnsi="Arial"/>
          <w:sz w:val="22"/>
        </w:rPr>
        <w:t>This Contract does not merge into the Transfer in relation to any condition or liability remaining unfulfilled or which has not been performed observed or discharged.</w:t>
      </w:r>
    </w:p>
    <w:p>
      <w:pPr>
        <w:pStyle w:val="Normal"/>
        <w:numPr>
          <w:ilvl w:val="0"/>
          <w:numId w:val="3"/>
        </w:numPr>
        <w:tabs>
          <w:tab w:val="clear" w:pos="720"/>
          <w:tab w:val="left" w:pos="1080" w:leader="none"/>
        </w:tabs>
        <w:spacing w:lineRule="atLeast" w:line="0"/>
        <w:ind w:hanging="720" w:left="1080" w:right="0"/>
        <w:rPr>
          <w:rFonts w:ascii="Arial" w:hAnsi="Arial" w:eastAsia="Arial" w:cs="Arial"/>
          <w:sz w:val="22"/>
        </w:rPr>
        <w:sectPr>
          <w:type w:val="nextPage"/>
          <w:pgSz w:w="11906" w:h="16838"/>
          <w:pgMar w:left="1440" w:right="1440" w:gutter="0" w:header="0" w:top="1423" w:footer="0" w:bottom="939"/>
          <w:pgNumType w:fmt="decimal"/>
          <w:formProt w:val="false"/>
          <w:textDirection w:val="lrTb"/>
          <w:docGrid w:type="default" w:linePitch="360" w:charSpace="0"/>
        </w:sectPr>
      </w:pPr>
      <w:r>
        <w:rPr>
          <w:rFonts w:eastAsia="Arial" w:cs="Arial" w:ascii="Arial" w:hAnsi="Arial"/>
          <w:sz w:val="22"/>
        </w:rPr>
        <w:t>The parties will complete a Transfer substantially in the form of the draft</w:t>
      </w:r>
    </w:p>
    <w:p>
      <w:pPr>
        <w:pStyle w:val="Normal"/>
        <w:spacing w:lineRule="atLeast" w:line="0"/>
        <w:ind w:left="1080" w:right="0"/>
        <w:rPr>
          <w:rFonts w:ascii="Arial" w:hAnsi="Arial" w:eastAsia="Arial" w:cs="Arial"/>
          <w:sz w:val="22"/>
        </w:rPr>
      </w:pPr>
      <w:bookmarkStart w:id="2" w:name="page3"/>
      <w:bookmarkEnd w:id="2"/>
      <w:r>
        <w:rPr>
          <w:rFonts w:eastAsia="Arial" w:cs="Arial" w:ascii="Arial" w:hAnsi="Arial"/>
          <w:sz w:val="22"/>
        </w:rPr>
        <w:t>annexed to this Agreement.</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
        </w:numPr>
        <w:tabs>
          <w:tab w:val="clear" w:pos="720"/>
          <w:tab w:val="left" w:pos="1080" w:leader="none"/>
        </w:tabs>
        <w:spacing w:lineRule="auto" w:line="480"/>
        <w:ind w:hanging="720" w:left="1080" w:right="360"/>
        <w:jc w:val="both"/>
        <w:rPr>
          <w:rFonts w:ascii="Arial" w:hAnsi="Arial" w:eastAsia="Arial" w:cs="Arial"/>
          <w:sz w:val="22"/>
        </w:rPr>
      </w:pPr>
      <w:r>
        <w:rPr>
          <w:rFonts w:eastAsia="Arial" w:cs="Arial" w:ascii="Arial" w:hAnsi="Arial"/>
          <w:sz w:val="22"/>
        </w:rPr>
        <w:t>For the avoidance of doubt nothing contained or implied in this Agreement prejudices or affects the Vendor’s rights powers duties and obligations or fetter its decisions in the exercise of its functions as a local authority</w:t>
      </w:r>
    </w:p>
    <w:p>
      <w:pPr>
        <w:pStyle w:val="Normal"/>
        <w:numPr>
          <w:ilvl w:val="0"/>
          <w:numId w:val="4"/>
        </w:numPr>
        <w:tabs>
          <w:tab w:val="clear" w:pos="720"/>
          <w:tab w:val="left" w:pos="1081" w:leader="none"/>
        </w:tabs>
        <w:spacing w:lineRule="auto" w:line="514"/>
        <w:ind w:hanging="720" w:left="1080" w:right="360"/>
        <w:rPr>
          <w:rFonts w:ascii="Arial" w:hAnsi="Arial" w:eastAsia="Arial" w:cs="Arial"/>
          <w:sz w:val="22"/>
        </w:rPr>
      </w:pPr>
      <w:r>
        <w:rPr>
          <w:rFonts w:eastAsia="Arial" w:cs="Arial" w:ascii="Arial" w:hAnsi="Arial"/>
          <w:sz w:val="22"/>
        </w:rPr>
        <w:t>In this Agreement where the context admits the masculine gender includes the feminine gender and the singular includes the plural and vice versa.</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719"/>
        <w:jc w:val="center"/>
        <w:rPr>
          <w:rFonts w:ascii="Arial" w:hAnsi="Arial" w:eastAsia="Arial" w:cs="Arial"/>
          <w:b/>
          <w:sz w:val="22"/>
        </w:rPr>
      </w:pPr>
      <w:r>
        <w:rPr>
          <w:rFonts w:eastAsia="Arial" w:cs="Arial" w:ascii="Arial" w:hAnsi="Arial"/>
          <w:b/>
          <w:sz w:val="22"/>
        </w:rPr>
        <w:t>SCHEDULE</w:t>
      </w:r>
    </w:p>
    <w:p>
      <w:pPr>
        <w:pStyle w:val="Normal"/>
        <w:spacing w:lineRule="exact" w:line="253"/>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4560" w:right="0"/>
        <w:rPr>
          <w:rFonts w:ascii="Arial" w:hAnsi="Arial" w:eastAsia="Arial" w:cs="Arial"/>
          <w:b/>
          <w:sz w:val="22"/>
        </w:rPr>
      </w:pPr>
      <w:r>
        <w:rPr>
          <w:rFonts w:eastAsia="Arial" w:cs="Arial" w:ascii="Arial" w:hAnsi="Arial"/>
          <w:b/>
          <w:sz w:val="22"/>
        </w:rPr>
        <w:t>Part 1</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
        </w:numPr>
        <w:tabs>
          <w:tab w:val="clear" w:pos="720"/>
          <w:tab w:val="left" w:pos="1080" w:leader="none"/>
        </w:tabs>
        <w:spacing w:lineRule="auto" w:line="478"/>
        <w:ind w:hanging="720" w:left="1080" w:right="360"/>
        <w:rPr>
          <w:rFonts w:ascii="Arial" w:hAnsi="Arial" w:eastAsia="Arial" w:cs="Arial"/>
          <w:sz w:val="22"/>
        </w:rPr>
      </w:pPr>
      <w:r>
        <w:rPr>
          <w:rFonts w:eastAsia="Arial" w:cs="Arial" w:ascii="Arial" w:hAnsi="Arial"/>
          <w:sz w:val="22"/>
        </w:rPr>
        <w:t>Copies of the entries on the Register of the Vendors title NGL388262 together with a copy of the filed plan</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1080" w:leader="none"/>
        </w:tabs>
        <w:spacing w:lineRule="atLeast" w:line="0"/>
        <w:ind w:hanging="720" w:left="1080" w:right="0"/>
        <w:rPr>
          <w:rFonts w:ascii="Arial" w:hAnsi="Arial" w:eastAsia="Arial" w:cs="Arial"/>
          <w:sz w:val="22"/>
        </w:rPr>
      </w:pPr>
      <w:r>
        <w:rPr>
          <w:rFonts w:eastAsia="Arial" w:cs="Arial" w:ascii="Arial" w:hAnsi="Arial"/>
          <w:sz w:val="22"/>
        </w:rPr>
        <w:t>Copies of all deeds referred to on the above mentioned Registers</w:t>
      </w:r>
    </w:p>
    <w:p>
      <w:pPr>
        <w:pStyle w:val="Normal"/>
        <w:spacing w:lineRule="exact" w:line="2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680" w:right="0"/>
        <w:rPr>
          <w:rFonts w:ascii="Arial" w:hAnsi="Arial" w:eastAsia="Arial" w:cs="Arial"/>
          <w:b/>
          <w:sz w:val="22"/>
        </w:rPr>
      </w:pPr>
      <w:r>
        <w:rPr>
          <w:rFonts w:eastAsia="Arial" w:cs="Arial" w:ascii="Arial" w:hAnsi="Arial"/>
          <w:b/>
          <w:sz w:val="22"/>
        </w:rPr>
        <w:t>Part 2</w:t>
      </w:r>
    </w:p>
    <w:p>
      <w:pPr>
        <w:pStyle w:val="Normal"/>
        <w:spacing w:lineRule="exact" w:line="25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6"/>
        </w:numPr>
        <w:tabs>
          <w:tab w:val="clear" w:pos="720"/>
          <w:tab w:val="left" w:pos="1080" w:leader="none"/>
        </w:tabs>
        <w:spacing w:lineRule="auto" w:line="478"/>
        <w:ind w:hanging="720" w:left="1080" w:right="360"/>
        <w:rPr>
          <w:rFonts w:ascii="Arial" w:hAnsi="Arial" w:eastAsia="Arial" w:cs="Arial"/>
          <w:sz w:val="22"/>
        </w:rPr>
      </w:pPr>
      <w:r>
        <w:rPr>
          <w:rFonts w:eastAsia="Arial" w:cs="Arial" w:ascii="Arial" w:hAnsi="Arial"/>
          <w:sz w:val="22"/>
        </w:rPr>
        <w:t>The Vendor's Surveyor's fees amounting to 2.5% of the Purchase Price or a minimum sum of £2,500.00 whichever is the greater</w:t>
      </w:r>
    </w:p>
    <w:p>
      <w:pPr>
        <w:pStyle w:val="Normal"/>
        <w:spacing w:lineRule="exact" w:line="1"/>
        <w:rPr>
          <w:rFonts w:ascii="Arial" w:hAnsi="Arial" w:eastAsia="Arial" w:cs="Arial"/>
          <w:sz w:val="22"/>
        </w:rPr>
      </w:pPr>
      <w:r>
        <w:rPr>
          <w:rFonts w:eastAsia="Arial" w:cs="Arial" w:ascii="Arial" w:hAnsi="Arial"/>
          <w:sz w:val="22"/>
        </w:rPr>
      </w:r>
    </w:p>
    <w:p>
      <w:pPr>
        <w:pStyle w:val="Normal"/>
        <w:numPr>
          <w:ilvl w:val="0"/>
          <w:numId w:val="6"/>
        </w:numPr>
        <w:tabs>
          <w:tab w:val="clear" w:pos="720"/>
          <w:tab w:val="left" w:pos="1080" w:leader="none"/>
        </w:tabs>
        <w:spacing w:lineRule="auto" w:line="480"/>
        <w:ind w:hanging="720" w:left="1080" w:right="360"/>
        <w:rPr>
          <w:rFonts w:ascii="Arial" w:hAnsi="Arial" w:eastAsia="Arial" w:cs="Arial"/>
          <w:sz w:val="22"/>
        </w:rPr>
      </w:pPr>
      <w:r>
        <w:rPr>
          <w:rFonts w:eastAsia="Arial" w:cs="Arial" w:ascii="Arial" w:hAnsi="Arial"/>
          <w:sz w:val="22"/>
        </w:rPr>
        <w:t>The Vendor's Solicitor's costs amounting to 1% of the Purchase Price or a minimum sum of £2,000 whichever is the greater</w:t>
      </w:r>
    </w:p>
    <w:p>
      <w:pPr>
        <w:pStyle w:val="Normal"/>
        <w:spacing w:lineRule="atLeast" w:line="0"/>
        <w:ind w:left="4560" w:right="0"/>
        <w:rPr>
          <w:rFonts w:ascii="Arial" w:hAnsi="Arial" w:eastAsia="Arial" w:cs="Arial"/>
          <w:b/>
          <w:sz w:val="22"/>
        </w:rPr>
      </w:pPr>
      <w:r>
        <w:rPr>
          <w:rFonts w:eastAsia="Arial" w:cs="Arial" w:ascii="Arial" w:hAnsi="Arial"/>
          <w:b/>
          <w:sz w:val="22"/>
        </w:rPr>
        <w:t>Part 3</w:t>
      </w:r>
    </w:p>
    <w:p>
      <w:pPr>
        <w:pStyle w:val="Normal"/>
        <w:spacing w:lineRule="exact" w:line="25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right="120"/>
        <w:jc w:val="center"/>
        <w:rPr>
          <w:rFonts w:ascii="Arial" w:hAnsi="Arial" w:eastAsia="Arial" w:cs="Arial"/>
          <w:sz w:val="22"/>
        </w:rPr>
      </w:pPr>
      <w:r>
        <w:rPr>
          <w:rFonts w:eastAsia="Arial" w:cs="Arial" w:ascii="Arial" w:hAnsi="Arial"/>
          <w:sz w:val="22"/>
        </w:rPr>
        <w:t>The sale is with vacant possession on completion.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500" w:leader="none"/>
          <w:tab w:val="left" w:pos="5380" w:leader="none"/>
        </w:tabs>
        <w:spacing w:lineRule="atLeast" w:line="0"/>
        <w:ind w:left="360" w:right="0"/>
        <w:rPr/>
      </w:pPr>
      <w:r>
        <w:rPr>
          <w:rFonts w:eastAsia="Arial" w:cs="Arial" w:ascii="Arial" w:hAnsi="Arial"/>
          <w:b/>
          <w:sz w:val="22"/>
        </w:rPr>
        <w:t>DATED</w:t>
      </w:r>
      <w:r>
        <w:rPr>
          <w:rFonts w:eastAsia="Arial" w:cs="Arial" w:ascii="Arial" w:hAnsi="Arial"/>
          <w:sz w:val="22"/>
        </w:rPr>
        <w:t xml:space="preserve"> this</w:t>
      </w:r>
      <w:r>
        <w:rPr>
          <w:rFonts w:eastAsia="Times New Roman" w:cs="Times New Roman" w:ascii="Times New Roman" w:hAnsi="Times New Roman"/>
        </w:rPr>
        <w:tab/>
      </w:r>
      <w:r>
        <w:rPr>
          <w:rFonts w:eastAsia="Arial" w:cs="Arial" w:ascii="Arial" w:hAnsi="Arial"/>
          <w:sz w:val="22"/>
        </w:rPr>
        <w:t>day of</w:t>
      </w:r>
      <w:r>
        <w:rPr>
          <w:rFonts w:eastAsia="Times New Roman" w:cs="Times New Roman" w:ascii="Times New Roman" w:hAnsi="Times New Roman"/>
        </w:rPr>
        <w:tab/>
      </w:r>
      <w:r>
        <w:rPr>
          <w:rFonts w:eastAsia="Arial" w:cs="Arial" w:ascii="Arial" w:hAnsi="Arial"/>
          <w:sz w:val="21"/>
        </w:rPr>
        <w:t>200</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pPr>
      <w:r>
        <w:rPr>
          <w:rFonts w:eastAsia="Arial" w:cs="Arial" w:ascii="Arial" w:hAnsi="Arial"/>
          <w:b/>
          <w:sz w:val="22"/>
        </w:rPr>
        <w:t>AS WITNESS</w:t>
      </w:r>
      <w:r>
        <w:rPr>
          <w:rFonts w:eastAsia="Arial" w:cs="Arial" w:ascii="Arial" w:hAnsi="Arial"/>
          <w:sz w:val="22"/>
        </w:rPr>
        <w:t xml:space="preserve"> the parties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Arial" w:hAnsi="Arial" w:eastAsia="Arial" w:cs="Arial"/>
          <w:b/>
          <w:sz w:val="22"/>
        </w:rPr>
      </w:pPr>
      <w:r>
        <w:rPr>
          <w:rFonts w:eastAsia="Arial" w:cs="Arial" w:ascii="Arial" w:hAnsi="Arial"/>
          <w:b/>
          <w:sz w:val="22"/>
        </w:rPr>
        <w:t>SIGNED:</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660" w:leader="none"/>
        </w:tabs>
        <w:spacing w:lineRule="atLeast" w:line="0"/>
        <w:ind w:left="360" w:right="0"/>
        <w:rPr/>
        <w:sectPr>
          <w:type w:val="nextPage"/>
          <w:pgSz w:w="11906" w:h="16838"/>
          <w:pgMar w:left="1440" w:right="1440" w:gutter="0" w:header="0" w:top="1423" w:footer="0" w:bottom="1440"/>
          <w:pgNumType w:fmt="decimal"/>
          <w:formProt w:val="false"/>
          <w:textDirection w:val="lrTb"/>
          <w:docGrid w:type="default" w:linePitch="360" w:charSpace="0"/>
        </w:sectPr>
      </w:pPr>
      <w:r>
        <w:rPr>
          <w:rFonts w:eastAsia="Arial" w:cs="Arial" w:ascii="Arial" w:hAnsi="Arial"/>
          <w:sz w:val="22"/>
        </w:rPr>
        <w:t>Vendor's Principal Lawyer</w:t>
      </w:r>
      <w:r>
        <w:rPr>
          <w:rFonts w:eastAsia="Times New Roman" w:cs="Times New Roman" w:ascii="Times New Roman" w:hAnsi="Times New Roman"/>
        </w:rPr>
        <w:tab/>
      </w:r>
      <w:r>
        <w:rPr>
          <w:rFonts w:eastAsia="Arial" w:cs="Arial" w:ascii="Arial" w:hAnsi="Arial"/>
          <w:sz w:val="22"/>
        </w:rPr>
        <w:t>Purchaser's Solicitor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bookmarkStart w:id="3" w:name="page4"/>
      <w:bookmarkEnd w:id="3"/>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Arial" w:hAnsi="Arial" w:eastAsia="Arial" w:cs="Arial"/>
          <w:sz w:val="22"/>
        </w:rPr>
      </w:pPr>
      <w:r>
        <w:rPr>
          <w:rFonts w:eastAsia="Arial" w:cs="Arial" w:ascii="Arial" w:hAnsi="Arial"/>
          <w:sz w:val="22"/>
        </w:rPr>
        <w:t>John Suddaby</w:t>
      </w:r>
    </w:p>
    <w:p>
      <w:pPr>
        <w:pStyle w:val="Normal"/>
        <w:spacing w:lineRule="exact" w:line="2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360" w:right="0"/>
        <w:rPr>
          <w:rFonts w:ascii="Arial" w:hAnsi="Arial" w:eastAsia="Arial" w:cs="Arial"/>
          <w:sz w:val="22"/>
        </w:rPr>
      </w:pPr>
      <w:r>
        <w:rPr>
          <w:rFonts w:eastAsia="Arial" w:cs="Arial" w:ascii="Arial" w:hAnsi="Arial"/>
          <w:sz w:val="22"/>
        </w:rPr>
        <w:t>Head of Legal Services</w:t>
      </w:r>
    </w:p>
    <w:p>
      <w:pPr>
        <w:pStyle w:val="Normal"/>
        <w:spacing w:lineRule="atLeast" w:line="0"/>
        <w:ind w:left="360" w:right="0"/>
        <w:rPr>
          <w:rFonts w:ascii="Arial" w:hAnsi="Arial" w:eastAsia="Arial" w:cs="Arial"/>
          <w:sz w:val="22"/>
        </w:rPr>
      </w:pPr>
      <w:r>
        <w:rPr>
          <w:rFonts w:eastAsia="Arial" w:cs="Arial" w:ascii="Arial" w:hAnsi="Arial"/>
          <w:sz w:val="22"/>
        </w:rPr>
        <w:t>London Borough of Haringey</w:t>
      </w:r>
    </w:p>
    <w:p>
      <w:pPr>
        <w:pStyle w:val="Normal"/>
        <w:spacing w:lineRule="atLeast" w:line="0"/>
        <w:ind w:left="360" w:right="0"/>
        <w:rPr>
          <w:rFonts w:ascii="Arial" w:hAnsi="Arial" w:eastAsia="Arial" w:cs="Arial"/>
          <w:sz w:val="22"/>
        </w:rPr>
      </w:pPr>
      <w:r>
        <w:rPr>
          <w:rFonts w:eastAsia="Arial" w:cs="Arial" w:ascii="Arial" w:hAnsi="Arial"/>
          <w:sz w:val="22"/>
        </w:rPr>
        <w:t>Alexandra House</w:t>
      </w:r>
    </w:p>
    <w:p>
      <w:pPr>
        <w:pStyle w:val="Normal"/>
        <w:spacing w:lineRule="atLeast" w:line="0"/>
        <w:ind w:left="360" w:right="0"/>
        <w:rPr>
          <w:rFonts w:ascii="Arial" w:hAnsi="Arial" w:eastAsia="Arial" w:cs="Arial"/>
          <w:sz w:val="22"/>
        </w:rPr>
      </w:pPr>
      <w:r>
        <w:rPr>
          <w:rFonts w:eastAsia="Arial" w:cs="Arial" w:ascii="Arial" w:hAnsi="Arial"/>
          <w:sz w:val="22"/>
        </w:rPr>
        <w:t>10 Station Road</w:t>
      </w:r>
    </w:p>
    <w:p>
      <w:pPr>
        <w:pStyle w:val="Normal"/>
        <w:spacing w:lineRule="atLeast" w:line="0"/>
        <w:ind w:left="360" w:right="0"/>
        <w:rPr>
          <w:rFonts w:ascii="Arial" w:hAnsi="Arial" w:eastAsia="Arial" w:cs="Arial"/>
          <w:sz w:val="22"/>
        </w:rPr>
      </w:pPr>
      <w:r>
        <w:rPr>
          <w:rFonts w:eastAsia="Arial" w:cs="Arial" w:ascii="Arial" w:hAnsi="Arial"/>
          <w:sz w:val="22"/>
        </w:rPr>
        <w:t>Wood Green</w:t>
      </w:r>
    </w:p>
    <w:p>
      <w:pPr>
        <w:pStyle w:val="Normal"/>
        <w:spacing w:lineRule="atLeast" w:line="0"/>
        <w:ind w:left="360" w:right="0"/>
        <w:rPr>
          <w:rFonts w:ascii="Arial" w:hAnsi="Arial" w:eastAsia="Arial" w:cs="Arial"/>
          <w:sz w:val="22"/>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Arial" w:cs="Arial" w:ascii="Arial" w:hAnsi="Arial"/>
          <w:sz w:val="22"/>
        </w:rPr>
        <w:t>London N22 7TR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drawing>
          <wp:anchor distT="0" distB="0" distL="114935" distR="114935" simplePos="0" relativeHeight="2" behindDoc="1" locked="0" layoutInCell="0" allowOverlap="1">
            <wp:simplePos x="0" y="0"/>
            <wp:positionH relativeFrom="page">
              <wp:posOffset>938530</wp:posOffset>
            </wp:positionH>
            <wp:positionV relativeFrom="page">
              <wp:posOffset>961390</wp:posOffset>
            </wp:positionV>
            <wp:extent cx="5682615" cy="92398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 t="-2" r="-3" b="-2"/>
                    <a:stretch>
                      <a:fillRect/>
                    </a:stretch>
                  </pic:blipFill>
                  <pic:spPr bwMode="auto">
                    <a:xfrm>
                      <a:off x="0" y="0"/>
                      <a:ext cx="5682615" cy="9239885"/>
                    </a:xfrm>
                    <a:prstGeom prst="rect">
                      <a:avLst/>
                    </a:prstGeom>
                    <a:noFill/>
                  </pic:spPr>
                </pic:pic>
              </a:graphicData>
            </a:graphic>
          </wp:anchor>
        </w:drawing>
      </w:r>
      <w:bookmarkStart w:id="4" w:name="page5"/>
      <w:bookmarkEnd w:id="4"/>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tbl>
      <w:tblPr>
        <w:tblW w:w="4860" w:type="dxa"/>
        <w:jc w:val="left"/>
        <w:tblInd w:w="1780" w:type="dxa"/>
        <w:tblLayout w:type="fixed"/>
        <w:tblCellMar>
          <w:top w:w="0" w:type="dxa"/>
          <w:left w:w="0" w:type="dxa"/>
          <w:bottom w:w="0" w:type="dxa"/>
          <w:right w:w="0" w:type="dxa"/>
        </w:tblCellMar>
      </w:tblPr>
      <w:tblGrid>
        <w:gridCol w:w="2540"/>
        <w:gridCol w:w="2320"/>
      </w:tblGrid>
      <w:tr>
        <w:trPr>
          <w:trHeight w:val="253" w:hRule="atLeast"/>
        </w:trPr>
        <w:tc>
          <w:tcPr>
            <w:tcW w:w="2540" w:type="dxa"/>
            <w:tcBorders>
              <w:bottom w:val="single" w:sz="8" w:space="0" w:color="000000"/>
            </w:tcBorders>
          </w:tcPr>
          <w:p>
            <w:pPr>
              <w:pStyle w:val="Normal"/>
              <w:spacing w:lineRule="atLeast" w:line="0"/>
              <w:rPr>
                <w:rFonts w:ascii="Arial" w:hAnsi="Arial" w:eastAsia="Arial" w:cs="Arial"/>
                <w:sz w:val="22"/>
              </w:rPr>
            </w:pPr>
            <w:r>
              <w:rPr>
                <w:rFonts w:eastAsia="Arial" w:cs="Arial" w:ascii="Arial" w:hAnsi="Arial"/>
                <w:sz w:val="22"/>
              </w:rPr>
              <w:t>Dated</w:t>
            </w:r>
          </w:p>
        </w:tc>
        <w:tc>
          <w:tcPr>
            <w:tcW w:w="2320" w:type="dxa"/>
            <w:tcBorders>
              <w:bottom w:val="single" w:sz="8" w:space="0" w:color="000000"/>
            </w:tcBorders>
          </w:tcPr>
          <w:p>
            <w:pPr>
              <w:pStyle w:val="Normal"/>
              <w:spacing w:lineRule="atLeast" w:line="0"/>
              <w:jc w:val="right"/>
              <w:rPr>
                <w:rFonts w:ascii="Arial" w:hAnsi="Arial" w:eastAsia="Arial" w:cs="Arial"/>
                <w:sz w:val="22"/>
              </w:rPr>
            </w:pPr>
            <w:r>
              <w:rPr>
                <w:rFonts w:eastAsia="Arial" w:cs="Arial" w:ascii="Arial" w:hAnsi="Arial"/>
                <w:sz w:val="22"/>
              </w:rPr>
              <w:t>200</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2"/>
        </w:rPr>
      </w:pPr>
      <w:r>
        <w:rPr>
          <w:rFonts w:eastAsia="Arial" w:cs="Arial" w:ascii="Arial" w:hAnsi="Arial"/>
          <w:b/>
          <w:sz w:val="22"/>
        </w:rPr>
        <w:t>THE MAYOR AND BURGESSES OF THE</w:t>
      </w:r>
    </w:p>
    <w:p>
      <w:pPr>
        <w:pStyle w:val="Normal"/>
        <w:spacing w:lineRule="exact" w:line="2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jc w:val="center"/>
        <w:rPr>
          <w:rFonts w:ascii="Arial" w:hAnsi="Arial" w:eastAsia="Arial" w:cs="Arial"/>
          <w:b/>
          <w:sz w:val="24"/>
        </w:rPr>
      </w:pPr>
      <w:r>
        <w:rPr>
          <w:rFonts w:eastAsia="Arial" w:cs="Arial" w:ascii="Arial" w:hAnsi="Arial"/>
          <w:b/>
          <w:sz w:val="24"/>
        </w:rPr>
        <w:t>LONDON BOROUGH OF HARINGEY</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sz w:val="22"/>
        </w:rPr>
      </w:pPr>
      <w:r>
        <w:rPr>
          <w:rFonts w:eastAsia="Arial" w:cs="Arial" w:ascii="Arial" w:hAnsi="Arial"/>
          <w:sz w:val="22"/>
        </w:rPr>
        <w:t>- and -</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2"/>
        </w:rPr>
      </w:pPr>
      <w:r>
        <w:rPr>
          <w:rFonts w:eastAsia="Arial" w:cs="Arial" w:ascii="Arial" w:hAnsi="Arial"/>
          <w:b/>
          <w:sz w:val="22"/>
        </w:rPr>
        <w:t>AGREEMENT</w:t>
      </w:r>
    </w:p>
    <w:p>
      <w:pPr>
        <w:pStyle w:val="Normal"/>
        <w:spacing w:lineRule="exact" w:line="252"/>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jc w:val="center"/>
        <w:rPr>
          <w:rFonts w:ascii="Arial" w:hAnsi="Arial" w:eastAsia="Arial" w:cs="Arial"/>
          <w:sz w:val="22"/>
        </w:rPr>
      </w:pPr>
      <w:r>
        <w:rPr>
          <w:rFonts w:eastAsia="Arial" w:cs="Arial" w:ascii="Arial" w:hAnsi="Arial"/>
          <w:sz w:val="22"/>
        </w:rPr>
        <w:t>For the sale and purchase of 1-12 Archway Heights</w:t>
      </w:r>
    </w:p>
    <w:p>
      <w:pPr>
        <w:pStyle w:val="Normal"/>
        <w:spacing w:lineRule="exact" w:line="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jc w:val="center"/>
        <w:rPr>
          <w:rFonts w:ascii="Arial" w:hAnsi="Arial" w:eastAsia="Arial" w:cs="Arial"/>
          <w:sz w:val="22"/>
        </w:rPr>
      </w:pPr>
      <w:r>
        <w:rPr>
          <w:rFonts w:eastAsia="Arial" w:cs="Arial" w:ascii="Arial" w:hAnsi="Arial"/>
          <w:sz w:val="22"/>
        </w:rPr>
        <w:t>16 Archway Road</w:t>
      </w:r>
    </w:p>
    <w:p>
      <w:pPr>
        <w:pStyle w:val="Normal"/>
        <w:spacing w:lineRule="atLeast" w:line="0"/>
        <w:jc w:val="center"/>
        <w:rPr>
          <w:rFonts w:ascii="Arial" w:hAnsi="Arial" w:eastAsia="Arial" w:cs="Arial"/>
          <w:sz w:val="22"/>
        </w:rPr>
      </w:pPr>
      <w:r>
        <w:rPr>
          <w:rFonts w:eastAsia="Arial" w:cs="Arial" w:ascii="Arial" w:hAnsi="Arial"/>
          <w:sz w:val="22"/>
        </w:rPr>
        <w:t>London N19</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sz w:val="22"/>
        </w:rPr>
      </w:pPr>
      <w:r>
        <w:rPr>
          <w:rFonts w:eastAsia="Arial" w:cs="Arial" w:ascii="Arial" w:hAnsi="Arial"/>
          <w:sz w:val="22"/>
        </w:rPr>
        <w:t>London Borough of Haringey</w:t>
      </w:r>
    </w:p>
    <w:p>
      <w:pPr>
        <w:pStyle w:val="Normal"/>
        <w:spacing w:lineRule="exact" w:line="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jc w:val="center"/>
        <w:rPr>
          <w:rFonts w:ascii="Arial" w:hAnsi="Arial" w:eastAsia="Arial" w:cs="Arial"/>
          <w:sz w:val="22"/>
        </w:rPr>
      </w:pPr>
      <w:r>
        <w:rPr>
          <w:rFonts w:eastAsia="Arial" w:cs="Arial" w:ascii="Arial" w:hAnsi="Arial"/>
          <w:sz w:val="22"/>
        </w:rPr>
        <w:t>Alexandra House</w:t>
      </w:r>
    </w:p>
    <w:p>
      <w:pPr>
        <w:pStyle w:val="Normal"/>
        <w:spacing w:lineRule="atLeast" w:line="0"/>
        <w:jc w:val="center"/>
        <w:rPr>
          <w:rFonts w:ascii="Arial" w:hAnsi="Arial" w:eastAsia="Arial" w:cs="Arial"/>
          <w:sz w:val="22"/>
        </w:rPr>
      </w:pPr>
      <w:r>
        <w:rPr>
          <w:rFonts w:eastAsia="Arial" w:cs="Arial" w:ascii="Arial" w:hAnsi="Arial"/>
          <w:sz w:val="22"/>
        </w:rPr>
        <w:t>10 Station Road</w:t>
      </w:r>
    </w:p>
    <w:p>
      <w:pPr>
        <w:pStyle w:val="Normal"/>
        <w:spacing w:lineRule="atLeast" w:line="0"/>
        <w:jc w:val="center"/>
        <w:rPr>
          <w:rFonts w:ascii="Arial" w:hAnsi="Arial" w:eastAsia="Arial" w:cs="Arial"/>
          <w:sz w:val="22"/>
        </w:rPr>
      </w:pPr>
      <w:r>
        <w:rPr>
          <w:rFonts w:eastAsia="Arial" w:cs="Arial" w:ascii="Arial" w:hAnsi="Arial"/>
          <w:sz w:val="22"/>
        </w:rPr>
        <w:t>Wood Green</w:t>
      </w:r>
    </w:p>
    <w:p>
      <w:pPr>
        <w:pStyle w:val="Normal"/>
        <w:spacing w:lineRule="atLeast" w:line="0"/>
        <w:jc w:val="center"/>
        <w:rPr>
          <w:rFonts w:ascii="Arial" w:hAnsi="Arial" w:eastAsia="Arial" w:cs="Arial"/>
          <w:sz w:val="22"/>
        </w:rPr>
      </w:pPr>
      <w:r>
        <w:rPr>
          <w:rFonts w:eastAsia="Arial" w:cs="Arial" w:ascii="Arial" w:hAnsi="Arial"/>
          <w:sz w:val="22"/>
        </w:rPr>
        <w:t>London N22 7TR</w:t>
      </w:r>
    </w:p>
    <w:p>
      <w:pPr>
        <w:pStyle w:val="Normal"/>
        <w:spacing w:lineRule="exact" w:line="23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jc w:val="center"/>
        <w:rPr>
          <w:rFonts w:ascii="Arial" w:hAnsi="Arial" w:eastAsia="Arial" w:cs="Arial"/>
          <w:sz w:val="22"/>
        </w:rPr>
      </w:pPr>
      <w:r>
        <w:rPr>
          <w:rFonts w:eastAsia="Arial" w:cs="Arial" w:ascii="Arial" w:hAnsi="Arial"/>
          <w:sz w:val="22"/>
        </w:rPr>
        <w:t>Ref: LEG/PRO/10729/ZBS</w:t>
      </w:r>
    </w:p>
    <w:p>
      <w:pPr>
        <w:pStyle w:val="Normal"/>
        <w:spacing w:lineRule="exact" w:line="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jc w:val="center"/>
        <w:rPr>
          <w:rFonts w:ascii="Arial" w:hAnsi="Arial" w:eastAsia="Arial" w:cs="Arial"/>
          <w:sz w:val="22"/>
        </w:rPr>
      </w:pPr>
      <w:r>
        <w:rPr>
          <w:rFonts w:eastAsia="Arial" w:cs="Arial" w:ascii="Arial" w:hAnsi="Arial"/>
          <w:sz w:val="22"/>
        </w:rPr>
        <w:t>MASTER: AGREEMENT for Sale and Purchase</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0" w:hanging="0"/>
      </w:pPr>
    </w:lvl>
  </w:abstractNum>
  <w:abstractNum w:abstractNumId="2">
    <w:lvl w:ilvl="0">
      <w:start w:val="1"/>
      <w:numFmt w:val="upperLetter"/>
      <w:lvlText w:val="%1."/>
      <w:lvlJc w:val="left"/>
      <w:pPr>
        <w:tabs>
          <w:tab w:val="num" w:pos="0"/>
        </w:tabs>
        <w:ind w:left="0" w:hanging="0"/>
      </w:pPr>
    </w:lvl>
  </w:abstractNum>
  <w:abstractNum w:abstractNumId="3">
    <w:lvl w:ilvl="0">
      <w:start w:val="3"/>
      <w:numFmt w:val="upperLetter"/>
      <w:lvlText w:val="%1."/>
      <w:lvlJc w:val="left"/>
      <w:pPr>
        <w:tabs>
          <w:tab w:val="num" w:pos="0"/>
        </w:tabs>
        <w:ind w:left="0" w:hanging="0"/>
      </w:pPr>
    </w:lvl>
  </w:abstractNum>
  <w:abstractNum w:abstractNumId="4">
    <w:lvl w:ilvl="0">
      <w:start w:val="12"/>
      <w:numFmt w:val="upperLetter"/>
      <w:lvlText w:val="%1."/>
      <w:lvlJc w:val="left"/>
      <w:pPr>
        <w:tabs>
          <w:tab w:val="num" w:pos="0"/>
        </w:tabs>
        <w:ind w:left="0" w:hanging="0"/>
      </w:pPr>
    </w:lvl>
  </w:abstractNum>
  <w:abstractNum w:abstractNumId="5">
    <w:lvl w:ilvl="0">
      <w:start w:val="1"/>
      <w:numFmt w:val="decimal"/>
      <w:lvlText w:val="%1."/>
      <w:lvlJc w:val="left"/>
      <w:pPr>
        <w:tabs>
          <w:tab w:val="num" w:pos="0"/>
        </w:tabs>
        <w:ind w:left="0" w:hanging="0"/>
      </w:pPr>
    </w:lvl>
  </w:abstractNum>
  <w:abstractNum w:abstractNumId="6">
    <w:lvl w:ilvl="0">
      <w:start w:val="1"/>
      <w:numFmt w:val="decimal"/>
      <w:lvlText w:val="%1."/>
      <w:lvlJc w:val="left"/>
      <w:pPr>
        <w:tabs>
          <w:tab w:val="num" w:pos="0"/>
        </w:tabs>
        <w:ind w:left="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