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start="80" w:end="0"/>
        <w:rPr>
          <w:rFonts w:ascii="Times New Roman" w:hAnsi="Times New Roman" w:eastAsia="Times New Roman" w:cs="Times New Roman"/>
          <w:b/>
          <w:sz w:val="28"/>
        </w:rPr>
      </w:pPr>
      <w:bookmarkStart w:id="0" w:name="page1"/>
      <w:bookmarkEnd w:id="0"/>
      <w:r>
        <w:rPr>
          <w:rFonts w:eastAsia="Times New Roman" w:cs="Times New Roman" w:ascii="Times New Roman" w:hAnsi="Times New Roman"/>
          <w:b/>
          <w:sz w:val="28"/>
        </w:rPr>
        <w:t>CONTRACT TERMINATION AND MUTUAL RELEASE AGREEMENT</w:t>
      </w:r>
    </w:p>
    <w:p>
      <w:pPr>
        <w:pStyle w:val="Normal"/>
        <w:spacing w:lineRule="exact" w:line="293"/>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4"/>
        <w:ind w:firstLine="720" w:end="0"/>
        <w:jc w:val="both"/>
        <w:rPr/>
      </w:pPr>
      <w:r>
        <w:rPr>
          <w:rFonts w:eastAsia="Times New Roman" w:cs="Times New Roman" w:ascii="Times New Roman" w:hAnsi="Times New Roman"/>
          <w:sz w:val="24"/>
        </w:rPr>
        <w:t>This Contract Termination and Mutual Release Agreement (this “</w:t>
      </w:r>
      <w:r>
        <w:rPr>
          <w:rFonts w:eastAsia="Times New Roman" w:cs="Times New Roman" w:ascii="Times New Roman" w:hAnsi="Times New Roman"/>
          <w:b/>
          <w:sz w:val="24"/>
        </w:rPr>
        <w:t>Termination Agreement</w:t>
      </w:r>
      <w:r>
        <w:rPr>
          <w:rFonts w:eastAsia="Times New Roman" w:cs="Times New Roman" w:ascii="Times New Roman" w:hAnsi="Times New Roman"/>
          <w:sz w:val="24"/>
        </w:rPr>
        <w:t>”), is entered into by and between Devnet, Incorporated (“</w:t>
      </w:r>
      <w:r>
        <w:rPr>
          <w:rFonts w:eastAsia="Times New Roman" w:cs="Times New Roman" w:ascii="Times New Roman" w:hAnsi="Times New Roman"/>
          <w:b/>
          <w:sz w:val="24"/>
        </w:rPr>
        <w:t>Devnet</w:t>
      </w:r>
      <w:r>
        <w:rPr>
          <w:rFonts w:eastAsia="Times New Roman" w:cs="Times New Roman" w:ascii="Times New Roman" w:hAnsi="Times New Roman"/>
          <w:sz w:val="24"/>
        </w:rPr>
        <w:t>”), on the one hand, and</w:t>
      </w:r>
      <w:r>
        <w:rPr>
          <w:rFonts w:eastAsia="Times New Roman" w:cs="Times New Roman" w:ascii="Times New Roman" w:hAnsi="Times New Roman"/>
          <w:b/>
          <w:sz w:val="24"/>
        </w:rPr>
        <w:t xml:space="preserve"> </w:t>
      </w:r>
      <w:r>
        <w:rPr>
          <w:rFonts w:eastAsia="Times New Roman" w:cs="Times New Roman" w:ascii="Times New Roman" w:hAnsi="Times New Roman"/>
          <w:sz w:val="24"/>
        </w:rPr>
        <w:t>Humboldt County, Nevada (“</w:t>
      </w:r>
      <w:r>
        <w:rPr>
          <w:rFonts w:eastAsia="Times New Roman" w:cs="Times New Roman" w:ascii="Times New Roman" w:hAnsi="Times New Roman"/>
          <w:b/>
          <w:sz w:val="24"/>
        </w:rPr>
        <w:t>Humboldt County</w:t>
      </w:r>
      <w:r>
        <w:rPr>
          <w:rFonts w:eastAsia="Times New Roman" w:cs="Times New Roman" w:ascii="Times New Roman" w:hAnsi="Times New Roman"/>
          <w:sz w:val="24"/>
        </w:rPr>
        <w:t>” or the “</w:t>
      </w:r>
      <w:r>
        <w:rPr>
          <w:rFonts w:eastAsia="Times New Roman" w:cs="Times New Roman" w:ascii="Times New Roman" w:hAnsi="Times New Roman"/>
          <w:b/>
          <w:sz w:val="24"/>
        </w:rPr>
        <w:t>County</w:t>
      </w:r>
      <w:r>
        <w:rPr>
          <w:rFonts w:eastAsia="Times New Roman" w:cs="Times New Roman" w:ascii="Times New Roman" w:hAnsi="Times New Roman"/>
          <w:sz w:val="24"/>
        </w:rPr>
        <w:t>”), on the other hand (together, the “</w:t>
      </w:r>
      <w:r>
        <w:rPr>
          <w:rFonts w:eastAsia="Times New Roman" w:cs="Times New Roman" w:ascii="Times New Roman" w:hAnsi="Times New Roman"/>
          <w:b/>
          <w:sz w:val="24"/>
        </w:rPr>
        <w:t>Parties</w:t>
      </w:r>
      <w:r>
        <w:rPr>
          <w:rFonts w:eastAsia="Times New Roman" w:cs="Times New Roman" w:ascii="Times New Roman" w:hAnsi="Times New Roman"/>
          <w:sz w:val="24"/>
        </w:rPr>
        <w:t>).</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8"/>
        <w:ind w:firstLine="720" w:end="0"/>
        <w:jc w:val="both"/>
        <w:rPr/>
      </w:pPr>
      <w:r>
        <w:rPr>
          <w:rFonts w:eastAsia="Times New Roman" w:cs="Times New Roman" w:ascii="Times New Roman" w:hAnsi="Times New Roman"/>
          <w:sz w:val="24"/>
        </w:rPr>
        <w:t xml:space="preserve">WHEREAS, the Parties executed that certain </w:t>
      </w:r>
      <w:r>
        <w:rPr>
          <w:rFonts w:eastAsia="Times New Roman" w:cs="Times New Roman" w:ascii="Times New Roman" w:hAnsi="Times New Roman"/>
          <w:i/>
          <w:sz w:val="24"/>
        </w:rPr>
        <w:t>Contract for Property Tax and wEdge License, Maintenance, and Support</w:t>
      </w:r>
      <w:r>
        <w:rPr>
          <w:rFonts w:eastAsia="Times New Roman" w:cs="Times New Roman" w:ascii="Times New Roman" w:hAnsi="Times New Roman"/>
          <w:sz w:val="24"/>
        </w:rPr>
        <w:t xml:space="preserve"> dated July 1, 2017 (the “</w:t>
      </w:r>
      <w:r>
        <w:rPr>
          <w:rFonts w:eastAsia="Times New Roman" w:cs="Times New Roman" w:ascii="Times New Roman" w:hAnsi="Times New Roman"/>
          <w:b/>
          <w:i/>
          <w:sz w:val="24"/>
        </w:rPr>
        <w:t>Agreement</w:t>
      </w:r>
      <w:r>
        <w:rPr>
          <w:rFonts w:eastAsia="Times New Roman" w:cs="Times New Roman" w:ascii="Times New Roman" w:hAnsi="Times New Roman"/>
          <w:sz w:val="24"/>
        </w:rPr>
        <w:t>”);</w:t>
      </w:r>
    </w:p>
    <w:p>
      <w:pPr>
        <w:pStyle w:val="Normal"/>
        <w:spacing w:lineRule="exact" w:line="18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720" w:end="0"/>
        <w:jc w:val="both"/>
        <w:rPr/>
      </w:pPr>
      <w:r>
        <w:rPr>
          <w:rFonts w:eastAsia="Times New Roman" w:cs="Times New Roman" w:ascii="Times New Roman" w:hAnsi="Times New Roman"/>
          <w:sz w:val="23"/>
        </w:rPr>
        <w:t xml:space="preserve">WHEREAS the Parties wish to amicably resolve matters relative to the termination of their respective obligations under the </w:t>
      </w:r>
      <w:r>
        <w:rPr>
          <w:rFonts w:eastAsia="Times New Roman" w:cs="Times New Roman" w:ascii="Times New Roman" w:hAnsi="Times New Roman"/>
          <w:i/>
          <w:sz w:val="23"/>
        </w:rPr>
        <w:t>Agreement</w:t>
      </w:r>
      <w:r>
        <w:rPr>
          <w:rFonts w:eastAsia="Times New Roman" w:cs="Times New Roman" w:ascii="Times New Roman" w:hAnsi="Times New Roman"/>
          <w:sz w:val="23"/>
        </w:rPr>
        <w:t xml:space="preserve">, as well as any and all other disputes or controversies which might have been asserted relative to the </w:t>
      </w:r>
      <w:r>
        <w:rPr>
          <w:rFonts w:eastAsia="Times New Roman" w:cs="Times New Roman" w:ascii="Times New Roman" w:hAnsi="Times New Roman"/>
          <w:i/>
          <w:sz w:val="23"/>
        </w:rPr>
        <w:t>Agreement</w:t>
      </w:r>
      <w:r>
        <w:rPr>
          <w:rFonts w:eastAsia="Times New Roman" w:cs="Times New Roman" w:ascii="Times New Roman" w:hAnsi="Times New Roman"/>
          <w:sz w:val="23"/>
        </w:rPr>
        <w:t xml:space="preserve">, all effective as of </w:t>
      </w:r>
      <w:r>
        <w:rPr>
          <w:rFonts w:eastAsia="Times New Roman" w:cs="Times New Roman" w:ascii="Times New Roman" w:hAnsi="Times New Roman"/>
          <w:sz w:val="23"/>
          <w:highlight w:val="yellow"/>
        </w:rPr>
        <w:t>__________</w:t>
      </w:r>
      <w:r>
        <w:rPr>
          <w:rFonts w:eastAsia="Times New Roman" w:cs="Times New Roman" w:ascii="Times New Roman" w:hAnsi="Times New Roman"/>
          <w:sz w:val="23"/>
        </w:rPr>
        <w:t>, 2020 (the</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w:t>
      </w:r>
      <w:r>
        <w:rPr>
          <w:rFonts w:eastAsia="Times New Roman" w:cs="Times New Roman" w:ascii="Times New Roman" w:hAnsi="Times New Roman"/>
          <w:b/>
          <w:sz w:val="24"/>
        </w:rPr>
        <w:t>Effective Date</w:t>
      </w:r>
      <w:r>
        <w:rPr>
          <w:rFonts w:eastAsia="Times New Roman" w:cs="Times New Roman" w:ascii="Times New Roman" w:hAnsi="Times New Roman"/>
          <w:sz w:val="24"/>
        </w:rPr>
        <w:t>” of this Termination Agreement).</w:t>
      </w:r>
    </w:p>
    <w:p>
      <w:pPr>
        <w:pStyle w:val="Normal"/>
        <w:spacing w:lineRule="exact" w:line="28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8"/>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NOW, THEREFORE, in consideration of the mutual promises contained herein, the Parties agree as follows:</w:t>
      </w:r>
    </w:p>
    <w:p>
      <w:pPr>
        <w:pStyle w:val="Normal"/>
        <w:spacing w:lineRule="exact" w:line="18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800" w:leader="none"/>
        </w:tabs>
        <w:spacing w:lineRule="auto" w:line="278"/>
        <w:ind w:firstLine="1080" w:end="0"/>
        <w:rPr>
          <w:rFonts w:ascii="Times New Roman" w:hAnsi="Times New Roman" w:eastAsia="Times New Roman" w:cs="Times New Roman"/>
          <w:sz w:val="24"/>
        </w:rPr>
      </w:pPr>
      <w:r>
        <w:rPr>
          <w:rFonts w:eastAsia="Times New Roman" w:cs="Times New Roman" w:ascii="Times New Roman" w:hAnsi="Times New Roman"/>
          <w:sz w:val="24"/>
        </w:rPr>
        <w:t xml:space="preserve">Subject to the remaining terms of this Termination Agreement, the parties hereby terminate the </w:t>
      </w:r>
      <w:r>
        <w:rPr>
          <w:rFonts w:eastAsia="Times New Roman" w:cs="Times New Roman" w:ascii="Times New Roman" w:hAnsi="Times New Roman"/>
          <w:i/>
          <w:sz w:val="24"/>
        </w:rPr>
        <w:t>Agreement</w:t>
      </w:r>
      <w:r>
        <w:rPr>
          <w:rFonts w:eastAsia="Times New Roman" w:cs="Times New Roman" w:ascii="Times New Roman" w:hAnsi="Times New Roman"/>
          <w:sz w:val="24"/>
        </w:rPr>
        <w:t>, and proceed with a transition process as follows:</w:t>
      </w:r>
    </w:p>
    <w:p>
      <w:pPr>
        <w:pStyle w:val="Normal"/>
        <w:spacing w:lineRule="exact" w:line="15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
        </w:numPr>
        <w:tabs>
          <w:tab w:val="clear" w:pos="720"/>
          <w:tab w:val="left" w:pos="2160" w:leader="none"/>
        </w:tabs>
        <w:spacing w:lineRule="auto" w:line="252"/>
        <w:ind w:firstLine="1531" w:end="0"/>
        <w:jc w:val="both"/>
        <w:rPr>
          <w:rFonts w:ascii="Times New Roman" w:hAnsi="Times New Roman" w:eastAsia="Times New Roman" w:cs="Times New Roman"/>
          <w:sz w:val="24"/>
        </w:rPr>
      </w:pPr>
      <w:r>
        <w:rPr>
          <w:rFonts w:eastAsia="Times New Roman" w:cs="Times New Roman" w:ascii="Times New Roman" w:hAnsi="Times New Roman"/>
          <w:sz w:val="24"/>
          <w:u w:val="single"/>
        </w:rPr>
        <w:t>Fees</w:t>
      </w:r>
      <w:r>
        <w:rPr>
          <w:rFonts w:eastAsia="Times New Roman" w:cs="Times New Roman" w:ascii="Times New Roman" w:hAnsi="Times New Roman"/>
          <w:sz w:val="24"/>
        </w:rPr>
        <w:t xml:space="preserve">. Devnet agrees that Humboldt County shall owe no further fees to Devnet, and Devnet expressly waives and releases all claims for payment which Devnet might have demanded or sought pursuant to Article 5 of the </w:t>
      </w:r>
      <w:r>
        <w:rPr>
          <w:rFonts w:eastAsia="Times New Roman" w:cs="Times New Roman" w:ascii="Times New Roman" w:hAnsi="Times New Roman"/>
          <w:i/>
          <w:sz w:val="24"/>
        </w:rPr>
        <w:t>Agreement</w:t>
      </w:r>
      <w:r>
        <w:rPr>
          <w:rFonts w:eastAsia="Times New Roman" w:cs="Times New Roman" w:ascii="Times New Roman" w:hAnsi="Times New Roman"/>
          <w:sz w:val="24"/>
        </w:rPr>
        <w:t>. Humboldt County shall not claim reimbursement for any fees paid to Devnet previously.</w:t>
      </w:r>
    </w:p>
    <w:p>
      <w:pPr>
        <w:pStyle w:val="Normal"/>
        <w:spacing w:lineRule="exact" w:line="18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
        </w:numPr>
        <w:tabs>
          <w:tab w:val="clear" w:pos="720"/>
          <w:tab w:val="left" w:pos="2160" w:leader="none"/>
        </w:tabs>
        <w:spacing w:lineRule="auto" w:line="244"/>
        <w:ind w:firstLine="1531" w:end="0"/>
        <w:jc w:val="both"/>
        <w:rPr>
          <w:rFonts w:ascii="Times New Roman" w:hAnsi="Times New Roman" w:eastAsia="Times New Roman" w:cs="Times New Roman"/>
          <w:sz w:val="24"/>
        </w:rPr>
      </w:pPr>
      <w:r>
        <w:rPr>
          <w:rFonts w:eastAsia="Times New Roman" w:cs="Times New Roman" w:ascii="Times New Roman" w:hAnsi="Times New Roman"/>
          <w:sz w:val="24"/>
          <w:u w:val="single"/>
        </w:rPr>
        <w:t>Devnet Support</w:t>
      </w:r>
      <w:r>
        <w:rPr>
          <w:rFonts w:eastAsia="Times New Roman" w:cs="Times New Roman" w:ascii="Times New Roman" w:hAnsi="Times New Roman"/>
          <w:sz w:val="24"/>
        </w:rPr>
        <w:t>: Devnet agrees to continue to provide Humboldt County with reasonable support relating to the ADS System through August 31, 2021 (said period being the “</w:t>
      </w:r>
      <w:r>
        <w:rPr>
          <w:rFonts w:eastAsia="Times New Roman" w:cs="Times New Roman" w:ascii="Times New Roman" w:hAnsi="Times New Roman"/>
          <w:b/>
          <w:sz w:val="24"/>
        </w:rPr>
        <w:t>Support Period</w:t>
      </w:r>
      <w:r>
        <w:rPr>
          <w:rFonts w:eastAsia="Times New Roman" w:cs="Times New Roman" w:ascii="Times New Roman" w:hAnsi="Times New Roman"/>
          <w:sz w:val="24"/>
        </w:rPr>
        <w:t>”). It is understood and agreed that if Devnet’s tech-support personnel relating to the ADS System should resign employment with Devnet or otherwise become incapacitated or unavailable during the Support Period, Devnet shall not have further obligation as of that time to provide the ADS System support. With respect to the Devnet services during the Support Period, the Parties understand and agree that:</w:t>
      </w:r>
    </w:p>
    <w:p>
      <w:pPr>
        <w:pStyle w:val="Normal"/>
        <w:spacing w:lineRule="exact" w:line="19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2"/>
          <w:numId w:val="1"/>
        </w:numPr>
        <w:tabs>
          <w:tab w:val="clear" w:pos="720"/>
          <w:tab w:val="left" w:pos="2880" w:leader="none"/>
        </w:tabs>
        <w:spacing w:lineRule="atLeast" w:line="0"/>
        <w:ind w:hanging="720" w:start="2880" w:end="0"/>
        <w:rPr>
          <w:rFonts w:ascii="Times New Roman" w:hAnsi="Times New Roman" w:eastAsia="Times New Roman" w:cs="Times New Roman"/>
          <w:sz w:val="24"/>
        </w:rPr>
      </w:pPr>
      <w:r>
        <w:rPr>
          <w:rFonts w:eastAsia="Times New Roman" w:cs="Times New Roman" w:ascii="Times New Roman" w:hAnsi="Times New Roman"/>
          <w:sz w:val="24"/>
        </w:rPr>
        <w:t>The ADS System and software was not developed by Devnet;</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2"/>
          <w:numId w:val="1"/>
        </w:numPr>
        <w:tabs>
          <w:tab w:val="clear" w:pos="720"/>
          <w:tab w:val="left" w:pos="2880" w:leader="none"/>
        </w:tabs>
        <w:spacing w:lineRule="auto" w:line="278"/>
        <w:ind w:hanging="720" w:start="2880" w:end="0"/>
        <w:rPr>
          <w:rFonts w:ascii="Times New Roman" w:hAnsi="Times New Roman" w:eastAsia="Times New Roman" w:cs="Times New Roman"/>
          <w:sz w:val="24"/>
        </w:rPr>
      </w:pPr>
      <w:r>
        <w:rPr>
          <w:rFonts w:eastAsia="Times New Roman" w:cs="Times New Roman" w:ascii="Times New Roman" w:hAnsi="Times New Roman"/>
          <w:sz w:val="24"/>
        </w:rPr>
        <w:t>Devnet shall provide “as is” support of the ADS Software System, during Devnet’s normal business hours;</w:t>
      </w:r>
    </w:p>
    <w:p>
      <w:pPr>
        <w:pStyle w:val="Normal"/>
        <w:spacing w:lineRule="exact" w:line="15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2"/>
          <w:numId w:val="1"/>
        </w:numPr>
        <w:tabs>
          <w:tab w:val="clear" w:pos="720"/>
          <w:tab w:val="left" w:pos="2880" w:leader="none"/>
        </w:tabs>
        <w:spacing w:lineRule="atLeast" w:line="0"/>
        <w:ind w:hanging="720" w:start="2880" w:end="0"/>
        <w:rPr>
          <w:rFonts w:ascii="Times New Roman" w:hAnsi="Times New Roman" w:eastAsia="Times New Roman" w:cs="Times New Roman"/>
          <w:sz w:val="24"/>
        </w:rPr>
      </w:pPr>
      <w:r>
        <w:rPr>
          <w:rFonts w:eastAsia="Times New Roman" w:cs="Times New Roman" w:ascii="Times New Roman" w:hAnsi="Times New Roman"/>
          <w:sz w:val="24"/>
        </w:rPr>
        <w:t>The only updates that Devnet will provide to the ADS System are: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3"/>
          <w:numId w:val="1"/>
        </w:numPr>
        <w:tabs>
          <w:tab w:val="clear" w:pos="720"/>
          <w:tab w:val="left" w:pos="3240" w:leader="none"/>
        </w:tabs>
        <w:spacing w:lineRule="atLeast" w:line="0"/>
        <w:ind w:hanging="360" w:start="3240" w:end="0"/>
        <w:rPr>
          <w:rFonts w:ascii="Times New Roman" w:hAnsi="Times New Roman" w:eastAsia="Times New Roman" w:cs="Times New Roman"/>
          <w:sz w:val="24"/>
        </w:rPr>
      </w:pPr>
      <w:r>
        <w:rPr>
          <w:rFonts w:eastAsia="Times New Roman" w:cs="Times New Roman" w:ascii="Times New Roman" w:hAnsi="Times New Roman"/>
          <w:sz w:val="24"/>
        </w:rPr>
        <w:t>Abatement cap buckets; and</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3"/>
          <w:numId w:val="1"/>
        </w:numPr>
        <w:tabs>
          <w:tab w:val="clear" w:pos="720"/>
          <w:tab w:val="left" w:pos="3240" w:leader="none"/>
        </w:tabs>
        <w:spacing w:lineRule="atLeast" w:line="0"/>
        <w:ind w:hanging="360" w:start="3240" w:end="0"/>
        <w:rPr>
          <w:rFonts w:ascii="Times New Roman" w:hAnsi="Times New Roman" w:eastAsia="Times New Roman" w:cs="Times New Roman"/>
          <w:sz w:val="23"/>
        </w:rPr>
      </w:pPr>
      <w:r>
        <w:rPr>
          <w:rFonts w:eastAsia="Times New Roman" w:cs="Times New Roman" w:ascii="Times New Roman" w:hAnsi="Times New Roman"/>
          <w:sz w:val="23"/>
        </w:rPr>
        <w:t>The most recent version of the Marshall and Swift costing tables.</w:t>
      </w:r>
    </w:p>
    <w:p>
      <w:pPr>
        <w:pStyle w:val="Normal"/>
        <w:spacing w:lineRule="exact" w:line="251"/>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2"/>
          <w:numId w:val="1"/>
        </w:numPr>
        <w:tabs>
          <w:tab w:val="clear" w:pos="720"/>
          <w:tab w:val="left" w:pos="2880" w:leader="none"/>
        </w:tabs>
        <w:spacing w:lineRule="auto" w:line="278"/>
        <w:ind w:hanging="720" w:start="2880" w:end="0"/>
        <w:rPr>
          <w:rFonts w:ascii="Times New Roman" w:hAnsi="Times New Roman" w:eastAsia="Times New Roman" w:cs="Times New Roman"/>
          <w:sz w:val="24"/>
        </w:rPr>
      </w:pPr>
      <w:r>
        <w:rPr>
          <w:rFonts w:eastAsia="Times New Roman" w:cs="Times New Roman" w:ascii="Times New Roman" w:hAnsi="Times New Roman"/>
          <w:sz w:val="24"/>
        </w:rPr>
        <w:t>The Devnet support includes correcting data errors, software bugs and limited extracts; and</w:t>
      </w:r>
    </w:p>
    <w:p>
      <w:pPr>
        <w:sectPr>
          <w:type w:val="nextPage"/>
          <w:pgSz w:w="12240" w:h="15840"/>
          <w:pgMar w:left="1440" w:right="1440" w:gutter="0" w:header="0" w:top="1404" w:footer="0" w:bottom="17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Courier New" w:hAnsi="Courier New" w:eastAsia="Courier New" w:cs="Courier New"/>
        </w:rPr>
      </w:pPr>
      <w:r>
        <w:rPr>
          <w:rFonts w:eastAsia="Courier New" w:cs="Courier New" w:ascii="Courier New" w:hAnsi="Courier New"/>
        </w:rPr>
        <w:t>30549541.1</w:t>
      </w:r>
    </w:p>
    <w:p>
      <w:pPr>
        <w:sectPr>
          <w:type w:val="continuous"/>
          <w:pgSz w:w="12240" w:h="15840"/>
          <w:pgMar w:left="1440" w:right="1440" w:gutter="0" w:header="0" w:top="1404" w:footer="0" w:bottom="171"/>
          <w:formProt w:val="false"/>
          <w:textDirection w:val="lrTb"/>
          <w:docGrid w:type="default" w:linePitch="360" w:charSpace="0"/>
        </w:sectPr>
      </w:pPr>
    </w:p>
    <w:p>
      <w:pPr>
        <w:pStyle w:val="Normal"/>
        <w:numPr>
          <w:ilvl w:val="1"/>
          <w:numId w:val="2"/>
        </w:numPr>
        <w:tabs>
          <w:tab w:val="clear" w:pos="720"/>
          <w:tab w:val="left" w:pos="2880" w:leader="none"/>
        </w:tabs>
        <w:spacing w:lineRule="auto" w:line="252"/>
        <w:ind w:hanging="720" w:start="2880" w:end="0"/>
        <w:jc w:val="both"/>
        <w:rPr>
          <w:rFonts w:ascii="Times New Roman" w:hAnsi="Times New Roman" w:eastAsia="Times New Roman" w:cs="Times New Roman"/>
          <w:sz w:val="24"/>
        </w:rPr>
      </w:pPr>
      <w:bookmarkStart w:id="1" w:name="page2"/>
      <w:bookmarkEnd w:id="1"/>
      <w:r>
        <w:rPr>
          <w:rFonts w:eastAsia="Times New Roman" w:cs="Times New Roman" w:ascii="Times New Roman" w:hAnsi="Times New Roman"/>
          <w:sz w:val="24"/>
        </w:rPr>
        <w:t>Devnet makes no guarantee, warranty, or representation (and formally disclaims all thereof) with respect to the functionality of the ADS software or that the ADS software properly executes the statutes in the State of Nevada for Property Taxes.</w:t>
      </w:r>
    </w:p>
    <w:p>
      <w:pPr>
        <w:pStyle w:val="Normal"/>
        <w:spacing w:lineRule="exact" w:line="18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1620" w:leader="none"/>
        </w:tabs>
        <w:spacing w:lineRule="auto" w:line="254"/>
        <w:ind w:firstLine="1080" w:end="0"/>
        <w:jc w:val="both"/>
        <w:rPr>
          <w:rFonts w:ascii="Times New Roman" w:hAnsi="Times New Roman" w:eastAsia="Times New Roman" w:cs="Times New Roman"/>
          <w:sz w:val="23"/>
        </w:rPr>
      </w:pPr>
      <w:r>
        <w:rPr>
          <w:rFonts w:eastAsia="Times New Roman" w:cs="Times New Roman" w:ascii="Times New Roman" w:hAnsi="Times New Roman"/>
          <w:sz w:val="23"/>
          <w:u w:val="single"/>
        </w:rPr>
        <w:t>Mutual Release of Claims</w:t>
      </w:r>
      <w:r>
        <w:rPr>
          <w:rFonts w:eastAsia="Times New Roman" w:cs="Times New Roman" w:ascii="Times New Roman" w:hAnsi="Times New Roman"/>
          <w:sz w:val="23"/>
        </w:rPr>
        <w:t>: Under this mutual Termination Agreement, DEVNET and Humboldt County release each other from any claims, and the Parties both thus release and forever discharge the other Party and its affiliates, and its/their respective owners, employees, and agents, from and against any and all claims, demands, damages, causes of action or suits at law or in equity of whatsoever kind or nature (including but not limited to claims for indemnification and/or contribution), whether known or unknown, accrued or unaccrued, which either party or any other third party may have asserted or may now or hereafter assert against either party relating to or arising out of any alleged breach, non-performance, negligent act, or omissions by either party arising out of or relating to the Agreement, and specifically including but not limited to the mutual termination thereof and Devnet’s corresponding provision of transition services under this Agreement.</w:t>
      </w:r>
    </w:p>
    <w:p>
      <w:pPr>
        <w:pStyle w:val="Normal"/>
        <w:spacing w:lineRule="exact" w:line="214"/>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3"/>
        </w:numPr>
        <w:tabs>
          <w:tab w:val="clear" w:pos="720"/>
          <w:tab w:val="left" w:pos="1678" w:leader="none"/>
        </w:tabs>
        <w:spacing w:lineRule="auto" w:line="244"/>
        <w:ind w:firstLine="1080" w:end="0"/>
        <w:jc w:val="both"/>
        <w:rPr>
          <w:rFonts w:ascii="Times New Roman" w:hAnsi="Times New Roman" w:eastAsia="Times New Roman" w:cs="Times New Roman"/>
          <w:sz w:val="24"/>
        </w:rPr>
      </w:pPr>
      <w:r>
        <w:rPr>
          <w:rFonts w:eastAsia="Times New Roman" w:cs="Times New Roman" w:ascii="Times New Roman" w:hAnsi="Times New Roman"/>
          <w:sz w:val="24"/>
        </w:rPr>
        <w:t xml:space="preserve">The Parties will not make or intentionally cause or direct others to make any written or oral statement which disparages the other Party (including that Party’s agents, employees, and representatives) or the Party’s respective business operations or relations with respect to any matter arising out of or relating to the </w:t>
      </w:r>
      <w:r>
        <w:rPr>
          <w:rFonts w:eastAsia="Times New Roman" w:cs="Times New Roman" w:ascii="Times New Roman" w:hAnsi="Times New Roman"/>
          <w:i/>
          <w:sz w:val="24"/>
        </w:rPr>
        <w:t>Agreement</w:t>
      </w:r>
      <w:r>
        <w:rPr>
          <w:rFonts w:eastAsia="Times New Roman" w:cs="Times New Roman" w:ascii="Times New Roman" w:hAnsi="Times New Roman"/>
          <w:sz w:val="24"/>
        </w:rPr>
        <w:t xml:space="preserve">. For the avoidance of doubt, it is understood and agreed that the County’s required response to a properly-asserted request pursuant to NRS Chapter 239, which results in production of required documentation relating to the </w:t>
      </w:r>
      <w:r>
        <w:rPr>
          <w:rFonts w:eastAsia="Times New Roman" w:cs="Times New Roman" w:ascii="Times New Roman" w:hAnsi="Times New Roman"/>
          <w:i/>
          <w:sz w:val="24"/>
        </w:rPr>
        <w:t>Agreement</w:t>
      </w:r>
      <w:r>
        <w:rPr>
          <w:rFonts w:eastAsia="Times New Roman" w:cs="Times New Roman" w:ascii="Times New Roman" w:hAnsi="Times New Roman"/>
          <w:sz w:val="24"/>
        </w:rPr>
        <w:t xml:space="preserve">, shall not be deemed a breach of this </w:t>
      </w:r>
      <w:r>
        <w:rPr>
          <w:rFonts w:eastAsia="Times New Roman" w:cs="Times New Roman" w:ascii="Times New Roman" w:hAnsi="Times New Roman"/>
          <w:sz w:val="24"/>
          <w:u w:val="single"/>
        </w:rPr>
        <w:t>Paragraph 3</w:t>
      </w:r>
      <w:r>
        <w:rPr>
          <w:rFonts w:eastAsia="Times New Roman" w:cs="Times New Roman" w:ascii="Times New Roman" w:hAnsi="Times New Roman"/>
          <w:sz w:val="24"/>
        </w:rPr>
        <w:t>.</w:t>
      </w:r>
    </w:p>
    <w:p>
      <w:pPr>
        <w:pStyle w:val="Normal"/>
        <w:spacing w:lineRule="exact" w:line="19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1800" w:leader="none"/>
        </w:tabs>
        <w:spacing w:lineRule="auto" w:line="247"/>
        <w:ind w:firstLine="1080" w:end="0"/>
        <w:jc w:val="both"/>
        <w:rPr>
          <w:rFonts w:ascii="Times New Roman" w:hAnsi="Times New Roman" w:eastAsia="Times New Roman" w:cs="Times New Roman"/>
          <w:sz w:val="24"/>
        </w:rPr>
      </w:pPr>
      <w:r>
        <w:rPr>
          <w:rFonts w:eastAsia="Times New Roman" w:cs="Times New Roman" w:ascii="Times New Roman" w:hAnsi="Times New Roman"/>
          <w:sz w:val="24"/>
        </w:rPr>
        <w:t xml:space="preserve">While agreeing to compromise and settle the termination of the </w:t>
      </w:r>
      <w:r>
        <w:rPr>
          <w:rFonts w:eastAsia="Times New Roman" w:cs="Times New Roman" w:ascii="Times New Roman" w:hAnsi="Times New Roman"/>
          <w:i/>
          <w:sz w:val="24"/>
        </w:rPr>
        <w:t>Agreement</w:t>
      </w:r>
      <w:r>
        <w:rPr>
          <w:rFonts w:eastAsia="Times New Roman" w:cs="Times New Roman" w:ascii="Times New Roman" w:hAnsi="Times New Roman"/>
          <w:sz w:val="24"/>
        </w:rPr>
        <w:t>, the Parties, respectively, each specifically denies any wrongdoing or violation. Nothing in this Termination Agreement shall constitute an admission, precedent or evidence in any other proceeding, with the exception that this Termination Agreement shall be admissible evidence in any proceeding to enforce the terms hereof.</w:t>
      </w:r>
    </w:p>
    <w:p>
      <w:pPr>
        <w:pStyle w:val="Normal"/>
        <w:spacing w:lineRule="exact" w:line="18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1800" w:leader="none"/>
        </w:tabs>
        <w:spacing w:lineRule="auto" w:line="242"/>
        <w:ind w:firstLine="1080" w:end="0"/>
        <w:jc w:val="both"/>
        <w:rPr>
          <w:rFonts w:ascii="Times New Roman" w:hAnsi="Times New Roman" w:eastAsia="Times New Roman" w:cs="Times New Roman"/>
          <w:sz w:val="24"/>
        </w:rPr>
      </w:pPr>
      <w:r>
        <w:rPr>
          <w:rFonts w:eastAsia="Times New Roman" w:cs="Times New Roman" w:ascii="Times New Roman" w:hAnsi="Times New Roman"/>
          <w:sz w:val="24"/>
        </w:rPr>
        <w:t xml:space="preserve">The Parties covenant and agree that this Termination Agreement sets forth the entire agreement between the Parties and supersedes any written or oral understanding, promise or agreement directly or indirectly related to it, which is not referred to and incorporated herein. Notwithstanding the preceding sentence or anything elsewhere to the contrary, the Parties agree that </w:t>
      </w:r>
      <w:r>
        <w:rPr>
          <w:rFonts w:eastAsia="Times New Roman" w:cs="Times New Roman" w:ascii="Times New Roman" w:hAnsi="Times New Roman"/>
          <w:sz w:val="24"/>
          <w:u w:val="single"/>
        </w:rPr>
        <w:t>Paragraph 4.3</w:t>
      </w:r>
      <w:r>
        <w:rPr>
          <w:rFonts w:eastAsia="Times New Roman" w:cs="Times New Roman" w:ascii="Times New Roman" w:hAnsi="Times New Roman"/>
          <w:sz w:val="24"/>
        </w:rPr>
        <w:t xml:space="preserve">, </w:t>
      </w:r>
      <w:r>
        <w:rPr>
          <w:rFonts w:eastAsia="Times New Roman" w:cs="Times New Roman" w:ascii="Times New Roman" w:hAnsi="Times New Roman"/>
          <w:sz w:val="24"/>
          <w:u w:val="single"/>
        </w:rPr>
        <w:t>Paragraphs 6.1 through 6.3</w:t>
      </w:r>
      <w:r>
        <w:rPr>
          <w:rFonts w:eastAsia="Times New Roman" w:cs="Times New Roman" w:ascii="Times New Roman" w:hAnsi="Times New Roman"/>
          <w:sz w:val="24"/>
        </w:rPr>
        <w:t xml:space="preserve">, </w:t>
      </w:r>
      <w:r>
        <w:rPr>
          <w:rFonts w:eastAsia="Times New Roman" w:cs="Times New Roman" w:ascii="Times New Roman" w:hAnsi="Times New Roman"/>
          <w:sz w:val="24"/>
          <w:u w:val="single"/>
        </w:rPr>
        <w:t>Paragraphs 7.1 through 7.6</w:t>
      </w:r>
      <w:r>
        <w:rPr>
          <w:rFonts w:eastAsia="Times New Roman" w:cs="Times New Roman" w:ascii="Times New Roman" w:hAnsi="Times New Roman"/>
          <w:sz w:val="24"/>
        </w:rPr>
        <w:t xml:space="preserve">, and </w:t>
      </w:r>
      <w:r>
        <w:rPr>
          <w:rFonts w:eastAsia="Times New Roman" w:cs="Times New Roman" w:ascii="Times New Roman" w:hAnsi="Times New Roman"/>
          <w:sz w:val="24"/>
          <w:u w:val="single"/>
        </w:rPr>
        <w:t>Paragraphs 10.1 through 10.15</w:t>
      </w:r>
      <w:r>
        <w:rPr>
          <w:rFonts w:eastAsia="Times New Roman" w:cs="Times New Roman" w:ascii="Times New Roman" w:hAnsi="Times New Roman"/>
          <w:sz w:val="24"/>
        </w:rPr>
        <w:t xml:space="preserve"> of the </w:t>
      </w:r>
      <w:r>
        <w:rPr>
          <w:rFonts w:eastAsia="Times New Roman" w:cs="Times New Roman" w:ascii="Times New Roman" w:hAnsi="Times New Roman"/>
          <w:i/>
          <w:sz w:val="24"/>
        </w:rPr>
        <w:t>Agreement</w:t>
      </w:r>
      <w:r>
        <w:rPr>
          <w:rFonts w:eastAsia="Times New Roman" w:cs="Times New Roman" w:ascii="Times New Roman" w:hAnsi="Times New Roman"/>
          <w:sz w:val="24"/>
        </w:rPr>
        <w:t xml:space="preserve"> shall survive and continue in full force and effect upon their terms, as if fully</w:t>
      </w:r>
      <w:r>
        <w:rPr>
          <w:rFonts w:eastAsia="Times New Roman" w:cs="Times New Roman" w:ascii="Times New Roman" w:hAnsi="Times New Roman"/>
          <w:sz w:val="24"/>
          <w:u w:val="single"/>
        </w:rPr>
        <w:t xml:space="preserve"> </w:t>
      </w:r>
      <w:r>
        <w:rPr>
          <w:rFonts w:eastAsia="Times New Roman" w:cs="Times New Roman" w:ascii="Times New Roman" w:hAnsi="Times New Roman"/>
          <w:sz w:val="24"/>
        </w:rPr>
        <w:t>set forth in this Termination Agreement. The Parties further covenant and agree that this Termination Agreement may not be modified – whether by additions, deletions, waivers, amendments or other modifications – unless made in writing signed by both Parties.</w:t>
      </w:r>
    </w:p>
    <w:p>
      <w:pPr>
        <w:pStyle w:val="Normal"/>
        <w:spacing w:lineRule="exact" w:line="19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1800" w:leader="none"/>
        </w:tabs>
        <w:spacing w:lineRule="auto" w:line="300"/>
        <w:ind w:firstLine="1080" w:end="0"/>
        <w:jc w:val="both"/>
        <w:rPr>
          <w:rFonts w:ascii="Times New Roman" w:hAnsi="Times New Roman" w:eastAsia="Times New Roman" w:cs="Times New Roman"/>
          <w:sz w:val="23"/>
        </w:rPr>
      </w:pPr>
      <w:r>
        <w:rPr>
          <w:rFonts w:eastAsia="Times New Roman" w:cs="Times New Roman" w:ascii="Times New Roman" w:hAnsi="Times New Roman"/>
          <w:sz w:val="23"/>
        </w:rPr>
        <w:t>This Termination Agreement may be executed in duplicate counterparts, including by facsimile or email/PDF, and will be as fully binding as if signed in one entire document.</w:t>
      </w:r>
    </w:p>
    <w:p>
      <w:pPr>
        <w:pStyle w:val="Normal"/>
        <w:spacing w:lineRule="exact" w:line="126"/>
        <w:rPr>
          <w:rFonts w:ascii="Times New Roman" w:hAnsi="Times New Roman" w:eastAsia="Times New Roman" w:cs="Times New Roman"/>
          <w:sz w:val="23"/>
        </w:rPr>
      </w:pPr>
      <w:r>
        <w:rPr>
          <w:rFonts w:eastAsia="Times New Roman" w:cs="Times New Roman" w:ascii="Times New Roman" w:hAnsi="Times New Roman"/>
          <w:sz w:val="23"/>
        </w:rPr>
      </w:r>
    </w:p>
    <w:p>
      <w:pPr>
        <w:sectPr>
          <w:type w:val="nextPage"/>
          <w:pgSz w:w="12240" w:h="15840"/>
          <w:pgMar w:left="1440" w:right="1440" w:gutter="0" w:header="0" w:top="1413" w:footer="0" w:bottom="1440"/>
          <w:pgNumType w:fmt="decimal"/>
          <w:formProt w:val="false"/>
          <w:textDirection w:val="lrTb"/>
          <w:docGrid w:type="default" w:linePitch="360" w:charSpace="0"/>
        </w:sectPr>
        <w:pStyle w:val="Normal"/>
        <w:numPr>
          <w:ilvl w:val="0"/>
          <w:numId w:val="3"/>
        </w:numPr>
        <w:tabs>
          <w:tab w:val="clear" w:pos="720"/>
          <w:tab w:val="left" w:pos="1858" w:leader="none"/>
        </w:tabs>
        <w:spacing w:lineRule="auto" w:line="276"/>
        <w:ind w:firstLine="1080" w:end="0"/>
        <w:jc w:val="both"/>
        <w:rPr>
          <w:rFonts w:ascii="Times New Roman" w:hAnsi="Times New Roman" w:eastAsia="Times New Roman" w:cs="Times New Roman"/>
          <w:sz w:val="23"/>
        </w:rPr>
      </w:pPr>
      <w:r>
        <w:rPr>
          <w:rFonts w:eastAsia="Times New Roman" w:cs="Times New Roman" w:ascii="Times New Roman" w:hAnsi="Times New Roman"/>
          <w:sz w:val="23"/>
        </w:rPr>
        <w:t>The Parties mutually represent and acknowledge that they have had a reasonable period of time to consider this Termination Agreement, that they have had an opportunity to review it with their respective attorneys, that they have read and understand its terms and that they voluntarily</w:t>
      </w:r>
    </w:p>
    <w:p>
      <w:pPr>
        <w:pStyle w:val="Normal"/>
        <w:spacing w:lineRule="auto" w:line="278"/>
        <w:rPr>
          <w:rFonts w:ascii="Times New Roman" w:hAnsi="Times New Roman" w:eastAsia="Times New Roman" w:cs="Times New Roman"/>
          <w:sz w:val="24"/>
        </w:rPr>
      </w:pPr>
      <w:bookmarkStart w:id="2" w:name="page3"/>
      <w:bookmarkEnd w:id="2"/>
      <w:r>
        <w:rPr>
          <w:rFonts w:eastAsia="Times New Roman" w:cs="Times New Roman" w:ascii="Times New Roman" w:hAnsi="Times New Roman"/>
          <w:sz w:val="24"/>
        </w:rPr>
        <w:t>enter into this Termination Agreement. Furthermore, the Parties represent and warrant that the individual signing this Termination Agreement is authorized to do so.</w:t>
      </w:r>
    </w:p>
    <w:p>
      <w:pPr>
        <w:pStyle w:val="Normal"/>
        <w:spacing w:lineRule="exact" w:line="15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1780" w:leader="none"/>
        </w:tabs>
        <w:spacing w:lineRule="atLeast" w:line="0"/>
        <w:ind w:start="1080" w:end="0"/>
        <w:rPr/>
      </w:pPr>
      <w:r>
        <w:rPr>
          <w:rFonts w:eastAsia="Times New Roman" w:cs="Times New Roman" w:ascii="Times New Roman" w:hAnsi="Times New Roman"/>
          <w:sz w:val="24"/>
        </w:rPr>
        <w:t>8.</w:t>
      </w:r>
      <w:r>
        <w:rPr>
          <w:rFonts w:eastAsia="Times New Roman" w:cs="Times New Roman" w:ascii="Times New Roman" w:hAnsi="Times New Roman"/>
        </w:rPr>
        <w:tab/>
      </w:r>
      <w:r>
        <w:rPr>
          <w:rFonts w:eastAsia="Times New Roman" w:cs="Times New Roman" w:ascii="Times New Roman" w:hAnsi="Times New Roman"/>
          <w:sz w:val="24"/>
        </w:rPr>
        <w:t>The foregoing recital clauses to this Termination Agreement are incorporated</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herein.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8"/>
        <w:ind w:firstLine="720" w:end="0"/>
        <w:rPr>
          <w:rFonts w:ascii="Times New Roman" w:hAnsi="Times New Roman" w:eastAsia="Times New Roman" w:cs="Times New Roman"/>
          <w:sz w:val="24"/>
        </w:rPr>
      </w:pPr>
      <w:r>
        <w:rPr>
          <w:rFonts w:eastAsia="Times New Roman" w:cs="Times New Roman" w:ascii="Times New Roman" w:hAnsi="Times New Roman"/>
          <w:sz w:val="24"/>
        </w:rPr>
        <w:t>IN WITNESS WHEREOF, the hereto agree to and hereby execute this Termination Agreement: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66"/>
        <w:rPr>
          <w:rFonts w:ascii="Times New Roman" w:hAnsi="Times New Roman" w:eastAsia="Times New Roman" w:cs="Times New Roman"/>
        </w:rPr>
      </w:pPr>
      <w:r>
        <w:rPr>
          <w:rFonts w:eastAsia="Times New Roman" w:cs="Times New Roman" w:ascii="Times New Roman" w:hAnsi="Times New Roman"/>
        </w:rPr>
      </w:r>
    </w:p>
    <w:tbl>
      <w:tblPr>
        <w:tblW w:w="9360" w:type="dxa"/>
        <w:jc w:val="start"/>
        <w:tblInd w:w="0" w:type="dxa"/>
        <w:tblLayout w:type="fixed"/>
        <w:tblCellMar>
          <w:top w:w="0" w:type="dxa"/>
          <w:start w:w="0" w:type="dxa"/>
          <w:bottom w:w="0" w:type="dxa"/>
          <w:end w:w="0" w:type="dxa"/>
        </w:tblCellMar>
      </w:tblPr>
      <w:tblGrid>
        <w:gridCol w:w="340"/>
        <w:gridCol w:w="3080"/>
        <w:gridCol w:w="2140"/>
        <w:gridCol w:w="980"/>
        <w:gridCol w:w="2820"/>
      </w:tblGrid>
      <w:tr>
        <w:trPr>
          <w:trHeight w:val="318" w:hRule="atLeast"/>
        </w:trPr>
        <w:tc>
          <w:tcPr>
            <w:tcW w:w="5560" w:type="dxa"/>
            <w:gridSpan w:val="3"/>
            <w:tcBorders/>
          </w:tcPr>
          <w:p>
            <w:pPr>
              <w:pStyle w:val="Normal"/>
              <w:spacing w:lineRule="atLeast" w:line="0"/>
              <w:rPr>
                <w:rFonts w:ascii="Times New Roman" w:hAnsi="Times New Roman" w:eastAsia="Times New Roman" w:cs="Times New Roman"/>
                <w:i/>
                <w:i/>
                <w:sz w:val="24"/>
              </w:rPr>
            </w:pPr>
            <w:r>
              <w:rPr>
                <w:rFonts w:eastAsia="Times New Roman" w:cs="Times New Roman" w:ascii="Times New Roman" w:hAnsi="Times New Roman"/>
                <w:i/>
                <w:sz w:val="24"/>
              </w:rPr>
              <w:t>WITH AUTHORITY FROM AND ON BEHALF OF:</w:t>
            </w:r>
          </w:p>
        </w:tc>
        <w:tc>
          <w:tcPr>
            <w:tcW w:w="980" w:type="dxa"/>
            <w:tcBorders/>
          </w:tcPr>
          <w:p>
            <w:pPr>
              <w:pStyle w:val="Normal"/>
              <w:snapToGrid w:val="false"/>
              <w:spacing w:lineRule="atLeast" w:line="0"/>
              <w:rPr>
                <w:rFonts w:ascii="Times New Roman" w:hAnsi="Times New Roman" w:eastAsia="Times New Roman" w:cs="Times New Roman"/>
                <w:i/>
                <w:i/>
                <w:sz w:val="24"/>
              </w:rPr>
            </w:pPr>
            <w:r>
              <w:rPr>
                <w:rFonts w:eastAsia="Times New Roman" w:cs="Times New Roman" w:ascii="Times New Roman" w:hAnsi="Times New Roman"/>
                <w:i/>
                <w:sz w:val="24"/>
              </w:rPr>
            </w:r>
          </w:p>
        </w:tc>
        <w:tc>
          <w:tcPr>
            <w:tcW w:w="28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58" w:hRule="atLeast"/>
        </w:trPr>
        <w:tc>
          <w:tcPr>
            <w:tcW w:w="5560" w:type="dxa"/>
            <w:gridSpan w:val="3"/>
            <w:tcBorders/>
          </w:tcPr>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HUMBOLDT COUNTY, NEVADA</w:t>
            </w:r>
          </w:p>
        </w:tc>
        <w:tc>
          <w:tcPr>
            <w:tcW w:w="3800" w:type="dxa"/>
            <w:gridSpan w:val="2"/>
            <w:tcBorders/>
          </w:tcPr>
          <w:p>
            <w:pPr>
              <w:pStyle w:val="Normal"/>
              <w:spacing w:lineRule="atLeast" w:line="0"/>
              <w:ind w:start="660" w:end="0"/>
              <w:rPr>
                <w:rFonts w:ascii="Times New Roman" w:hAnsi="Times New Roman" w:eastAsia="Times New Roman" w:cs="Times New Roman"/>
                <w:b/>
                <w:sz w:val="24"/>
              </w:rPr>
            </w:pPr>
            <w:r>
              <w:rPr>
                <w:rFonts w:eastAsia="Times New Roman" w:cs="Times New Roman" w:ascii="Times New Roman" w:hAnsi="Times New Roman"/>
                <w:b/>
                <w:sz w:val="24"/>
              </w:rPr>
              <w:t>DEVNET, INCORPORATED</w:t>
            </w:r>
          </w:p>
        </w:tc>
      </w:tr>
      <w:tr>
        <w:trPr>
          <w:trHeight w:val="500" w:hRule="atLeast"/>
        </w:trPr>
        <w:tc>
          <w:tcPr>
            <w:tcW w:w="5560" w:type="dxa"/>
            <w:gridSpan w:val="3"/>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By: Ken Tipton</w:t>
            </w:r>
          </w:p>
        </w:tc>
        <w:tc>
          <w:tcPr>
            <w:tcW w:w="3800" w:type="dxa"/>
            <w:gridSpan w:val="2"/>
            <w:tcBorders/>
          </w:tcPr>
          <w:p>
            <w:pPr>
              <w:pStyle w:val="Normal"/>
              <w:spacing w:lineRule="atLeast" w:line="0"/>
              <w:ind w:start="660" w:end="0"/>
              <w:rPr>
                <w:rFonts w:ascii="Times New Roman" w:hAnsi="Times New Roman" w:eastAsia="Times New Roman" w:cs="Times New Roman"/>
                <w:sz w:val="24"/>
              </w:rPr>
            </w:pPr>
            <w:r>
              <w:rPr>
                <w:rFonts w:eastAsia="Times New Roman" w:cs="Times New Roman" w:ascii="Times New Roman" w:hAnsi="Times New Roman"/>
                <w:sz w:val="24"/>
              </w:rPr>
              <w:t>By:  Mike Gentry</w:t>
            </w:r>
          </w:p>
        </w:tc>
      </w:tr>
      <w:tr>
        <w:trPr>
          <w:trHeight w:val="23" w:hRule="atLeast"/>
        </w:trPr>
        <w:tc>
          <w:tcPr>
            <w:tcW w:w="3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0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1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9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8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6"/>
        <w:rPr>
          <w:rFonts w:ascii="Times New Roman" w:hAnsi="Times New Roman" w:eastAsia="Times New Roman" w:cs="Times New Roman"/>
        </w:rPr>
      </w:pPr>
      <w:r>
        <w:rPr>
          <w:rFonts w:eastAsia="Times New Roman" w:cs="Times New Roman" w:ascii="Times New Roman" w:hAnsi="Times New Roman"/>
        </w:rPr>
      </w:r>
    </w:p>
    <w:tbl>
      <w:tblPr>
        <w:tblW w:w="9360" w:type="dxa"/>
        <w:jc w:val="start"/>
        <w:tblInd w:w="0" w:type="dxa"/>
        <w:tblLayout w:type="fixed"/>
        <w:tblCellMar>
          <w:top w:w="0" w:type="dxa"/>
          <w:start w:w="0" w:type="dxa"/>
          <w:bottom w:w="0" w:type="dxa"/>
          <w:end w:w="0" w:type="dxa"/>
        </w:tblCellMar>
      </w:tblPr>
      <w:tblGrid>
        <w:gridCol w:w="360"/>
        <w:gridCol w:w="3060"/>
        <w:gridCol w:w="2800"/>
        <w:gridCol w:w="3140"/>
      </w:tblGrid>
      <w:tr>
        <w:trPr>
          <w:trHeight w:val="334" w:hRule="atLeast"/>
        </w:trPr>
        <w:tc>
          <w:tcPr>
            <w:tcW w:w="3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60" w:type="dxa"/>
            <w:tcBorders>
              <w:top w:val="single" w:sz="8" w:space="0" w:color="000000"/>
            </w:tcBorders>
          </w:tcPr>
          <w:p>
            <w:pPr>
              <w:pStyle w:val="Normal"/>
              <w:spacing w:lineRule="atLeast" w:line="0"/>
              <w:ind w:start="1080" w:end="0"/>
              <w:rPr>
                <w:rFonts w:ascii="Times New Roman" w:hAnsi="Times New Roman" w:eastAsia="Times New Roman" w:cs="Times New Roman"/>
                <w:sz w:val="24"/>
              </w:rPr>
            </w:pPr>
            <w:r>
              <w:rPr>
                <w:rFonts w:eastAsia="Times New Roman" w:cs="Times New Roman" w:ascii="Times New Roman" w:hAnsi="Times New Roman"/>
                <w:sz w:val="24"/>
              </w:rPr>
              <w:t>[Signature]</w:t>
            </w:r>
          </w:p>
        </w:tc>
        <w:tc>
          <w:tcPr>
            <w:tcW w:w="28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140" w:type="dxa"/>
            <w:tcBorders>
              <w:top w:val="single" w:sz="8" w:space="0" w:color="000000"/>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[Signature]</w:t>
            </w:r>
          </w:p>
        </w:tc>
      </w:tr>
      <w:tr>
        <w:trPr>
          <w:trHeight w:val="504" w:hRule="atLeast"/>
        </w:trPr>
        <w:tc>
          <w:tcPr>
            <w:tcW w:w="6220" w:type="dxa"/>
            <w:gridSpan w:val="3"/>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Title: Chair, Humboldt County Board of Commissioners</w:t>
            </w:r>
          </w:p>
        </w:tc>
        <w:tc>
          <w:tcPr>
            <w:tcW w:w="314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Title: President</w:t>
            </w:r>
          </w:p>
        </w:tc>
      </w:tr>
      <w:tr>
        <w:trPr>
          <w:trHeight w:val="552" w:hRule="atLeast"/>
        </w:trPr>
        <w:tc>
          <w:tcPr>
            <w:tcW w:w="6220" w:type="dxa"/>
            <w:gridSpan w:val="3"/>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Dated:  July _____, 2020</w:t>
            </w:r>
          </w:p>
        </w:tc>
        <w:tc>
          <w:tcPr>
            <w:tcW w:w="314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Dated:  July _____, 2020</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Courier New" w:hAnsi="Courier New" w:eastAsia="Courier New" w:cs="Courier New"/>
          <w:sz w:val="16"/>
        </w:rPr>
      </w:pPr>
      <w:r>
        <w:rPr>
          <w:rFonts w:eastAsia="Courier New" w:cs="Courier New" w:ascii="Courier New" w:hAnsi="Courier New"/>
          <w:sz w:val="16"/>
        </w:rPr>
        <w:t>018389.0005:30632522.2</w:t>
      </w:r>
    </w:p>
    <w:sectPr>
      <w:type w:val="nextPage"/>
      <w:pgSz w:w="12240" w:h="15840"/>
      <w:pgMar w:left="1440" w:right="1440" w:gutter="0" w:header="0" w:top="1413"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lvl w:ilvl="1">
      <w:start w:val="1"/>
      <w:numFmt w:val="upp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lowerLetter"/>
      <w:lvlText w:val="%4."/>
      <w:lvlJc w:val="start"/>
      <w:pPr>
        <w:tabs>
          <w:tab w:val="num" w:pos="0"/>
        </w:tabs>
        <w:ind w:start="0" w:hanging="0"/>
      </w:p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
    <w:lvl w:ilvl="0">
      <w:start w:val="1"/>
      <w:numFmt w:val="decimal"/>
      <w:lvlText w:val="%1"/>
      <w:lvlJc w:val="start"/>
      <w:pPr>
        <w:tabs>
          <w:tab w:val="num" w:pos="0"/>
        </w:tabs>
        <w:ind w:start="0" w:hanging="0"/>
      </w:pPr>
    </w:lvl>
    <w:lvl w:ilvl="1">
      <w:start w:val="5"/>
      <w:numFmt w:val="lowerRoman"/>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3">
    <w:lvl w:ilvl="0">
      <w:start w:val="2"/>
      <w:numFmt w:val="decimal"/>
      <w:lvlText w:val="%1."/>
      <w:lvlJc w:val="start"/>
      <w:pPr>
        <w:tabs>
          <w:tab w:val="num" w:pos="0"/>
        </w:tabs>
        <w:ind w:start="0" w:hanging="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