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media/image2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20"/>
          <w:tab w:val="left" w:pos="2500" w:leader="none"/>
        </w:tabs>
        <w:spacing w:lineRule="atLeast" w:line="0"/>
        <w:jc w:val="end"/>
        <w:rPr/>
      </w:pPr>
      <w:bookmarkStart w:id="0" w:name="page1"/>
      <w:bookmarkEnd w:id="0"/>
      <w:r>
        <w:rPr>
          <w:rFonts w:eastAsia="Times New Roman" w:cs="Times New Roman" w:ascii="Times New Roman" w:hAnsi="Times New Roman"/>
          <w:sz w:val="48"/>
          <w:vertAlign w:val="subscript"/>
        </w:rPr>
        <w:t>Clear fields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b/>
          <w:sz w:val="26"/>
        </w:rPr>
        <w:t>TD Direct Investing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  <w:drawing>
          <wp:anchor behindDoc="1" distT="0" distB="0" distL="114935" distR="114935" simplePos="0" locked="0" layoutInCell="1" allowOverlap="1" relativeHeight="3">
            <wp:simplePos x="0" y="0"/>
            <wp:positionH relativeFrom="column">
              <wp:posOffset>0</wp:posOffset>
            </wp:positionH>
            <wp:positionV relativeFrom="paragraph">
              <wp:posOffset>-137160</wp:posOffset>
            </wp:positionV>
            <wp:extent cx="452755" cy="406400"/>
            <wp:effectExtent l="0" t="0" r="0" b="0"/>
            <wp:wrapNone/>
            <wp:docPr id="1" name="Image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0" t="-44" r="-40" b="-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mc:AlternateContent>
          <mc:Choice Requires="wps">
            <w:drawing>
              <wp:anchor behindDoc="1" distT="0" distB="0" distL="114935" distR="114935" simplePos="0" locked="0" layoutInCell="1" allowOverlap="1" relativeHeight="4">
                <wp:simplePos x="0" y="0"/>
                <wp:positionH relativeFrom="column">
                  <wp:posOffset>1798955</wp:posOffset>
                </wp:positionH>
                <wp:positionV relativeFrom="paragraph">
                  <wp:posOffset>-140335</wp:posOffset>
                </wp:positionV>
                <wp:extent cx="914400" cy="253365"/>
                <wp:effectExtent l="5080" t="5080" r="5080" b="5080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5344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silver" stroked="t" o:allowincell="f" style="position:absolute;margin-left:141.65pt;margin-top:-11.05pt;width:71.95pt;height:19.9pt;mso-wrap-style:none;v-text-anchor:middle">
                <v:fill o:detectmouseclick="t" type="solid" color2="#3f3f3f"/>
                <v:stroke color="white" weight="9360" joinstyle="miter" endcap="flat"/>
                <w10:wrap type="none"/>
              </v:rect>
            </w:pict>
          </mc:Fallback>
        </mc:AlternateContent>
      </w:r>
    </w:p>
    <w:p>
      <w:pPr>
        <w:pStyle w:val="Normal"/>
        <w:spacing w:lineRule="exact" w:line="3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jc w:val="end"/>
        <w:rPr>
          <w:rFonts w:ascii="Arial" w:hAnsi="Arial" w:eastAsia="Arial" w:cs="Arial"/>
          <w:b/>
          <w:sz w:val="24"/>
        </w:rPr>
      </w:pPr>
      <w:r>
        <w:rPr>
          <w:rFonts w:eastAsia="Arial" w:cs="Arial" w:ascii="Arial" w:hAnsi="Arial"/>
          <w:b/>
          <w:sz w:val="24"/>
        </w:rPr>
        <w:t>Letter of Direction</w:t>
      </w:r>
    </w:p>
    <w:p>
      <w:pPr>
        <w:pStyle w:val="Normal"/>
        <w:spacing w:lineRule="exact" w:line="4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jc w:val="end"/>
        <w:rPr>
          <w:rFonts w:ascii="Arial" w:hAnsi="Arial" w:eastAsia="Arial" w:cs="Arial"/>
          <w:b/>
          <w:sz w:val="24"/>
        </w:rPr>
      </w:pPr>
      <w:r>
        <w:rPr>
          <w:rFonts w:eastAsia="Arial" w:cs="Arial" w:ascii="Arial" w:hAnsi="Arial"/>
          <w:b/>
          <w:sz w:val="24"/>
        </w:rPr>
        <w:t>Transfer of Cash/Securities to Related Third Party</w:t>
      </w:r>
    </w:p>
    <w:p>
      <w:pPr>
        <w:pStyle w:val="Normal"/>
        <w:spacing w:lineRule="exact" w:line="315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  <w:t>To: TD Direct Investing</w:t>
      </w:r>
    </w:p>
    <w:p>
      <w:pPr>
        <w:pStyle w:val="Normal"/>
        <w:spacing w:lineRule="exact" w:line="25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  <w:t>Related Third Party Definition for Transfers:</w:t>
      </w:r>
    </w:p>
    <w:p>
      <w:pPr>
        <w:pStyle w:val="Normal"/>
        <w:spacing w:lineRule="exact" w:line="254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240" w:leader="none"/>
        </w:tabs>
        <w:spacing w:lineRule="atLeast" w:line="0"/>
        <w:ind w:hanging="240" w:start="240" w:end="0"/>
        <w:rPr>
          <w:rFonts w:ascii="PMingLiU" w:hAnsi="PMingLiU" w:eastAsia="PMingLiU" w:cs="PMingLiU"/>
        </w:rPr>
      </w:pPr>
      <w:r>
        <w:rPr>
          <w:rFonts w:eastAsia="Times New Roman" w:cs="Times New Roman" w:ascii="Times New Roman" w:hAnsi="Times New Roman"/>
        </w:rPr>
        <w:t>Client account to account of an immediate family member (1 degree removed + grandparents)</w:t>
      </w:r>
    </w:p>
    <w:p>
      <w:pPr>
        <w:pStyle w:val="Normal"/>
        <w:spacing w:lineRule="exact" w:line="17"/>
        <w:rPr>
          <w:rFonts w:ascii="PMingLiU" w:hAnsi="PMingLiU" w:eastAsia="PMingLiU" w:cs="PMingLiU"/>
        </w:rPr>
      </w:pPr>
      <w:r>
        <w:rPr>
          <w:rFonts w:eastAsia="PMingLiU" w:cs="PMingLiU" w:ascii="PMingLiU" w:hAnsi="PMingLiU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240" w:leader="none"/>
        </w:tabs>
        <w:spacing w:lineRule="auto" w:line="244"/>
        <w:ind w:hanging="240" w:start="240" w:end="540"/>
        <w:rPr>
          <w:rFonts w:ascii="PMingLiU" w:hAnsi="PMingLiU" w:eastAsia="PMingLiU" w:cs="PMingLiU"/>
        </w:rPr>
      </w:pPr>
      <w:r>
        <w:rPr>
          <w:rFonts w:eastAsia="Times New Roman" w:cs="Times New Roman" w:ascii="Times New Roman" w:hAnsi="Times New Roman"/>
        </w:rPr>
        <w:t>Client account to client's business account where the client owns 100% of the corporation either individually or with his immediate family (1 degree removed + grandparents)</w:t>
      </w:r>
    </w:p>
    <w:p>
      <w:pPr>
        <w:pStyle w:val="Normal"/>
        <w:spacing w:lineRule="exact" w:line="20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/>
      </w:pPr>
      <w:r>
        <w:rPr>
          <w:rFonts w:eastAsia="Times New Roman" w:cs="Times New Roman" w:ascii="Times New Roman" w:hAnsi="Times New Roman"/>
        </w:rPr>
        <w:t>I/we (</w:t>
      </w:r>
      <w:r>
        <w:rPr>
          <w:rFonts w:eastAsia="Times New Roman" w:cs="Times New Roman" w:ascii="Times New Roman" w:hAnsi="Times New Roman"/>
          <w:b/>
        </w:rPr>
        <w:t>Transferor</w:t>
      </w:r>
      <w:r>
        <w:rPr>
          <w:rFonts w:eastAsia="Times New Roman" w:cs="Times New Roman" w:ascii="Times New Roman" w:hAnsi="Times New Roman"/>
        </w:rPr>
        <w:t>) hereby instruct TD Direct Investing to transfer these securities/funds listed below from:</w:t>
      </w:r>
    </w:p>
    <w:p>
      <w:pPr>
        <w:pStyle w:val="Normal"/>
        <w:spacing w:lineRule="exact" w:line="25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_________________________________________________________________________________________________</w:t>
      </w:r>
    </w:p>
    <w:p>
      <w:pPr>
        <w:pStyle w:val="Normal"/>
        <w:spacing w:lineRule="exact" w:line="3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/>
      </w:pPr>
      <w:r>
        <w:rPr>
          <w:rFonts w:eastAsia="Times New Roman" w:cs="Times New Roman" w:ascii="Times New Roman" w:hAnsi="Times New Roman"/>
        </w:rPr>
        <w:t xml:space="preserve">Full Name of Account Holder(s) - </w:t>
      </w:r>
      <w:r>
        <w:rPr>
          <w:rFonts w:eastAsia="Times New Roman" w:cs="Times New Roman" w:ascii="Times New Roman" w:hAnsi="Times New Roman"/>
          <w:b/>
        </w:rPr>
        <w:t>Please Print</w:t>
      </w:r>
    </w:p>
    <w:p>
      <w:pPr>
        <w:pStyle w:val="Normal"/>
        <w:spacing w:lineRule="exact" w:line="23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tabs>
          <w:tab w:val="clear" w:pos="720"/>
          <w:tab w:val="left" w:pos="5020" w:leader="none"/>
        </w:tabs>
        <w:spacing w:lineRule="atLeast" w:line="0"/>
        <w:rPr/>
      </w:pPr>
      <w:r>
        <w:rPr>
          <w:rFonts w:eastAsia="Times New Roman" w:cs="Times New Roman" w:ascii="Times New Roman" w:hAnsi="Times New Roman"/>
        </w:rPr>
        <w:t>________________________________________________</w:t>
        <w:tab/>
        <w:t>__________________________________________</w:t>
      </w:r>
    </w:p>
    <w:p>
      <w:pPr>
        <w:pStyle w:val="Normal"/>
        <w:spacing w:lineRule="exact" w:line="3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5020" w:leader="none"/>
        </w:tabs>
        <w:spacing w:lineRule="atLeast" w:line="0"/>
        <w:rPr/>
      </w:pPr>
      <w:r>
        <w:rPr>
          <w:rFonts w:eastAsia="Times New Roman" w:cs="Times New Roman" w:ascii="Times New Roman" w:hAnsi="Times New Roman"/>
        </w:rPr>
        <w:t>TD Direct Investing Account #</w:t>
        <w:tab/>
        <w:t>Fax to the attention of: Name of Office Contact</w:t>
      </w:r>
    </w:p>
    <w:p>
      <w:pPr>
        <w:pStyle w:val="Normal"/>
        <w:spacing w:lineRule="exact" w:line="22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7980" w:leader="none"/>
        </w:tabs>
        <w:spacing w:lineRule="atLeast" w:line="0"/>
        <w:rPr/>
      </w:pPr>
      <w:r>
        <w:rPr>
          <w:rFonts w:eastAsia="Times New Roman" w:cs="Times New Roman" w:ascii="Times New Roman" w:hAnsi="Times New Roman"/>
        </w:rPr>
        <w:t>List securities/funds to transfer and number of units or shares (or if list is extensive, see attached</w:t>
        <w:tab/>
      </w:r>
      <w:r>
        <w:rPr>
          <w:rFonts w:eastAsia="Times New Roman" w:cs="Times New Roman" w:ascii="Times New Roman" w:hAnsi="Times New Roman"/>
          <w:sz w:val="18"/>
        </w:rPr>
        <w:t>)</w:t>
      </w:r>
    </w:p>
    <w:p>
      <w:pPr>
        <w:pStyle w:val="Normal"/>
        <w:spacing w:lineRule="exact" w:line="25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_________________________________________ _________________________________________</w:t>
      </w:r>
    </w:p>
    <w:p>
      <w:pPr>
        <w:pStyle w:val="Normal"/>
        <w:spacing w:lineRule="exact" w:line="25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_________________________________________ _________________________________________</w:t>
      </w:r>
    </w:p>
    <w:p>
      <w:pPr>
        <w:pStyle w:val="Normal"/>
        <w:spacing w:lineRule="exact" w:line="25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_________________________________________ _________________________________________</w:t>
      </w:r>
    </w:p>
    <w:p>
      <w:pPr>
        <w:pStyle w:val="Normal"/>
        <w:spacing w:lineRule="exact" w:line="25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_________________________________________ _________________________________________</w:t>
      </w:r>
    </w:p>
    <w:p>
      <w:pPr>
        <w:pStyle w:val="Normal"/>
        <w:spacing w:lineRule="exact" w:line="25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_________________________________________ _________________________________________</w:t>
      </w:r>
    </w:p>
    <w:p>
      <w:pPr>
        <w:pStyle w:val="Normal"/>
        <w:spacing w:lineRule="exact" w:line="24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/>
      </w:pPr>
      <w:r>
        <w:rPr>
          <w:rFonts w:eastAsia="Times New Roman" w:cs="Times New Roman" w:ascii="Times New Roman" w:hAnsi="Times New Roman"/>
        </w:rPr>
        <w:t>To (</w:t>
      </w:r>
      <w:r>
        <w:rPr>
          <w:rFonts w:eastAsia="Times New Roman" w:cs="Times New Roman" w:ascii="Times New Roman" w:hAnsi="Times New Roman"/>
          <w:b/>
        </w:rPr>
        <w:t>Transferee</w:t>
      </w:r>
      <w:r>
        <w:rPr>
          <w:rFonts w:eastAsia="Times New Roman" w:cs="Times New Roman" w:ascii="Times New Roman" w:hAnsi="Times New Roman"/>
        </w:rPr>
        <w:t>):</w:t>
      </w:r>
    </w:p>
    <w:p>
      <w:pPr>
        <w:pStyle w:val="Normal"/>
        <w:spacing w:lineRule="exact" w:line="25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____________________________________________________________________________________________________</w:t>
      </w:r>
    </w:p>
    <w:p>
      <w:pPr>
        <w:pStyle w:val="Normal"/>
        <w:spacing w:lineRule="exact" w:line="3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/>
      </w:pPr>
      <w:r>
        <w:rPr>
          <w:rFonts w:eastAsia="Times New Roman" w:cs="Times New Roman" w:ascii="Times New Roman" w:hAnsi="Times New Roman"/>
        </w:rPr>
        <w:t xml:space="preserve">Full Name of Account Holder(s) - </w:t>
      </w:r>
      <w:r>
        <w:rPr>
          <w:rFonts w:eastAsia="Times New Roman" w:cs="Times New Roman" w:ascii="Times New Roman" w:hAnsi="Times New Roman"/>
          <w:b/>
        </w:rPr>
        <w:t>Please Print</w:t>
      </w:r>
    </w:p>
    <w:p>
      <w:pPr>
        <w:pStyle w:val="Normal"/>
        <w:spacing w:lineRule="exact" w:line="23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tabs>
          <w:tab w:val="clear" w:pos="720"/>
          <w:tab w:val="left" w:pos="4060" w:leader="none"/>
        </w:tabs>
        <w:spacing w:lineRule="atLeast" w:line="0"/>
        <w:rPr/>
      </w:pPr>
      <w:r>
        <w:rPr>
          <w:rFonts w:eastAsia="Times New Roman" w:cs="Times New Roman" w:ascii="Times New Roman" w:hAnsi="Times New Roman"/>
        </w:rPr>
        <w:t>______________________________________</w:t>
        <w:tab/>
        <w:t>_____________________________________________________________</w:t>
      </w:r>
    </w:p>
    <w:p>
      <w:pPr>
        <w:pStyle w:val="Normal"/>
        <w:spacing w:lineRule="exact" w:line="3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4060" w:leader="none"/>
        </w:tabs>
        <w:spacing w:lineRule="atLeast" w:line="0"/>
        <w:rPr/>
      </w:pPr>
      <w:r>
        <w:rPr>
          <w:rFonts w:eastAsia="Times New Roman" w:cs="Times New Roman" w:ascii="Times New Roman" w:hAnsi="Times New Roman"/>
        </w:rPr>
        <w:t>TD Direct Investing Account #</w:t>
        <w:tab/>
        <w:t>Relationship with the Transferor(s) - Please Print</w:t>
      </w:r>
    </w:p>
    <w:p>
      <w:pPr>
        <w:pStyle w:val="Normal"/>
        <w:spacing w:lineRule="exact" w:line="23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Reason for the transfer: _________________________________________________________________________________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5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3340" w:leader="none"/>
          <w:tab w:val="left" w:pos="4780" w:leader="none"/>
        </w:tabs>
        <w:spacing w:lineRule="atLeast" w:line="0"/>
        <w:rPr/>
      </w:pPr>
      <w:r>
        <w:rPr>
          <w:rFonts w:eastAsia="Times New Roman" w:cs="Times New Roman" w:ascii="Times New Roman" w:hAnsi="Times New Roman"/>
        </w:rPr>
        <w:t>Dated this _____ day of ____________</w:t>
        <w:tab/>
        <w:t>___________</w:t>
        <w:tab/>
        <w:t>_________________________________________________</w:t>
      </w:r>
    </w:p>
    <w:p>
      <w:pPr>
        <w:pStyle w:val="Normal"/>
        <w:spacing w:lineRule="exact" w:line="3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3740" w:leader="none"/>
          <w:tab w:val="left" w:pos="4780" w:leader="none"/>
        </w:tabs>
        <w:spacing w:lineRule="atLeast" w:line="0"/>
        <w:ind w:start="2400" w:end="0"/>
        <w:rPr/>
      </w:pPr>
      <w:r>
        <w:rPr>
          <w:rFonts w:eastAsia="Times New Roman" w:cs="Times New Roman" w:ascii="Times New Roman" w:hAnsi="Times New Roman"/>
          <w:i/>
          <w:sz w:val="16"/>
        </w:rPr>
        <w:t>Month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Times New Roman" w:cs="Times New Roman" w:ascii="Times New Roman" w:hAnsi="Times New Roman"/>
          <w:i/>
          <w:sz w:val="16"/>
        </w:rPr>
        <w:t>Year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Times New Roman" w:cs="Times New Roman" w:ascii="Times New Roman" w:hAnsi="Times New Roman"/>
          <w:sz w:val="19"/>
        </w:rPr>
        <w:t>Signature of the Transferor(s)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98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3"/>
        </w:rPr>
      </w:pPr>
      <w:r>
        <w:rPr>
          <w:rFonts w:eastAsia="Arial" w:cs="Arial" w:ascii="Arial" w:hAnsi="Arial"/>
          <w:sz w:val="13"/>
        </w:rPr>
        <w:t>TD Direct Investing is a division of TD Waterhouse Canada Inc., a subsidiary of The Toronto-Dominion Bank. TD Waterhouse Canada Inc. - Member of the Canadian Investor Protection Fund.</w:t>
      </w:r>
    </w:p>
    <w:p>
      <w:pPr>
        <w:pStyle w:val="Normal"/>
        <w:spacing w:lineRule="exact" w:line="15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/>
      </w:pPr>
      <w:r>
        <w:rPr>
          <w:rFonts w:eastAsia="Times New Roman" w:cs="Times New Roman" w:ascii="Times New Roman" w:hAnsi="Times New Roman"/>
          <w:sz w:val="24"/>
        </w:rPr>
        <w:drawing>
          <wp:inline distT="0" distB="0" distL="0" distR="0">
            <wp:extent cx="78740" cy="78740"/>
            <wp:effectExtent l="0" t="0" r="0" b="0"/>
            <wp:docPr id="3" name="Image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" descr="" title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-236" t="-236" r="-236" b="-2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40" cy="78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Arial" w:cs="Arial" w:ascii="Arial" w:hAnsi="Arial"/>
          <w:sz w:val="16"/>
        </w:rPr>
        <w:t>/ The TD logo and other trade-marks are the property of The Toronto Dominion Bank or a wholly-owned subsidiary in Canada and/or other countries.</w:t>
      </w:r>
    </w:p>
    <w:p>
      <w:pPr>
        <w:sectPr>
          <w:type w:val="nextPage"/>
          <w:pgSz w:w="12240" w:h="15840"/>
          <w:pgMar w:left="480" w:right="480" w:gutter="0" w:header="0" w:top="144" w:footer="0" w:bottom="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0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0460" w:end="0"/>
        <w:rPr>
          <w:rFonts w:ascii="Times New Roman" w:hAnsi="Times New Roman" w:eastAsia="Times New Roman" w:cs="Times New Roman"/>
          <w:sz w:val="13"/>
        </w:rPr>
      </w:pPr>
      <w:r>
        <w:rPr>
          <w:rFonts w:eastAsia="Times New Roman" w:cs="Times New Roman" w:ascii="Times New Roman" w:hAnsi="Times New Roman"/>
          <w:sz w:val="13"/>
        </w:rPr>
        <w:t>522460 (0313)</w:t>
      </w:r>
    </w:p>
    <w:sectPr>
      <w:type w:val="continuous"/>
      <w:pgSz w:w="12240" w:h="15840"/>
      <w:pgMar w:left="480" w:right="480" w:gutter="0" w:header="0" w:top="144" w:footer="0" w:bottom="0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PMingLiU">
    <w:charset w:val="88"/>
    <w:family w:val="roman"/>
    <w:pitch w:val="variable"/>
  </w:font>
  <w:font w:name="OpenSymbol">
    <w:altName w:val="Arial Unicode MS"/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"/>
      <w:lvlJc w:val="start"/>
      <w:pPr>
        <w:tabs>
          <w:tab w:val="num" w:pos="0"/>
        </w:tabs>
        <w:ind w:start="0" w:hanging="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