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pPr>
      <w:bookmarkStart w:id="0" w:name="page1"/>
      <w:bookmarkEnd w:id="0"/>
      <w:r>
        <w:rPr>
          <w:rFonts w:eastAsia="Times New Roman" w:cs="Times New Roman" w:ascii="Times New Roman" w:hAnsi="Times New Roman"/>
          <w:b/>
          <w:sz w:val="28"/>
          <w:u w:val="single"/>
        </w:rPr>
        <w:t>2011-2012 U</w:t>
      </w:r>
      <w:r>
        <w:rPr>
          <w:rFonts w:eastAsia="Times New Roman" w:cs="Times New Roman" w:ascii="Times New Roman" w:hAnsi="Times New Roman"/>
          <w:b/>
          <w:sz w:val="22"/>
          <w:u w:val="single"/>
        </w:rPr>
        <w:t>PDATE</w:t>
      </w:r>
      <w:r>
        <w:rPr>
          <w:rFonts w:eastAsia="Times New Roman" w:cs="Times New Roman" w:ascii="Times New Roman" w:hAnsi="Times New Roman"/>
          <w:b/>
          <w:sz w:val="28"/>
          <w:u w:val="single"/>
        </w:rPr>
        <w:t xml:space="preserve"> C</w:t>
      </w:r>
      <w:r>
        <w:rPr>
          <w:rFonts w:eastAsia="Times New Roman" w:cs="Times New Roman" w:ascii="Times New Roman" w:hAnsi="Times New Roman"/>
          <w:b/>
          <w:sz w:val="22"/>
          <w:u w:val="single"/>
        </w:rPr>
        <w:t>OURSE</w:t>
      </w:r>
    </w:p>
    <w:p>
      <w:pPr>
        <w:pStyle w:val="Normal"/>
        <w:spacing w:lineRule="exact" w:line="258"/>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1"/>
        </w:numPr>
        <w:tabs>
          <w:tab w:val="clear" w:pos="720"/>
          <w:tab w:val="left" w:pos="2980" w:leader="none"/>
        </w:tabs>
        <w:spacing w:lineRule="atLeast" w:line="0"/>
        <w:ind w:hanging="443" w:start="2980" w:end="0"/>
        <w:rPr>
          <w:rFonts w:ascii="Times New Roman" w:hAnsi="Times New Roman" w:eastAsia="Times New Roman" w:cs="Times New Roman"/>
          <w:b/>
          <w:sz w:val="48"/>
        </w:rPr>
      </w:pPr>
      <w:r>
        <w:rPr>
          <w:rFonts w:eastAsia="Times New Roman" w:cs="Times New Roman" w:ascii="Times New Roman" w:hAnsi="Times New Roman"/>
          <w:b/>
          <w:sz w:val="48"/>
        </w:rPr>
        <w:t>B</w:t>
      </w:r>
      <w:r>
        <w:rPr>
          <w:rFonts w:eastAsia="Times New Roman" w:cs="Times New Roman" w:ascii="Times New Roman" w:hAnsi="Times New Roman"/>
          <w:b/>
          <w:sz w:val="37"/>
        </w:rPr>
        <w:t>ROKER</w:t>
      </w:r>
      <w:r>
        <w:rPr>
          <w:rFonts w:eastAsia="Times New Roman" w:cs="Times New Roman" w:ascii="Times New Roman" w:hAnsi="Times New Roman"/>
          <w:b/>
          <w:sz w:val="48"/>
        </w:rPr>
        <w:t>’</w:t>
      </w:r>
      <w:r>
        <w:rPr>
          <w:rFonts w:eastAsia="Times New Roman" w:cs="Times New Roman" w:ascii="Times New Roman" w:hAnsi="Times New Roman"/>
          <w:b/>
          <w:sz w:val="37"/>
        </w:rPr>
        <w:t>S</w:t>
      </w:r>
      <w:r>
        <w:rPr>
          <w:rFonts w:eastAsia="Times New Roman" w:cs="Times New Roman" w:ascii="Times New Roman" w:hAnsi="Times New Roman"/>
          <w:b/>
          <w:sz w:val="48"/>
        </w:rPr>
        <w:t xml:space="preserve"> R</w:t>
      </w:r>
      <w:r>
        <w:rPr>
          <w:rFonts w:eastAsia="Times New Roman" w:cs="Times New Roman" w:ascii="Times New Roman" w:hAnsi="Times New Roman"/>
          <w:b/>
          <w:sz w:val="37"/>
        </w:rPr>
        <w:t>OLE IN</w:t>
      </w:r>
    </w:p>
    <w:p>
      <w:pPr>
        <w:pStyle w:val="Normal"/>
        <w:spacing w:lineRule="atLeast" w:line="0"/>
        <w:jc w:val="center"/>
        <w:rPr/>
      </w:pPr>
      <w:r>
        <w:rPr>
          <w:rFonts w:eastAsia="Times New Roman" w:cs="Times New Roman" w:ascii="Times New Roman" w:hAnsi="Times New Roman"/>
          <w:b/>
          <w:sz w:val="48"/>
        </w:rPr>
        <w:t>S</w:t>
      </w:r>
      <w:r>
        <w:rPr>
          <w:rFonts w:eastAsia="Times New Roman" w:cs="Times New Roman" w:ascii="Times New Roman" w:hAnsi="Times New Roman"/>
          <w:b/>
          <w:sz w:val="37"/>
        </w:rPr>
        <w:t>HORT</w:t>
      </w:r>
      <w:r>
        <w:rPr>
          <w:rFonts w:eastAsia="Times New Roman" w:cs="Times New Roman" w:ascii="Times New Roman" w:hAnsi="Times New Roman"/>
          <w:b/>
          <w:sz w:val="48"/>
        </w:rPr>
        <w:t xml:space="preserve"> S</w:t>
      </w:r>
      <w:r>
        <w:rPr>
          <w:rFonts w:eastAsia="Times New Roman" w:cs="Times New Roman" w:ascii="Times New Roman" w:hAnsi="Times New Roman"/>
          <w:b/>
          <w:sz w:val="37"/>
        </w:rPr>
        <w:t>ALE</w:t>
      </w:r>
      <w:r>
        <w:rPr>
          <w:rFonts w:eastAsia="Times New Roman" w:cs="Times New Roman" w:ascii="Times New Roman" w:hAnsi="Times New Roman"/>
          <w:b/>
          <w:sz w:val="48"/>
        </w:rPr>
        <w:t xml:space="preserve"> T</w:t>
      </w:r>
      <w:r>
        <w:rPr>
          <w:rFonts w:eastAsia="Times New Roman" w:cs="Times New Roman" w:ascii="Times New Roman" w:hAnsi="Times New Roman"/>
          <w:b/>
          <w:sz w:val="37"/>
        </w:rPr>
        <w:t>RANSACTIONS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32"/>
        </w:rPr>
        <w:t>O</w:t>
      </w:r>
      <w:r>
        <w:rPr>
          <w:rFonts w:eastAsia="Times New Roman" w:cs="Times New Roman" w:ascii="Times New Roman" w:hAnsi="Times New Roman"/>
          <w:b/>
          <w:sz w:val="25"/>
        </w:rPr>
        <w:t>UTLINE</w:t>
      </w:r>
      <w:r>
        <w:rPr>
          <w:rFonts w:eastAsia="Times New Roman" w:cs="Times New Roman" w:ascii="Times New Roman" w:hAnsi="Times New Roman"/>
          <w:b/>
          <w:sz w:val="32"/>
        </w:rPr>
        <w: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-71120</wp:posOffset>
                </wp:positionH>
                <wp:positionV relativeFrom="paragraph">
                  <wp:posOffset>-220345</wp:posOffset>
                </wp:positionV>
                <wp:extent cx="2876550" cy="0"/>
                <wp:effectExtent l="0" t="3175" r="0" b="3175"/>
                <wp:wrapNone/>
                <wp:docPr id="1" name=""/>
                <a:graphic xmlns:a="http://schemas.openxmlformats.org/drawingml/2006/main">
                  <a:graphicData uri="http://schemas.microsoft.com/office/word/2010/wordprocessingShape">
                    <wps:wsp>
                      <wps:cNvSpPr/>
                      <wps:spPr>
                        <a:xfrm>
                          <a:off x="0" y="0"/>
                          <a:ext cx="287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7.35pt" to="220.85pt,-17.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-71120</wp:posOffset>
                </wp:positionH>
                <wp:positionV relativeFrom="paragraph">
                  <wp:posOffset>20320</wp:posOffset>
                </wp:positionV>
                <wp:extent cx="2876550" cy="0"/>
                <wp:effectExtent l="0" t="3175" r="0" b="3175"/>
                <wp:wrapNone/>
                <wp:docPr id="2" name=""/>
                <a:graphic xmlns:a="http://schemas.openxmlformats.org/drawingml/2006/main">
                  <a:graphicData uri="http://schemas.microsoft.com/office/word/2010/wordprocessingShape">
                    <wps:wsp>
                      <wps:cNvSpPr/>
                      <wps:spPr>
                        <a:xfrm>
                          <a:off x="0" y="0"/>
                          <a:ext cx="287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6pt" to="220.85pt,1.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-71120</wp:posOffset>
                </wp:positionH>
                <wp:positionV relativeFrom="paragraph">
                  <wp:posOffset>186055</wp:posOffset>
                </wp:positionV>
                <wp:extent cx="2876550" cy="0"/>
                <wp:effectExtent l="0" t="3175" r="0" b="3175"/>
                <wp:wrapNone/>
                <wp:docPr id="3" name=""/>
                <a:graphic xmlns:a="http://schemas.openxmlformats.org/drawingml/2006/main">
                  <a:graphicData uri="http://schemas.microsoft.com/office/word/2010/wordprocessingShape">
                    <wps:wsp>
                      <wps:cNvSpPr/>
                      <wps:spPr>
                        <a:xfrm>
                          <a:off x="0" y="0"/>
                          <a:ext cx="287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4.65pt" to="220.85pt,14.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-71120</wp:posOffset>
                </wp:positionH>
                <wp:positionV relativeFrom="paragraph">
                  <wp:posOffset>353695</wp:posOffset>
                </wp:positionV>
                <wp:extent cx="2876550" cy="0"/>
                <wp:effectExtent l="0" t="3175" r="0" b="3175"/>
                <wp:wrapNone/>
                <wp:docPr id="4" name=""/>
                <a:graphic xmlns:a="http://schemas.openxmlformats.org/drawingml/2006/main">
                  <a:graphicData uri="http://schemas.microsoft.com/office/word/2010/wordprocessingShape">
                    <wps:wsp>
                      <wps:cNvSpPr/>
                      <wps:spPr>
                        <a:xfrm>
                          <a:off x="0" y="0"/>
                          <a:ext cx="287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27.85pt" to="220.85pt,2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-71120</wp:posOffset>
                </wp:positionH>
                <wp:positionV relativeFrom="paragraph">
                  <wp:posOffset>521335</wp:posOffset>
                </wp:positionV>
                <wp:extent cx="2876550" cy="0"/>
                <wp:effectExtent l="0" t="3175" r="0" b="3175"/>
                <wp:wrapNone/>
                <wp:docPr id="5" name=""/>
                <a:graphic xmlns:a="http://schemas.openxmlformats.org/drawingml/2006/main">
                  <a:graphicData uri="http://schemas.microsoft.com/office/word/2010/wordprocessingShape">
                    <wps:wsp>
                      <wps:cNvSpPr/>
                      <wps:spPr>
                        <a:xfrm>
                          <a:off x="0" y="0"/>
                          <a:ext cx="287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41.05pt" to="220.85pt,41.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-71120</wp:posOffset>
                </wp:positionH>
                <wp:positionV relativeFrom="paragraph">
                  <wp:posOffset>687705</wp:posOffset>
                </wp:positionV>
                <wp:extent cx="2876550" cy="0"/>
                <wp:effectExtent l="0" t="3175" r="0" b="3175"/>
                <wp:wrapNone/>
                <wp:docPr id="6" name=""/>
                <a:graphic xmlns:a="http://schemas.openxmlformats.org/drawingml/2006/main">
                  <a:graphicData uri="http://schemas.microsoft.com/office/word/2010/wordprocessingShape">
                    <wps:wsp>
                      <wps:cNvSpPr/>
                      <wps:spPr>
                        <a:xfrm>
                          <a:off x="0" y="0"/>
                          <a:ext cx="287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54.15pt" to="220.85pt,54.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-71120</wp:posOffset>
                </wp:positionH>
                <wp:positionV relativeFrom="paragraph">
                  <wp:posOffset>855345</wp:posOffset>
                </wp:positionV>
                <wp:extent cx="2876550" cy="0"/>
                <wp:effectExtent l="0" t="3175" r="0" b="3175"/>
                <wp:wrapNone/>
                <wp:docPr id="7" name=""/>
                <a:graphic xmlns:a="http://schemas.openxmlformats.org/drawingml/2006/main">
                  <a:graphicData uri="http://schemas.microsoft.com/office/word/2010/wordprocessingShape">
                    <wps:wsp>
                      <wps:cNvSpPr/>
                      <wps:spPr>
                        <a:xfrm>
                          <a:off x="0" y="0"/>
                          <a:ext cx="287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67.35pt" to="220.85pt,67.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-67945</wp:posOffset>
                </wp:positionH>
                <wp:positionV relativeFrom="paragraph">
                  <wp:posOffset>-222885</wp:posOffset>
                </wp:positionV>
                <wp:extent cx="0" cy="1249045"/>
                <wp:effectExtent l="3175" t="0" r="3175" b="0"/>
                <wp:wrapNone/>
                <wp:docPr id="8" name=""/>
                <a:graphic xmlns:a="http://schemas.openxmlformats.org/drawingml/2006/main">
                  <a:graphicData uri="http://schemas.microsoft.com/office/word/2010/wordprocessingShape">
                    <wps:wsp>
                      <wps:cNvSpPr/>
                      <wps:spPr>
                        <a:xfrm>
                          <a:off x="0" y="0"/>
                          <a:ext cx="0" cy="1249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5pt,-17.55pt" to="-5.35pt,8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-71120</wp:posOffset>
                </wp:positionH>
                <wp:positionV relativeFrom="paragraph">
                  <wp:posOffset>1022985</wp:posOffset>
                </wp:positionV>
                <wp:extent cx="2876550" cy="0"/>
                <wp:effectExtent l="0" t="3175" r="0" b="3175"/>
                <wp:wrapNone/>
                <wp:docPr id="9" name=""/>
                <a:graphic xmlns:a="http://schemas.openxmlformats.org/drawingml/2006/main">
                  <a:graphicData uri="http://schemas.microsoft.com/office/word/2010/wordprocessingShape">
                    <wps:wsp>
                      <wps:cNvSpPr/>
                      <wps:spPr>
                        <a:xfrm>
                          <a:off x="0" y="0"/>
                          <a:ext cx="287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80.55pt" to="220.85pt,8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2802255</wp:posOffset>
                </wp:positionH>
                <wp:positionV relativeFrom="paragraph">
                  <wp:posOffset>-222885</wp:posOffset>
                </wp:positionV>
                <wp:extent cx="0" cy="1249045"/>
                <wp:effectExtent l="3175" t="0" r="3175" b="0"/>
                <wp:wrapNone/>
                <wp:docPr id="10" name=""/>
                <a:graphic xmlns:a="http://schemas.openxmlformats.org/drawingml/2006/main">
                  <a:graphicData uri="http://schemas.microsoft.com/office/word/2010/wordprocessingShape">
                    <wps:wsp>
                      <wps:cNvSpPr/>
                      <wps:spPr>
                        <a:xfrm>
                          <a:off x="0" y="0"/>
                          <a:ext cx="0" cy="1249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0.65pt,-17.55pt" to="220.65pt,80.75pt" stroked="t" o:allowincell="f" style="position:absolute">
                <v:stroke color="black" weight="6480" joinstyle="miter" endcap="flat"/>
                <v:fill o:detectmouseclick="t" on="false"/>
                <w10:wrap type="none"/>
              </v:line>
            </w:pict>
          </mc:Fallback>
        </mc:AlternateConten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0000FF"/>
          <w:sz w:val="18"/>
          <w:u w:val="single"/>
        </w:rPr>
      </w:pPr>
      <w:hyperlink w:anchor="page3">
        <w:r>
          <w:rPr>
            <w:rStyle w:val="Hyperlink"/>
            <w:rFonts w:eastAsia="Times New Roman" w:cs="Times New Roman" w:ascii="Times New Roman" w:hAnsi="Times New Roman"/>
            <w:b/>
            <w:color w:val="0000FF"/>
            <w:sz w:val="22"/>
            <w:u w:val="single"/>
          </w:rPr>
          <w:t>I</w:t>
        </w:r>
        <w:r>
          <w:rPr>
            <w:rStyle w:val="Hyperlink"/>
            <w:rFonts w:eastAsia="Times New Roman" w:cs="Times New Roman" w:ascii="Times New Roman" w:hAnsi="Times New Roman"/>
            <w:b/>
            <w:color w:val="0000FF"/>
            <w:sz w:val="18"/>
            <w:u w:val="single"/>
          </w:rPr>
          <w:t>NTRODUCTION</w:t>
        </w:r>
      </w:hyperlink>
    </w:p>
    <w:p>
      <w:pPr>
        <w:pStyle w:val="Normal"/>
        <w:spacing w:lineRule="exact" w:line="11"/>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r>
    </w:p>
    <w:p>
      <w:pPr>
        <w:pStyle w:val="Normal"/>
        <w:spacing w:lineRule="atLeast" w:line="0"/>
        <w:rPr>
          <w:rFonts w:ascii="Times New Roman" w:hAnsi="Times New Roman" w:eastAsia="Times New Roman" w:cs="Times New Roman"/>
          <w:b/>
          <w:color w:val="0000FF"/>
          <w:sz w:val="18"/>
          <w:u w:val="single"/>
        </w:rPr>
      </w:pPr>
      <w:hyperlink w:anchor="page3">
        <w:r>
          <w:rPr>
            <w:rStyle w:val="Hyperlink"/>
            <w:rFonts w:eastAsia="Times New Roman" w:cs="Times New Roman" w:ascii="Times New Roman" w:hAnsi="Times New Roman"/>
            <w:b/>
            <w:color w:val="0000FF"/>
            <w:sz w:val="22"/>
            <w:u w:val="single"/>
          </w:rPr>
          <w:t>S</w:t>
        </w:r>
        <w:r>
          <w:rPr>
            <w:rStyle w:val="Hyperlink"/>
            <w:rFonts w:eastAsia="Times New Roman" w:cs="Times New Roman" w:ascii="Times New Roman" w:hAnsi="Times New Roman"/>
            <w:b/>
            <w:color w:val="0000FF"/>
            <w:sz w:val="18"/>
            <w:u w:val="single"/>
          </w:rPr>
          <w:t>HORT</w:t>
        </w:r>
        <w:r>
          <w:rPr>
            <w:rStyle w:val="Hyperlink"/>
            <w:rFonts w:eastAsia="Times New Roman" w:cs="Times New Roman" w:ascii="Times New Roman" w:hAnsi="Times New Roman"/>
            <w:b/>
            <w:color w:val="0000FF"/>
            <w:sz w:val="22"/>
            <w:u w:val="single"/>
          </w:rPr>
          <w:t xml:space="preserve"> S</w:t>
        </w:r>
        <w:r>
          <w:rPr>
            <w:rStyle w:val="Hyperlink"/>
            <w:rFonts w:eastAsia="Times New Roman" w:cs="Times New Roman" w:ascii="Times New Roman" w:hAnsi="Times New Roman"/>
            <w:b/>
            <w:color w:val="0000FF"/>
            <w:sz w:val="18"/>
            <w:u w:val="single"/>
          </w:rPr>
          <w:t>ALE</w:t>
        </w:r>
        <w:r>
          <w:rPr>
            <w:rStyle w:val="Hyperlink"/>
            <w:rFonts w:eastAsia="Times New Roman" w:cs="Times New Roman" w:ascii="Times New Roman" w:hAnsi="Times New Roman"/>
            <w:b/>
            <w:color w:val="0000FF"/>
            <w:sz w:val="22"/>
            <w:u w:val="single"/>
          </w:rPr>
          <w:t xml:space="preserve"> S</w:t>
        </w:r>
        <w:r>
          <w:rPr>
            <w:rStyle w:val="Hyperlink"/>
            <w:rFonts w:eastAsia="Times New Roman" w:cs="Times New Roman" w:ascii="Times New Roman" w:hAnsi="Times New Roman"/>
            <w:b/>
            <w:color w:val="0000FF"/>
            <w:sz w:val="18"/>
            <w:u w:val="single"/>
          </w:rPr>
          <w:t>ITUATION</w:t>
        </w:r>
        <w:r>
          <w:rPr>
            <w:rStyle w:val="Hyperlink"/>
            <w:rFonts w:eastAsia="Times New Roman" w:cs="Times New Roman" w:ascii="Times New Roman" w:hAnsi="Times New Roman"/>
            <w:b/>
            <w:color w:val="0000FF"/>
            <w:sz w:val="22"/>
            <w:u w:val="single"/>
          </w:rPr>
          <w:t xml:space="preserve"> I</w:t>
        </w:r>
        <w:r>
          <w:rPr>
            <w:rStyle w:val="Hyperlink"/>
            <w:rFonts w:eastAsia="Times New Roman" w:cs="Times New Roman" w:ascii="Times New Roman" w:hAnsi="Times New Roman"/>
            <w:b/>
            <w:color w:val="0000FF"/>
            <w:sz w:val="18"/>
            <w:u w:val="single"/>
          </w:rPr>
          <w:t>S A</w:t>
        </w:r>
        <w:r>
          <w:rPr>
            <w:rStyle w:val="Hyperlink"/>
            <w:rFonts w:eastAsia="Times New Roman" w:cs="Times New Roman" w:ascii="Times New Roman" w:hAnsi="Times New Roman"/>
            <w:b/>
            <w:color w:val="0000FF"/>
            <w:sz w:val="22"/>
            <w:u w:val="single"/>
          </w:rPr>
          <w:t xml:space="preserve"> M</w:t>
        </w:r>
        <w:r>
          <w:rPr>
            <w:rStyle w:val="Hyperlink"/>
            <w:rFonts w:eastAsia="Times New Roman" w:cs="Times New Roman" w:ascii="Times New Roman" w:hAnsi="Times New Roman"/>
            <w:b/>
            <w:color w:val="0000FF"/>
            <w:sz w:val="18"/>
            <w:u w:val="single"/>
          </w:rPr>
          <w:t>ATERIAL</w:t>
        </w:r>
        <w:r>
          <w:rPr>
            <w:rStyle w:val="Hyperlink"/>
            <w:rFonts w:eastAsia="Times New Roman" w:cs="Times New Roman" w:ascii="Times New Roman" w:hAnsi="Times New Roman"/>
            <w:b/>
            <w:color w:val="0000FF"/>
            <w:sz w:val="22"/>
            <w:u w:val="single"/>
          </w:rPr>
          <w:t xml:space="preserve"> F</w:t>
        </w:r>
        <w:r>
          <w:rPr>
            <w:rStyle w:val="Hyperlink"/>
            <w:rFonts w:eastAsia="Times New Roman" w:cs="Times New Roman" w:ascii="Times New Roman" w:hAnsi="Times New Roman"/>
            <w:b/>
            <w:color w:val="0000FF"/>
            <w:sz w:val="18"/>
            <w:u w:val="single"/>
          </w:rPr>
          <w:t>ACT</w:t>
        </w:r>
      </w:hyperlink>
    </w:p>
    <w:p>
      <w:pPr>
        <w:pStyle w:val="Normal"/>
        <w:spacing w:lineRule="exact" w:line="9"/>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r>
    </w:p>
    <w:p>
      <w:pPr>
        <w:pStyle w:val="Normal"/>
        <w:spacing w:lineRule="atLeast" w:line="0"/>
        <w:rPr>
          <w:rFonts w:ascii="Times New Roman" w:hAnsi="Times New Roman" w:eastAsia="Times New Roman" w:cs="Times New Roman"/>
          <w:b/>
          <w:color w:val="0000FF"/>
          <w:sz w:val="18"/>
          <w:u w:val="single"/>
        </w:rPr>
      </w:pPr>
      <w:hyperlink w:anchor="page7">
        <w:r>
          <w:rPr>
            <w:rStyle w:val="Hyperlink"/>
            <w:rFonts w:eastAsia="Times New Roman" w:cs="Times New Roman" w:ascii="Times New Roman" w:hAnsi="Times New Roman"/>
            <w:b/>
            <w:color w:val="0000FF"/>
            <w:sz w:val="22"/>
            <w:u w:val="single"/>
          </w:rPr>
          <w:t>S</w:t>
        </w:r>
        <w:r>
          <w:rPr>
            <w:rStyle w:val="Hyperlink"/>
            <w:rFonts w:eastAsia="Times New Roman" w:cs="Times New Roman" w:ascii="Times New Roman" w:hAnsi="Times New Roman"/>
            <w:b/>
            <w:color w:val="0000FF"/>
            <w:sz w:val="18"/>
            <w:u w:val="single"/>
          </w:rPr>
          <w:t>ERVICES OF A</w:t>
        </w:r>
        <w:r>
          <w:rPr>
            <w:rStyle w:val="Hyperlink"/>
            <w:rFonts w:eastAsia="Times New Roman" w:cs="Times New Roman" w:ascii="Times New Roman" w:hAnsi="Times New Roman"/>
            <w:b/>
            <w:color w:val="0000FF"/>
            <w:sz w:val="22"/>
            <w:u w:val="single"/>
          </w:rPr>
          <w:t xml:space="preserve"> L</w:t>
        </w:r>
        <w:r>
          <w:rPr>
            <w:rStyle w:val="Hyperlink"/>
            <w:rFonts w:eastAsia="Times New Roman" w:cs="Times New Roman" w:ascii="Times New Roman" w:hAnsi="Times New Roman"/>
            <w:b/>
            <w:color w:val="0000FF"/>
            <w:sz w:val="18"/>
            <w:u w:val="single"/>
          </w:rPr>
          <w:t>ISTING</w:t>
        </w:r>
        <w:r>
          <w:rPr>
            <w:rStyle w:val="Hyperlink"/>
            <w:rFonts w:eastAsia="Times New Roman" w:cs="Times New Roman" w:ascii="Times New Roman" w:hAnsi="Times New Roman"/>
            <w:b/>
            <w:color w:val="0000FF"/>
            <w:sz w:val="22"/>
            <w:u w:val="single"/>
          </w:rPr>
          <w:t xml:space="preserve"> B</w:t>
        </w:r>
        <w:r>
          <w:rPr>
            <w:rStyle w:val="Hyperlink"/>
            <w:rFonts w:eastAsia="Times New Roman" w:cs="Times New Roman" w:ascii="Times New Roman" w:hAnsi="Times New Roman"/>
            <w:b/>
            <w:color w:val="0000FF"/>
            <w:sz w:val="18"/>
            <w:u w:val="single"/>
          </w:rPr>
          <w:t>ROKER</w:t>
        </w:r>
      </w:hyperlink>
    </w:p>
    <w:p>
      <w:pPr>
        <w:pStyle w:val="Normal"/>
        <w:spacing w:lineRule="exact" w:line="11"/>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r>
    </w:p>
    <w:p>
      <w:pPr>
        <w:pStyle w:val="Normal"/>
        <w:spacing w:lineRule="atLeast" w:line="0"/>
        <w:rPr>
          <w:rFonts w:ascii="Times New Roman" w:hAnsi="Times New Roman" w:eastAsia="Times New Roman" w:cs="Times New Roman"/>
          <w:b/>
          <w:color w:val="0000FF"/>
          <w:sz w:val="18"/>
          <w:u w:val="single"/>
        </w:rPr>
      </w:pPr>
      <w:hyperlink w:anchor="page14">
        <w:r>
          <w:rPr>
            <w:rStyle w:val="Hyperlink"/>
            <w:rFonts w:eastAsia="Times New Roman" w:cs="Times New Roman" w:ascii="Times New Roman" w:hAnsi="Times New Roman"/>
            <w:b/>
            <w:color w:val="0000FF"/>
            <w:sz w:val="22"/>
            <w:u w:val="single"/>
          </w:rPr>
          <w:t>L</w:t>
        </w:r>
        <w:r>
          <w:rPr>
            <w:rStyle w:val="Hyperlink"/>
            <w:rFonts w:eastAsia="Times New Roman" w:cs="Times New Roman" w:ascii="Times New Roman" w:hAnsi="Times New Roman"/>
            <w:b/>
            <w:color w:val="0000FF"/>
            <w:sz w:val="18"/>
            <w:u w:val="single"/>
          </w:rPr>
          <w:t>ENDER</w:t>
        </w:r>
        <w:r>
          <w:rPr>
            <w:rStyle w:val="Hyperlink"/>
            <w:rFonts w:eastAsia="Times New Roman" w:cs="Times New Roman" w:ascii="Times New Roman" w:hAnsi="Times New Roman"/>
            <w:b/>
            <w:color w:val="0000FF"/>
            <w:sz w:val="22"/>
            <w:u w:val="single"/>
          </w:rPr>
          <w:t xml:space="preserve"> A</w:t>
        </w:r>
        <w:r>
          <w:rPr>
            <w:rStyle w:val="Hyperlink"/>
            <w:rFonts w:eastAsia="Times New Roman" w:cs="Times New Roman" w:ascii="Times New Roman" w:hAnsi="Times New Roman"/>
            <w:b/>
            <w:color w:val="0000FF"/>
            <w:sz w:val="18"/>
            <w:u w:val="single"/>
          </w:rPr>
          <w:t>PPROVAL</w:t>
        </w:r>
      </w:hyperlink>
    </w:p>
    <w:p>
      <w:pPr>
        <w:pStyle w:val="Normal"/>
        <w:spacing w:lineRule="exact" w:line="9"/>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r>
    </w:p>
    <w:p>
      <w:pPr>
        <w:pStyle w:val="Normal"/>
        <w:spacing w:lineRule="atLeast" w:line="0"/>
        <w:rPr>
          <w:rFonts w:ascii="Times New Roman" w:hAnsi="Times New Roman" w:eastAsia="Times New Roman" w:cs="Times New Roman"/>
          <w:b/>
          <w:color w:val="0000FF"/>
          <w:sz w:val="18"/>
          <w:u w:val="single"/>
        </w:rPr>
      </w:pPr>
      <w:hyperlink w:anchor="page15">
        <w:r>
          <w:rPr>
            <w:rStyle w:val="Hyperlink"/>
            <w:rFonts w:eastAsia="Times New Roman" w:cs="Times New Roman" w:ascii="Times New Roman" w:hAnsi="Times New Roman"/>
            <w:b/>
            <w:color w:val="0000FF"/>
            <w:sz w:val="22"/>
            <w:u w:val="single"/>
          </w:rPr>
          <w:t>A</w:t>
        </w:r>
        <w:r>
          <w:rPr>
            <w:rStyle w:val="Hyperlink"/>
            <w:rFonts w:eastAsia="Times New Roman" w:cs="Times New Roman" w:ascii="Times New Roman" w:hAnsi="Times New Roman"/>
            <w:b/>
            <w:color w:val="0000FF"/>
            <w:sz w:val="18"/>
            <w:u w:val="single"/>
          </w:rPr>
          <w:t>PPLICABLE</w:t>
        </w:r>
        <w:r>
          <w:rPr>
            <w:rStyle w:val="Hyperlink"/>
            <w:rFonts w:eastAsia="Times New Roman" w:cs="Times New Roman" w:ascii="Times New Roman" w:hAnsi="Times New Roman"/>
            <w:b/>
            <w:color w:val="0000FF"/>
            <w:sz w:val="22"/>
            <w:u w:val="single"/>
          </w:rPr>
          <w:t xml:space="preserve"> L</w:t>
        </w:r>
        <w:r>
          <w:rPr>
            <w:rStyle w:val="Hyperlink"/>
            <w:rFonts w:eastAsia="Times New Roman" w:cs="Times New Roman" w:ascii="Times New Roman" w:hAnsi="Times New Roman"/>
            <w:b/>
            <w:color w:val="0000FF"/>
            <w:sz w:val="18"/>
            <w:u w:val="single"/>
          </w:rPr>
          <w:t>AWS</w:t>
        </w:r>
        <w:r>
          <w:rPr>
            <w:rStyle w:val="Hyperlink"/>
            <w:rFonts w:eastAsia="Times New Roman" w:cs="Times New Roman" w:ascii="Times New Roman" w:hAnsi="Times New Roman"/>
            <w:b/>
            <w:color w:val="0000FF"/>
            <w:sz w:val="22"/>
            <w:u w:val="single"/>
          </w:rPr>
          <w:t xml:space="preserve"> &amp; R</w:t>
        </w:r>
        <w:r>
          <w:rPr>
            <w:rStyle w:val="Hyperlink"/>
            <w:rFonts w:eastAsia="Times New Roman" w:cs="Times New Roman" w:ascii="Times New Roman" w:hAnsi="Times New Roman"/>
            <w:b/>
            <w:color w:val="0000FF"/>
            <w:sz w:val="18"/>
            <w:u w:val="single"/>
          </w:rPr>
          <w:t>ULES</w:t>
        </w:r>
      </w:hyperlink>
    </w:p>
    <w:p>
      <w:pPr>
        <w:pStyle w:val="Normal"/>
        <w:spacing w:lineRule="exact" w:line="11"/>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r>
    </w:p>
    <w:p>
      <w:pPr>
        <w:pStyle w:val="Normal"/>
        <w:spacing w:lineRule="atLeast" w:line="0"/>
        <w:rPr>
          <w:rFonts w:ascii="Times New Roman" w:hAnsi="Times New Roman" w:eastAsia="Times New Roman" w:cs="Times New Roman"/>
          <w:b/>
          <w:color w:val="0000FF"/>
          <w:sz w:val="18"/>
          <w:u w:val="single"/>
        </w:rPr>
      </w:pPr>
      <w:hyperlink w:anchor="page25">
        <w:r>
          <w:rPr>
            <w:rStyle w:val="Hyperlink"/>
            <w:rFonts w:eastAsia="Times New Roman" w:cs="Times New Roman" w:ascii="Times New Roman" w:hAnsi="Times New Roman"/>
            <w:b/>
            <w:color w:val="0000FF"/>
            <w:sz w:val="22"/>
            <w:u w:val="single"/>
          </w:rPr>
          <w:t>S</w:t>
        </w:r>
        <w:r>
          <w:rPr>
            <w:rStyle w:val="Hyperlink"/>
            <w:rFonts w:eastAsia="Times New Roman" w:cs="Times New Roman" w:ascii="Times New Roman" w:hAnsi="Times New Roman"/>
            <w:b/>
            <w:color w:val="0000FF"/>
            <w:sz w:val="18"/>
            <w:u w:val="single"/>
          </w:rPr>
          <w:t>HORT</w:t>
        </w:r>
        <w:r>
          <w:rPr>
            <w:rStyle w:val="Hyperlink"/>
            <w:rFonts w:eastAsia="Times New Roman" w:cs="Times New Roman" w:ascii="Times New Roman" w:hAnsi="Times New Roman"/>
            <w:b/>
            <w:color w:val="0000FF"/>
            <w:sz w:val="22"/>
            <w:u w:val="single"/>
          </w:rPr>
          <w:t xml:space="preserve"> S</w:t>
        </w:r>
        <w:r>
          <w:rPr>
            <w:rStyle w:val="Hyperlink"/>
            <w:rFonts w:eastAsia="Times New Roman" w:cs="Times New Roman" w:ascii="Times New Roman" w:hAnsi="Times New Roman"/>
            <w:b/>
            <w:color w:val="0000FF"/>
            <w:sz w:val="18"/>
            <w:u w:val="single"/>
          </w:rPr>
          <w:t>ALE</w:t>
        </w:r>
        <w:r>
          <w:rPr>
            <w:rStyle w:val="Hyperlink"/>
            <w:rFonts w:eastAsia="Times New Roman" w:cs="Times New Roman" w:ascii="Times New Roman" w:hAnsi="Times New Roman"/>
            <w:b/>
            <w:color w:val="0000FF"/>
            <w:sz w:val="22"/>
            <w:u w:val="single"/>
          </w:rPr>
          <w:t xml:space="preserve"> F</w:t>
        </w:r>
        <w:r>
          <w:rPr>
            <w:rStyle w:val="Hyperlink"/>
            <w:rFonts w:eastAsia="Times New Roman" w:cs="Times New Roman" w:ascii="Times New Roman" w:hAnsi="Times New Roman"/>
            <w:b/>
            <w:color w:val="0000FF"/>
            <w:sz w:val="18"/>
            <w:u w:val="single"/>
          </w:rPr>
          <w:t>RAUD</w:t>
        </w:r>
      </w:hyperlink>
    </w:p>
    <w:p>
      <w:pPr>
        <w:pStyle w:val="Normal"/>
        <w:spacing w:lineRule="exact" w:line="200"/>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pPr>
      <w:r>
        <w:rPr>
          <w:rFonts w:eastAsia="Times New Roman" w:cs="Times New Roman" w:ascii="Times New Roman" w:hAnsi="Times New Roman"/>
          <w:b/>
          <w:sz w:val="30"/>
        </w:rPr>
        <w:t>Learning Objective:</w:t>
      </w:r>
      <w:r>
        <w:rPr>
          <w:rFonts w:eastAsia="Times New Roman" w:cs="Times New Roman" w:ascii="Times New Roman" w:hAnsi="Times New Roman"/>
          <w:sz w:val="24"/>
        </w:rPr>
        <w:t xml:space="preserve"> Upon completing this Section, real estate licensees should have a better understanding of what services they may provide to a consumer in a short sale transaction and the limitations on permissible services they may offer, advertise or perform.</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720"/>
        <w:jc w:val="both"/>
        <w:rPr/>
      </w:pPr>
      <w:r>
        <w:rPr>
          <w:rFonts w:eastAsia="Times New Roman" w:cs="Times New Roman" w:ascii="Times New Roman" w:hAnsi="Times New Roman"/>
          <w:b/>
          <w:sz w:val="28"/>
        </w:rPr>
        <w:t>CAUTION:</w:t>
      </w:r>
      <w:r>
        <w:rPr>
          <w:rFonts w:eastAsia="Times New Roman" w:cs="Times New Roman" w:ascii="Times New Roman" w:hAnsi="Times New Roman"/>
          <w:sz w:val="24"/>
        </w:rPr>
        <w:t xml:space="preserve"> This Section is intended as an overview to alert licensees to the many complex issues involved in a short sale transaction and various federal laws or regulations that may impact such a transaction. </w:t>
      </w:r>
      <w:r>
        <w:rPr>
          <w:rFonts w:eastAsia="Times New Roman" w:cs="Times New Roman" w:ascii="Times New Roman" w:hAnsi="Times New Roman"/>
          <w:i/>
          <w:sz w:val="24"/>
        </w:rPr>
        <w:t>The information herein will neither prepare nor equip a licensee to competently handle a short sale transaction without additional education</w:t>
      </w:r>
      <w:r>
        <w:rPr>
          <w:rFonts w:eastAsia="Times New Roman" w:cs="Times New Roman" w:ascii="Times New Roman" w:hAnsi="Times New Roman"/>
          <w:sz w:val="24"/>
        </w:rPr>
        <w:t xml:space="preserve">. Any licensee who is considering offering brokerage services in a short sale transaction is </w:t>
      </w:r>
      <w:r>
        <w:rPr>
          <w:rFonts w:eastAsia="Times New Roman" w:cs="Times New Roman" w:ascii="Times New Roman" w:hAnsi="Times New Roman"/>
          <w:b/>
          <w:sz w:val="24"/>
        </w:rPr>
        <w:t>strongly encouraged</w:t>
      </w:r>
      <w:r>
        <w:rPr>
          <w:rFonts w:eastAsia="Times New Roman" w:cs="Times New Roman" w:ascii="Times New Roman" w:hAnsi="Times New Roman"/>
          <w:sz w:val="24"/>
        </w:rPr>
        <w:t xml:space="preserve"> to first take one or more of several approved continuing education elective courses in this subject </w:t>
      </w:r>
      <w:r>
        <w:rPr>
          <w:rFonts w:eastAsia="Times New Roman" w:cs="Times New Roman" w:ascii="Times New Roman" w:hAnsi="Times New Roman"/>
          <w:b/>
          <w:sz w:val="24"/>
        </w:rPr>
        <w:t>before</w:t>
      </w:r>
      <w:r>
        <w:rPr>
          <w:rFonts w:eastAsia="Times New Roman" w:cs="Times New Roman" w:ascii="Times New Roman" w:hAnsi="Times New Roman"/>
          <w:sz w:val="24"/>
        </w:rPr>
        <w:t xml:space="preserve"> attempting to represent any consumer in a short sale transaction, particularly a distressed property owner.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32"/>
        </w:rPr>
        <w:t>I</w:t>
      </w:r>
      <w:r>
        <w:rPr>
          <w:rFonts w:eastAsia="Times New Roman" w:cs="Times New Roman" w:ascii="Times New Roman" w:hAnsi="Times New Roman"/>
          <w:b/>
          <w:sz w:val="25"/>
        </w:rPr>
        <w:t>NTRODUCTION</w:t>
      </w:r>
    </w:p>
    <w:p>
      <w:pPr>
        <w:pStyle w:val="Normal"/>
        <w:spacing w:lineRule="exact" w:line="27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firstLine="720" w:end="240"/>
        <w:jc w:val="both"/>
        <w:rPr/>
      </w:pPr>
      <w:r>
        <w:rPr>
          <w:rFonts w:eastAsia="Times New Roman" w:cs="Times New Roman" w:ascii="Times New Roman" w:hAnsi="Times New Roman"/>
          <w:sz w:val="24"/>
        </w:rPr>
        <w:t>“</w:t>
      </w:r>
      <w:r>
        <w:rPr>
          <w:rFonts w:eastAsia="Times New Roman" w:cs="Times New Roman" w:ascii="Times New Roman" w:hAnsi="Times New Roman"/>
          <w:b/>
          <w:i/>
          <w:sz w:val="24"/>
        </w:rPr>
        <w:t>Short Sale</w:t>
      </w:r>
      <w:r>
        <w:rPr>
          <w:rFonts w:eastAsia="Times New Roman" w:cs="Times New Roman" w:ascii="Times New Roman" w:hAnsi="Times New Roman"/>
          <w:sz w:val="24"/>
        </w:rPr>
        <w:t>” — a term that was virtually unknown a decade ago, but which is now part of every real estate broker’s vocabulary, even if the broker has not personally been involved as an agent in a short sale transaction. What does it mean?</w:t>
      </w:r>
    </w:p>
    <w:p>
      <w:pPr>
        <w:pStyle w:val="Normal"/>
        <w:spacing w:lineRule="auto" w:line="244"/>
        <w:ind w:firstLine="720" w:end="0"/>
        <w:jc w:val="both"/>
        <w:rPr/>
      </w:pPr>
      <w:r>
        <w:rPr>
          <w:rFonts w:eastAsia="Times New Roman" w:cs="Times New Roman" w:ascii="Times New Roman" w:hAnsi="Times New Roman"/>
          <w:sz w:val="24"/>
        </w:rPr>
        <w:t xml:space="preserve">Basically, </w:t>
      </w:r>
      <w:r>
        <w:rPr>
          <w:rFonts w:eastAsia="Times New Roman" w:cs="Times New Roman" w:ascii="Times New Roman" w:hAnsi="Times New Roman"/>
          <w:i/>
          <w:sz w:val="24"/>
        </w:rPr>
        <w:t>a “</w:t>
      </w:r>
      <w:r>
        <w:rPr>
          <w:rFonts w:eastAsia="Times New Roman" w:cs="Times New Roman" w:ascii="Times New Roman" w:hAnsi="Times New Roman"/>
          <w:b/>
          <w:i/>
          <w:sz w:val="24"/>
        </w:rPr>
        <w:t>short sale</w:t>
      </w:r>
      <w:r>
        <w:rPr>
          <w:rFonts w:eastAsia="Times New Roman" w:cs="Times New Roman" w:ascii="Times New Roman" w:hAnsi="Times New Roman"/>
          <w:i/>
          <w:sz w:val="24"/>
        </w:rPr>
        <w:t xml:space="preserve">” is a sale of mortgaged real property where the proceeds from the sale are insufficient to pay in full the seller’s outstanding mortgage and any other liens against the property </w:t>
      </w:r>
      <w:r>
        <w:rPr>
          <w:rFonts w:eastAsia="Times New Roman" w:cs="Times New Roman" w:ascii="Times New Roman" w:hAnsi="Times New Roman"/>
          <w:b/>
          <w:i/>
          <w:sz w:val="24"/>
        </w:rPr>
        <w:t>and</w:t>
      </w:r>
      <w:r>
        <w:rPr>
          <w:rFonts w:eastAsia="Times New Roman" w:cs="Times New Roman" w:ascii="Times New Roman" w:hAnsi="Times New Roman"/>
          <w:i/>
          <w:sz w:val="24"/>
        </w:rPr>
        <w:t xml:space="preserve"> the seller lacks sufficient other assets to pay the remaining amounts due on the secured debts after application of the sale proceeds. Because the seller lacks the financial resources to remove these encumbrances in order to convey marketable and insurable title, the seller’s lender, as well as all other lienholders, must consent to the sale and agree to voluntarily release the liens.</w:t>
      </w:r>
      <w:r>
        <w:rPr>
          <w:rFonts w:eastAsia="Times New Roman" w:cs="Times New Roman" w:ascii="Times New Roman" w:hAnsi="Times New Roman"/>
          <w:sz w:val="24"/>
        </w:rPr>
        <w:t xml:space="preserve"> The lienholders must agree to voluntarily release their respective liens or a sale</w:t>
      </w:r>
    </w:p>
    <w:p>
      <w:pPr>
        <w:sectPr>
          <w:type w:val="nextPage"/>
          <w:pgSz w:w="12240" w:h="15840"/>
          <w:pgMar w:left="1440" w:right="1440" w:gutter="0" w:header="0" w:top="1267"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w:t>
      </w:r>
    </w:p>
    <w:p>
      <w:pPr>
        <w:sectPr>
          <w:type w:val="continuous"/>
          <w:pgSz w:w="12240" w:h="15840"/>
          <w:pgMar w:left="1440" w:right="1440" w:gutter="0" w:header="0" w:top="1267" w:footer="0" w:bottom="169"/>
          <w:formProt w:val="false"/>
          <w:textDirection w:val="lrTb"/>
          <w:docGrid w:type="default" w:linePitch="360" w:charSpace="0"/>
        </w:sectPr>
      </w:pPr>
    </w:p>
    <w:p>
      <w:pPr>
        <w:pStyle w:val="Normal"/>
        <w:spacing w:lineRule="auto" w:line="254"/>
        <w:jc w:val="both"/>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will not be possible. The lienholders may also agree to forgive the remaining debt, but they are also free to pursue a deficiency judgment against the seller for all or a part of the mortgage balance or lien that is not paid as a result of the sale.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In many instances, a potential short sale situation is created when the proposed or expected sale price is less than the outstanding indebtedness owed on the first mortgage alone. In other instances, a potential short sale situation might arise when the proposed or expected sale price is less than the total due on the combined first mortgage, second mortgage or home equity line of credit, and any other liens encumbering the property (such as a real property tax or special assessment lien, a lien for delinquent owner association fees/assessments or a judgment lien). </w:t>
      </w:r>
      <w:r>
        <w:rPr>
          <w:rFonts w:eastAsia="Times New Roman" w:cs="Times New Roman" w:ascii="Times New Roman" w:hAnsi="Times New Roman"/>
          <w:i/>
          <w:sz w:val="24"/>
        </w:rPr>
        <w:t xml:space="preserve">The more liens there are against a property, the less likely it is that a short sale will be possible, as the consent of </w:t>
      </w:r>
      <w:r>
        <w:rPr>
          <w:rFonts w:eastAsia="Times New Roman" w:cs="Times New Roman" w:ascii="Times New Roman" w:hAnsi="Times New Roman"/>
          <w:b/>
          <w:i/>
          <w:sz w:val="24"/>
        </w:rPr>
        <w:t>all lienholders</w:t>
      </w:r>
      <w:r>
        <w:rPr>
          <w:rFonts w:eastAsia="Times New Roman" w:cs="Times New Roman" w:ascii="Times New Roman" w:hAnsi="Times New Roman"/>
          <w:i/>
          <w:sz w:val="24"/>
        </w:rPr>
        <w:t xml:space="preserve"> will be required.</w:t>
      </w:r>
    </w:p>
    <w:p>
      <w:pPr>
        <w:pStyle w:val="Normal"/>
        <w:spacing w:lineRule="exact" w:line="23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0"/>
        <w:ind w:firstLine="720" w:end="0"/>
        <w:jc w:val="both"/>
        <w:rPr/>
      </w:pPr>
      <w:r>
        <w:rPr>
          <w:rFonts w:eastAsia="Times New Roman" w:cs="Times New Roman" w:ascii="Times New Roman" w:hAnsi="Times New Roman"/>
          <w:sz w:val="24"/>
        </w:rPr>
        <w:t xml:space="preserve">A short sale is different from a foreclosure. In a foreclosure, sale proceeds are applied to satisfy in full liens in order of priority. If the amount of the first lien exceeds the sale proceeds, then all junior liens will be extinguished, as there are inadequate sale proceeds to pay the first lien in full and, by definition, everyone else is junior or secondary to the first lienholder. However, because a short sale is a “voluntary,” rather than judicial, process, approval of </w:t>
      </w:r>
      <w:r>
        <w:rPr>
          <w:rFonts w:eastAsia="Times New Roman" w:cs="Times New Roman" w:ascii="Times New Roman" w:hAnsi="Times New Roman"/>
          <w:b/>
          <w:i/>
          <w:sz w:val="24"/>
        </w:rPr>
        <w:t>all</w:t>
      </w:r>
      <w:r>
        <w:rPr>
          <w:rFonts w:eastAsia="Times New Roman" w:cs="Times New Roman" w:ascii="Times New Roman" w:hAnsi="Times New Roman"/>
          <w:sz w:val="24"/>
        </w:rPr>
        <w:t xml:space="preserve"> lienholders, first, second, third, etc., whether from a voluntary deed-of-trust, tax lien or judgment lien, is necessary in order for the seller to be able to convey a marketable title to the buyer. If a proposed short sale would produce little or no funds to pay off a junior lien, it may be difficult to persuade that junior lienholder to release the lien, unless it is reasonably clear that they would receive nothing in the event of a foreclosure sale as well. Any outstanding real property tax or special assessment liens are particularly troublesome for the owner wanting to undertake a short sale because they have lien priority and will be the first liens paid from the sale proceeds, thereby decreasing the amount available to pay towards the first mortgage, much less junior lienholders.</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As of Spring 2011, it was estimated that, nationally, 27% of current property owners owe more on their real property than the property is worth. Thus, one out of every four sellers will find themselves in a short sale situation — also referred to as being “under water” or “upside down.” Realty Trac reports that there were more than one million foreclosures nationally in 2010 and 1.2 million are projected in 2011. According to the National Association of Realtors®, 40% of residential purchases nationally in March 2011 were either short sales or foreclosed properties, excluding properties sold at auction or public foreclosure sales. In some markets, such as Miami, Florida, two-thirds of residential properties sold involved either short sales or foreclosures.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20" w:end="0"/>
        <w:jc w:val="both"/>
        <w:rPr/>
      </w:pPr>
      <w:r>
        <w:rPr>
          <w:rFonts w:eastAsia="Times New Roman" w:cs="Times New Roman" w:ascii="Times New Roman" w:hAnsi="Times New Roman"/>
          <w:sz w:val="24"/>
        </w:rPr>
        <w:t>According to the North Carolina Association of REALTORS®, North Carolina is faring better than many states; foreclosures decreased by 27% during the first quarter of 2011 compared to the last quarter of 2010, whereas nationally the rates decreased only 15%. There were 68,000 foreclosures in North Carolina in 2010, and contrary to the national norm, fewer (63,000) are projected for 2011. (See NCAR’s “The Real Facts of NC Real Estate,” Issue 15.) North Carolina ranks 37</w:t>
      </w:r>
      <w:r>
        <w:rPr>
          <w:rFonts w:eastAsia="Times New Roman" w:cs="Times New Roman" w:ascii="Times New Roman" w:hAnsi="Times New Roman"/>
          <w:sz w:val="32"/>
          <w:vertAlign w:val="superscript"/>
        </w:rPr>
        <w:t>th</w:t>
      </w:r>
      <w:r>
        <w:rPr>
          <w:rFonts w:eastAsia="Times New Roman" w:cs="Times New Roman" w:ascii="Times New Roman" w:hAnsi="Times New Roman"/>
          <w:sz w:val="24"/>
        </w:rPr>
        <w:t xml:space="preserve"> nationally in foreclosure filings according to Realty Trac. Nonetheless, given these numbers, it appears highly likely that a real estate broker may encounter a transaction involving a distressed property. How these transactions differ from a “normal” sales transaction and the scope of a real estate broker’s services in these transactions is explored herein.</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-2-</w:t>
      </w:r>
    </w:p>
    <w:p>
      <w:pPr>
        <w:sectPr>
          <w:type w:val="continuous"/>
          <w:pgSz w:w="12240" w:h="15840"/>
          <w:pgMar w:left="1440" w:right="1440" w:gutter="0" w:header="0" w:top="1270" w:footer="0" w:bottom="169"/>
          <w:formProt w:val="false"/>
          <w:textDirection w:val="lrTb"/>
          <w:docGrid w:type="default" w:linePitch="360" w:charSpace="0"/>
        </w:sectPr>
      </w:pPr>
    </w:p>
    <w:p>
      <w:pPr>
        <w:pStyle w:val="Normal"/>
        <w:spacing w:lineRule="atLeast" w:line="0"/>
        <w:rPr/>
      </w:pPr>
      <w:bookmarkStart w:id="2" w:name="page3"/>
      <w:bookmarkEnd w:id="2"/>
      <w:r>
        <w:rPr>
          <w:rFonts w:eastAsia="Times New Roman" w:cs="Times New Roman" w:ascii="Times New Roman" w:hAnsi="Times New Roman"/>
          <w:b/>
          <w:sz w:val="32"/>
        </w:rPr>
        <w:t>S</w:t>
      </w:r>
      <w:r>
        <w:rPr>
          <w:rFonts w:eastAsia="Times New Roman" w:cs="Times New Roman" w:ascii="Times New Roman" w:hAnsi="Times New Roman"/>
          <w:b/>
          <w:sz w:val="25"/>
        </w:rPr>
        <w:t>HORT</w:t>
      </w:r>
      <w:r>
        <w:rPr>
          <w:rFonts w:eastAsia="Times New Roman" w:cs="Times New Roman" w:ascii="Times New Roman" w:hAnsi="Times New Roman"/>
          <w:b/>
          <w:sz w:val="32"/>
        </w:rPr>
        <w:t xml:space="preserve"> S</w:t>
      </w:r>
      <w:r>
        <w:rPr>
          <w:rFonts w:eastAsia="Times New Roman" w:cs="Times New Roman" w:ascii="Times New Roman" w:hAnsi="Times New Roman"/>
          <w:b/>
          <w:sz w:val="25"/>
        </w:rPr>
        <w:t>ALE</w:t>
      </w:r>
      <w:r>
        <w:rPr>
          <w:rFonts w:eastAsia="Times New Roman" w:cs="Times New Roman" w:ascii="Times New Roman" w:hAnsi="Times New Roman"/>
          <w:b/>
          <w:sz w:val="32"/>
        </w:rPr>
        <w:t xml:space="preserve"> S</w:t>
      </w:r>
      <w:r>
        <w:rPr>
          <w:rFonts w:eastAsia="Times New Roman" w:cs="Times New Roman" w:ascii="Times New Roman" w:hAnsi="Times New Roman"/>
          <w:b/>
          <w:sz w:val="25"/>
        </w:rPr>
        <w:t>ITUATION</w:t>
      </w:r>
      <w:r>
        <w:rPr>
          <w:rFonts w:eastAsia="Times New Roman" w:cs="Times New Roman" w:ascii="Times New Roman" w:hAnsi="Times New Roman"/>
          <w:b/>
          <w:sz w:val="32"/>
        </w:rPr>
        <w:t xml:space="preserve"> I</w:t>
      </w:r>
      <w:r>
        <w:rPr>
          <w:rFonts w:eastAsia="Times New Roman" w:cs="Times New Roman" w:ascii="Times New Roman" w:hAnsi="Times New Roman"/>
          <w:b/>
          <w:sz w:val="25"/>
        </w:rPr>
        <w:t>S A</w:t>
      </w:r>
      <w:r>
        <w:rPr>
          <w:rFonts w:eastAsia="Times New Roman" w:cs="Times New Roman" w:ascii="Times New Roman" w:hAnsi="Times New Roman"/>
          <w:b/>
          <w:sz w:val="32"/>
        </w:rPr>
        <w:t xml:space="preserve"> M</w:t>
      </w:r>
      <w:r>
        <w:rPr>
          <w:rFonts w:eastAsia="Times New Roman" w:cs="Times New Roman" w:ascii="Times New Roman" w:hAnsi="Times New Roman"/>
          <w:b/>
          <w:sz w:val="25"/>
        </w:rPr>
        <w:t>ATERIAL</w:t>
      </w:r>
      <w:r>
        <w:rPr>
          <w:rFonts w:eastAsia="Times New Roman" w:cs="Times New Roman" w:ascii="Times New Roman" w:hAnsi="Times New Roman"/>
          <w:b/>
          <w:sz w:val="32"/>
        </w:rPr>
        <w:t xml:space="preserve"> F</w:t>
      </w:r>
      <w:r>
        <w:rPr>
          <w:rFonts w:eastAsia="Times New Roman" w:cs="Times New Roman" w:ascii="Times New Roman" w:hAnsi="Times New Roman"/>
          <w:b/>
          <w:sz w:val="25"/>
        </w:rPr>
        <w:t>ACT</w:t>
      </w:r>
    </w:p>
    <w:p>
      <w:pPr>
        <w:pStyle w:val="Normal"/>
        <w:spacing w:lineRule="exact" w:line="279"/>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44"/>
        <w:ind w:firstLine="720" w:end="0"/>
        <w:jc w:val="both"/>
        <w:rPr/>
      </w:pPr>
      <w:r>
        <w:rPr>
          <w:rFonts w:eastAsia="Times New Roman" w:cs="Times New Roman" w:ascii="Times New Roman" w:hAnsi="Times New Roman"/>
          <w:sz w:val="24"/>
        </w:rPr>
        <w:t xml:space="preserve">As previously indicated, a short sale situation arises when the proceeds from the sale of the property are insufficient to satisfy in full all liens encumbering the property </w:t>
      </w:r>
      <w:r>
        <w:rPr>
          <w:rFonts w:eastAsia="Times New Roman" w:cs="Times New Roman" w:ascii="Times New Roman" w:hAnsi="Times New Roman"/>
          <w:i/>
          <w:sz w:val="24"/>
        </w:rPr>
        <w:t>and</w:t>
      </w:r>
      <w:r>
        <w:rPr>
          <w:rFonts w:eastAsia="Times New Roman" w:cs="Times New Roman" w:ascii="Times New Roman" w:hAnsi="Times New Roman"/>
          <w:sz w:val="24"/>
        </w:rPr>
        <w:t xml:space="preserve"> the owner lacks sufficient other assets to pay the deficiency between the amount secured by the property and the sale proceeds. Thus, the owner lacks the ability to convey “marketable and insurable title” as required by the standard form Offer to Purchase and Contract, unless all lienholders consent. While the lienholders technically are </w:t>
      </w:r>
      <w:r>
        <w:rPr>
          <w:rFonts w:eastAsia="Times New Roman" w:cs="Times New Roman" w:ascii="Times New Roman" w:hAnsi="Times New Roman"/>
          <w:i/>
          <w:sz w:val="24"/>
        </w:rPr>
        <w:t>not</w:t>
      </w:r>
      <w:r>
        <w:rPr>
          <w:rFonts w:eastAsia="Times New Roman" w:cs="Times New Roman" w:ascii="Times New Roman" w:hAnsi="Times New Roman"/>
          <w:sz w:val="24"/>
        </w:rPr>
        <w:t xml:space="preserve"> a “party” to the transaction, their consent is indispensable and controls the owner’s ability to perform his/her obligations under the contract.</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pPr>
      <w:r>
        <w:rPr>
          <w:rFonts w:eastAsia="Times New Roman" w:cs="Times New Roman" w:ascii="Times New Roman" w:hAnsi="Times New Roman"/>
          <w:i/>
          <w:sz w:val="24"/>
        </w:rPr>
        <w:t>If a potential short sale situation exists, is that a material fact that must be disclosed by a real estate broker? Yes!</w:t>
      </w:r>
      <w:r>
        <w:rPr>
          <w:rFonts w:eastAsia="Times New Roman" w:cs="Times New Roman" w:ascii="Times New Roman" w:hAnsi="Times New Roman"/>
          <w:sz w:val="24"/>
        </w:rPr>
        <w:t xml:space="preserve"> Since the advent of the short sale phenomenon, the Commission has said that </w:t>
      </w:r>
      <w:r>
        <w:rPr>
          <w:rFonts w:eastAsia="Times New Roman" w:cs="Times New Roman" w:ascii="Times New Roman" w:hAnsi="Times New Roman"/>
          <w:b/>
          <w:i/>
          <w:sz w:val="24"/>
        </w:rPr>
        <w:t>the fact that the owner is unable to convey marketable and insurable title without the express consent of his/her lienholder(s) is a material fact that all licensees must disclose</w:t>
      </w:r>
      <w:r>
        <w:rPr>
          <w:rFonts w:eastAsia="Times New Roman" w:cs="Times New Roman" w:ascii="Times New Roman" w:hAnsi="Times New Roman"/>
          <w:sz w:val="24"/>
        </w:rPr>
        <w:t>. It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jc w:val="both"/>
        <w:rPr/>
      </w:pPr>
      <w:r>
        <w:rPr>
          <w:rFonts w:eastAsia="Times New Roman" w:cs="Times New Roman" w:ascii="Times New Roman" w:hAnsi="Times New Roman"/>
          <w:sz w:val="24"/>
        </w:rPr>
        <w:t xml:space="preserve">bears directly on the principal’s ability to fulfill his/her contractual obligations. Potential buyers have a right to know </w:t>
      </w:r>
      <w:r>
        <w:rPr>
          <w:rFonts w:eastAsia="Times New Roman" w:cs="Times New Roman" w:ascii="Times New Roman" w:hAnsi="Times New Roman"/>
          <w:i/>
          <w:sz w:val="24"/>
        </w:rPr>
        <w:t>prior to making an offer</w:t>
      </w:r>
      <w:r>
        <w:rPr>
          <w:rFonts w:eastAsia="Times New Roman" w:cs="Times New Roman" w:ascii="Times New Roman" w:hAnsi="Times New Roman"/>
          <w:sz w:val="24"/>
        </w:rPr>
        <w:t xml:space="preserve"> that the owner cannot unilaterally perform his/her obligations under the contract and that the transaction may take significantly longer to conclude because all lienholders must be involved in the process and basically control the owner’s ability to convey title free of encumbrances.</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8"/>
        </w:rPr>
      </w:pPr>
      <w:r>
        <w:rPr>
          <w:rFonts w:eastAsia="Times New Roman" w:cs="Times New Roman" w:ascii="Times New Roman" w:hAnsi="Times New Roman"/>
          <w:b/>
          <w:sz w:val="28"/>
        </w:rPr>
        <w:t>Broker Disclosure Requirement for Short Sale versus Foreclosure</w:t>
      </w:r>
    </w:p>
    <w:p>
      <w:pPr>
        <w:pStyle w:val="Normal"/>
        <w:spacing w:lineRule="auto" w:line="240"/>
        <w:ind w:firstLine="720" w:end="0"/>
        <w:jc w:val="both"/>
        <w:rPr/>
      </w:pPr>
      <w:r>
        <w:rPr>
          <w:rFonts w:eastAsia="Times New Roman" w:cs="Times New Roman" w:ascii="Times New Roman" w:hAnsi="Times New Roman"/>
          <w:b/>
          <w:sz w:val="24"/>
        </w:rPr>
        <w:t>Foreclosure Situation.</w:t>
      </w:r>
      <w:r>
        <w:rPr>
          <w:rFonts w:eastAsia="Times New Roman" w:cs="Times New Roman" w:ascii="Times New Roman" w:hAnsi="Times New Roman"/>
          <w:sz w:val="24"/>
        </w:rPr>
        <w:t xml:space="preserve"> Some licensees may be confused in that for years the Commission has said that the fact that an owner may be delinquent in their mortgage payment and may be threatened with foreclosure is still confidential information that should not be disclosed by a seller agent. It does not become a material fact until the foreclosure action is actually filed with the court, at which time a broker must disclose that fact to all interested parties. This continues to be the Commission’s position as to </w:t>
      </w:r>
      <w:r>
        <w:rPr>
          <w:rFonts w:eastAsia="Times New Roman" w:cs="Times New Roman" w:ascii="Times New Roman" w:hAnsi="Times New Roman"/>
          <w:i/>
          <w:sz w:val="24"/>
        </w:rPr>
        <w:t>foreclosures</w:t>
      </w:r>
      <w:r>
        <w:rPr>
          <w:rFonts w:eastAsia="Times New Roman" w:cs="Times New Roman" w:ascii="Times New Roman" w:hAnsi="Times New Roman"/>
          <w:sz w:val="24"/>
        </w:rPr>
        <w:t xml:space="preserve">. Just because an owner is behind on his/her mortgage payments does not necessarily mean that the property is worth less than the amount owed on it or that the owner does not possess other assets from which to satisfy any deficiency. Therefore, there is no change in the Commission’s position regarding disclosure of information regarding a listed property’s status as to foreclosure. </w:t>
      </w:r>
      <w:r>
        <w:rPr>
          <w:rFonts w:eastAsia="Times New Roman" w:cs="Times New Roman" w:ascii="Times New Roman" w:hAnsi="Times New Roman"/>
          <w:i/>
          <w:sz w:val="24"/>
        </w:rPr>
        <w:t xml:space="preserve">A foreclosure does not become a material fact until a proceeding has been commenced against a listed property, but once filed, it must be disclosed to prospective buyers because it affects the seller’s ability to convey marketable title. However, if the seller is simply behind on his/her mortgage payments and may be facing foreclosure in the near future, that fact, </w:t>
      </w:r>
      <w:r>
        <w:rPr>
          <w:rFonts w:eastAsia="Times New Roman" w:cs="Times New Roman" w:ascii="Times New Roman" w:hAnsi="Times New Roman"/>
          <w:i/>
          <w:sz w:val="24"/>
          <w:u w:val="single"/>
        </w:rPr>
        <w:t>in the absence of a short sale situation</w:t>
      </w:r>
      <w:r>
        <w:rPr>
          <w:rFonts w:eastAsia="Times New Roman" w:cs="Times New Roman" w:ascii="Times New Roman" w:hAnsi="Times New Roman"/>
          <w:i/>
          <w:sz w:val="24"/>
        </w:rPr>
        <w:t>, is personal and confidential information regarding the seller’s financial condition that should NOT be disclosed to prospective buyers.</w:t>
      </w:r>
    </w:p>
    <w:p>
      <w:pPr>
        <w:pStyle w:val="Normal"/>
        <w:spacing w:lineRule="exact" w:line="24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4"/>
        <w:ind w:firstLine="720" w:end="0"/>
        <w:jc w:val="both"/>
        <w:rPr/>
      </w:pPr>
      <w:r>
        <w:rPr>
          <w:rFonts w:eastAsia="Times New Roman" w:cs="Times New Roman" w:ascii="Times New Roman" w:hAnsi="Times New Roman"/>
          <w:b/>
          <w:sz w:val="24"/>
        </w:rPr>
        <w:t>Short Sale Situation.</w:t>
      </w:r>
      <w:r>
        <w:rPr>
          <w:rFonts w:eastAsia="Times New Roman" w:cs="Times New Roman" w:ascii="Times New Roman" w:hAnsi="Times New Roman"/>
          <w:sz w:val="24"/>
        </w:rPr>
        <w:t xml:space="preserve"> As noted earlier, a short sale situation exists when the expected sale price of a listed property will be insufficient to pay in full both the owner’s outstanding mortgages </w:t>
      </w:r>
      <w:r>
        <w:rPr>
          <w:rFonts w:eastAsia="Times New Roman" w:cs="Times New Roman" w:ascii="Times New Roman" w:hAnsi="Times New Roman"/>
          <w:i/>
          <w:sz w:val="24"/>
        </w:rPr>
        <w:t>as well as</w:t>
      </w:r>
      <w:r>
        <w:rPr>
          <w:rFonts w:eastAsia="Times New Roman" w:cs="Times New Roman" w:ascii="Times New Roman" w:hAnsi="Times New Roman"/>
          <w:sz w:val="24"/>
        </w:rPr>
        <w:t xml:space="preserve"> any other outstanding liens </w:t>
      </w:r>
      <w:r>
        <w:rPr>
          <w:rFonts w:eastAsia="Times New Roman" w:cs="Times New Roman" w:ascii="Times New Roman" w:hAnsi="Times New Roman"/>
          <w:i/>
          <w:sz w:val="24"/>
        </w:rPr>
        <w:t>and</w:t>
      </w:r>
      <w:r>
        <w:rPr>
          <w:rFonts w:eastAsia="Times New Roman" w:cs="Times New Roman" w:ascii="Times New Roman" w:hAnsi="Times New Roman"/>
          <w:sz w:val="24"/>
        </w:rPr>
        <w:t xml:space="preserve"> the owner lacks sufficient other assets to satisfy the deficiencies, thereby necessitating the consent and approval of all lienholders in order to convey title free of encumbrances. The owner may or may not be delinquent on his/her mortgage(s) in a short sale situation. </w:t>
      </w:r>
      <w:r>
        <w:rPr>
          <w:rFonts w:eastAsia="Times New Roman" w:cs="Times New Roman" w:ascii="Times New Roman" w:hAnsi="Times New Roman"/>
          <w:i/>
          <w:sz w:val="24"/>
        </w:rPr>
        <w:t>The existence of a short sale situation is a material fact because the owner can’t convey marketable title, and this fact must be disclosed to prospective buyers in a timely manner, i.e., before a buyer is allowed to submit an offer</w:t>
      </w:r>
      <w:r>
        <w:rPr>
          <w:rFonts w:eastAsia="Times New Roman" w:cs="Times New Roman" w:ascii="Times New Roman" w:hAnsi="Times New Roman"/>
          <w:sz w:val="24"/>
        </w:rPr>
        <w:t>.</w:t>
      </w:r>
    </w:p>
    <w:p>
      <w:pPr>
        <w:sectPr>
          <w:type w:val="nextPage"/>
          <w:pgSz w:w="12240" w:h="15840"/>
          <w:pgMar w:left="1440" w:right="1440" w:gutter="0" w:header="0" w:top="1266"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-3-</w:t>
      </w:r>
    </w:p>
    <w:p>
      <w:pPr>
        <w:sectPr>
          <w:type w:val="continuous"/>
          <w:pgSz w:w="12240" w:h="15840"/>
          <w:pgMar w:left="1440" w:right="1440" w:gutter="0" w:header="0" w:top="1266" w:footer="0" w:bottom="169"/>
          <w:formProt w:val="false"/>
          <w:textDirection w:val="lrTb"/>
          <w:docGrid w:type="default" w:linePitch="360" w:charSpace="0"/>
        </w:sectPr>
      </w:pPr>
    </w:p>
    <w:p>
      <w:pPr>
        <w:pStyle w:val="Normal"/>
        <w:spacing w:lineRule="exact" w:line="106"/>
        <w:rPr>
          <w:rFonts w:ascii="Times New Roman" w:hAnsi="Times New Roman" w:eastAsia="Times New Roman" w:cs="Times New Roman"/>
          <w:b/>
          <w:sz w:val="26"/>
        </w:rPr>
      </w:pPr>
      <w:r>
        <w:rPr>
          <w:rFonts w:eastAsia="Times New Roman" w:cs="Times New Roman" w:ascii="Times New Roman" w:hAnsi="Times New Roman"/>
          <w:b/>
          <w:sz w:val="26"/>
        </w:rPr>
      </w:r>
      <w:bookmarkStart w:id="3" w:name="page4"/>
      <w:bookmarkStart w:id="4" w:name="page4"/>
      <w:bookmarkEnd w:id="4"/>
    </w:p>
    <w:p>
      <w:pPr>
        <w:pStyle w:val="Normal"/>
        <w:spacing w:lineRule="auto" w:line="244"/>
        <w:ind w:firstLine="720" w:end="0"/>
        <w:jc w:val="both"/>
        <w:rPr/>
      </w:pPr>
      <w:r>
        <w:rPr>
          <w:rFonts w:eastAsia="Times New Roman" w:cs="Times New Roman" w:ascii="Times New Roman" w:hAnsi="Times New Roman"/>
          <w:sz w:val="24"/>
        </w:rPr>
        <w:t>Thus, where the value and expected sales price of a listed property exceed the total of all encumbrances, a seller’s agent need not disclose anything about the seller’s financial condition, unless or until a foreclosure action is initiated; but where the agent knows or reasonably should know that the fair market value of the property is less than the amount of the liens secured by the property and the owner lacks the financial ability to cure all deficiencies, then the owner is in a short sale situation and that is a material fact that all brokers must disclose.</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20" w:end="0"/>
        <w:rPr>
          <w:rFonts w:ascii="Times New Roman" w:hAnsi="Times New Roman" w:eastAsia="Times New Roman" w:cs="Times New Roman"/>
          <w:b/>
          <w:sz w:val="28"/>
        </w:rPr>
      </w:pPr>
      <w:r>
        <w:rPr>
          <w:rFonts w:eastAsia="Times New Roman" w:cs="Times New Roman" w:ascii="Times New Roman" w:hAnsi="Times New Roman"/>
          <w:b/>
          <w:sz w:val="28"/>
        </w:rPr>
        <w:t>Seller and Agent Responsibilities for Disclosure of a Short Sale Situation</w:t>
      </w:r>
    </w:p>
    <w:p>
      <w:pPr>
        <w:pStyle w:val="Normal"/>
        <w:spacing w:lineRule="atLeast" w:line="0"/>
        <w:ind w:start="720" w:end="0"/>
        <w:rPr/>
      </w:pPr>
      <w:r>
        <w:rPr>
          <w:rFonts w:eastAsia="Times New Roman" w:cs="Times New Roman" w:ascii="Times New Roman" w:hAnsi="Times New Roman"/>
          <w:b/>
          <w:sz w:val="26"/>
        </w:rPr>
        <w:t>Seller’s Responsibilities</w:t>
      </w:r>
    </w:p>
    <w:p>
      <w:pPr>
        <w:pStyle w:val="Normal"/>
        <w:spacing w:lineRule="auto" w:line="242"/>
        <w:ind w:firstLine="720" w:end="0"/>
        <w:jc w:val="both"/>
        <w:rPr/>
      </w:pPr>
      <w:r>
        <w:rPr>
          <w:rFonts w:eastAsia="Times New Roman" w:cs="Times New Roman" w:ascii="Times New Roman" w:hAnsi="Times New Roman"/>
          <w:sz w:val="24"/>
        </w:rPr>
        <w:t xml:space="preserve">Must a seller disclose anything to a potential buyer? No; </w:t>
      </w:r>
      <w:r>
        <w:rPr>
          <w:rFonts w:eastAsia="Times New Roman" w:cs="Times New Roman" w:ascii="Times New Roman" w:hAnsi="Times New Roman"/>
          <w:i/>
          <w:sz w:val="24"/>
        </w:rPr>
        <w:t>caveat emptor</w:t>
      </w:r>
      <w:r>
        <w:rPr>
          <w:rFonts w:eastAsia="Times New Roman" w:cs="Times New Roman" w:ascii="Times New Roman" w:hAnsi="Times New Roman"/>
          <w:sz w:val="24"/>
        </w:rPr>
        <w:t xml:space="preserve"> is alive and well in North Carolina. While most sellers of residential property are required by North Carolina law to provide the mandatory Residential Property Disclosure Statement to all buyers, owners are not compelled to reveal anything about their property since they have the option of checking “no representation.” If a seller chooses to answer “yes” or “no,” then the statement must be honest to the best of the seller’s knowledge or s/he may be guilty of misrepresentation or fraud. Thus, </w:t>
      </w:r>
      <w:r>
        <w:rPr>
          <w:rFonts w:eastAsia="Times New Roman" w:cs="Times New Roman" w:ascii="Times New Roman" w:hAnsi="Times New Roman"/>
          <w:i/>
          <w:sz w:val="24"/>
        </w:rPr>
        <w:t xml:space="preserve">an owner selling his/her property </w:t>
      </w:r>
      <w:r>
        <w:rPr>
          <w:rFonts w:eastAsia="Times New Roman" w:cs="Times New Roman" w:ascii="Times New Roman" w:hAnsi="Times New Roman"/>
          <w:b/>
          <w:i/>
          <w:sz w:val="24"/>
        </w:rPr>
        <w:t>without a broker</w:t>
      </w:r>
      <w:r>
        <w:rPr>
          <w:rFonts w:eastAsia="Times New Roman" w:cs="Times New Roman" w:ascii="Times New Roman" w:hAnsi="Times New Roman"/>
          <w:i/>
          <w:sz w:val="24"/>
        </w:rPr>
        <w:t xml:space="preserve"> is not required to disclose to a prospective buyer that the owner is in a short sale situation</w:t>
      </w:r>
      <w:r>
        <w:rPr>
          <w:rFonts w:eastAsia="Times New Roman" w:cs="Times New Roman" w:ascii="Times New Roman" w:hAnsi="Times New Roman"/>
          <w:sz w:val="24"/>
        </w:rPr>
        <w:t>. Will it become apparent at some point in the</w:t>
      </w:r>
      <w:r>
        <w:rPr>
          <w:rFonts w:eastAsia="Times New Roman" w:cs="Times New Roman" w:ascii="Times New Roman" w:hAnsi="Times New Roman"/>
          <w:i/>
          <w:sz w:val="24"/>
        </w:rPr>
        <w:t xml:space="preserve"> </w:t>
      </w:r>
      <w:r>
        <w:rPr>
          <w:rFonts w:eastAsia="Times New Roman" w:cs="Times New Roman" w:ascii="Times New Roman" w:hAnsi="Times New Roman"/>
          <w:sz w:val="24"/>
        </w:rPr>
        <w:t>transaction? Absolutely, and it may derail the transaction, if the buyer was not aware of this fact prior to making an offer. Ultimately, though, it is the seller who will be in breach of contract, absent an addendum, if lender approval cannot be obtained.</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6"/>
        </w:rPr>
        <w:t>Listing Agent’s Responsibilities</w:t>
      </w:r>
    </w:p>
    <w:p>
      <w:pPr>
        <w:pStyle w:val="Normal"/>
        <w:spacing w:lineRule="auto" w:line="247"/>
        <w:ind w:firstLine="720" w:end="0"/>
        <w:jc w:val="both"/>
        <w:rPr/>
      </w:pPr>
      <w:r>
        <w:rPr>
          <w:rFonts w:eastAsia="Times New Roman" w:cs="Times New Roman" w:ascii="Times New Roman" w:hAnsi="Times New Roman"/>
          <w:sz w:val="24"/>
        </w:rPr>
        <w:t>We have already established that the existence of a short sale situation is a material fact that any broker must disclose to a prospective buyer, even if the seller does not want to do so. The listing agent is obviously in the best position to ascertain the existence of a short sale situation. So how does a listing agent go about discovering whether an owner is “under water” while gathering pre-listing information? The recommended actions are discussed below.</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b/>
          <w:sz w:val="24"/>
        </w:rPr>
        <w:t>Explain agency.</w:t>
      </w:r>
      <w:r>
        <w:rPr>
          <w:rFonts w:eastAsia="Times New Roman" w:cs="Times New Roman" w:ascii="Times New Roman" w:hAnsi="Times New Roman"/>
          <w:sz w:val="24"/>
        </w:rPr>
        <w:t xml:space="preserve"> Early in a listing presentation, the broker should provide the </w:t>
      </w:r>
      <w:r>
        <w:rPr>
          <w:rFonts w:eastAsia="Times New Roman" w:cs="Times New Roman" w:ascii="Times New Roman" w:hAnsi="Times New Roman"/>
          <w:i/>
          <w:sz w:val="24"/>
        </w:rPr>
        <w:t>Working with Real Estate Agents</w:t>
      </w:r>
      <w:r>
        <w:rPr>
          <w:rFonts w:eastAsia="Times New Roman" w:cs="Times New Roman" w:ascii="Times New Roman" w:hAnsi="Times New Roman"/>
          <w:sz w:val="24"/>
        </w:rPr>
        <w:t xml:space="preserve"> brochure to the owner and explain that until the owner decides which company/agent to hire, no principal-agent relationship has been created and thus no fiduciary duties attach, including the duty of confidentiality. Thus, nothing the owner tells any real estate broker the owner may interview is privileged or confidential until the owner hires a brokerage company and then personal information known to those agents would be confidential. However, broker-agents are required to disclose information about their principal or property, even if seemingly personal or unflattering, if the information rises to the level of material fact.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b/>
          <w:sz w:val="24"/>
        </w:rPr>
        <w:t>Advise seller of agent’s duty to discover and disclose material facts.</w:t>
      </w:r>
      <w:r>
        <w:rPr>
          <w:rFonts w:eastAsia="Times New Roman" w:cs="Times New Roman" w:ascii="Times New Roman" w:hAnsi="Times New Roman"/>
          <w:sz w:val="24"/>
        </w:rPr>
        <w:t xml:space="preserve"> It is important that during a listing presentation a listing agent explain to the seller the agent’s duty to “discover and disclose” material facts about a property and that the agent make reasonable inquiries of the seller about property conditions and other facts that the agent must disclose to prospective buyers.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720" w:end="0"/>
        <w:jc w:val="both"/>
        <w:rPr/>
      </w:pPr>
      <w:r>
        <w:rPr>
          <w:rFonts w:eastAsia="Times New Roman" w:cs="Times New Roman" w:ascii="Times New Roman" w:hAnsi="Times New Roman"/>
          <w:b/>
          <w:sz w:val="24"/>
        </w:rPr>
        <w:t>Reasons to discover a potential short sale situation.</w:t>
      </w:r>
      <w:r>
        <w:rPr>
          <w:rFonts w:eastAsia="Times New Roman" w:cs="Times New Roman" w:ascii="Times New Roman" w:hAnsi="Times New Roman"/>
          <w:sz w:val="24"/>
        </w:rPr>
        <w:t xml:space="preserve"> A real estate firm may have a policy that prohibits or restricts the taking of short sale listings due to the duration or complexity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69"/>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-4-</w:t>
      </w:r>
    </w:p>
    <w:p>
      <w:pPr>
        <w:pStyle w:val="Normal"/>
        <w:spacing w:lineRule="auto" w:line="242"/>
        <w:jc w:val="both"/>
        <w:rPr/>
      </w:pPr>
      <w:bookmarkStart w:id="5" w:name="page5"/>
      <w:bookmarkEnd w:id="5"/>
      <w:r>
        <w:rPr>
          <w:rFonts w:eastAsia="Times New Roman" w:cs="Times New Roman" w:ascii="Times New Roman" w:hAnsi="Times New Roman"/>
          <w:sz w:val="24"/>
        </w:rPr>
        <w:t>or for whatever reasons. In such situations, a listing agent definitely needs to determine at the outset whether a short sale situation exists and, if so, obtain the approval of his/her broker-in-charge to accept the listing, as it is the company’s listing. If an agent does not want to commit to the substantial amount of time that may be required to handle such a transaction or believes s/he lacks sufficient knowledge to properly assist the seller or buyer in a short sale, the agent may refer the owner to a broker with more expertise in such transactions. Lastly, in some situations, the listing company may be requested by the lender to reduce its compensation, depending on the amount agreed in the listing agreement, in order to approve the terms of the parties’ contract. Note that in a HAFA short sale, discussed later herein, the lender may not request a commission reduction below 6% of the purchase price.</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0"/>
        <w:jc w:val="both"/>
        <w:rPr/>
      </w:pPr>
      <w:r>
        <w:rPr>
          <w:rFonts w:eastAsia="Times New Roman" w:cs="Times New Roman" w:ascii="Times New Roman" w:hAnsi="Times New Roman"/>
          <w:b/>
          <w:sz w:val="24"/>
        </w:rPr>
        <w:t>Perform a comparative market analysis (CMA).</w:t>
      </w:r>
      <w:r>
        <w:rPr>
          <w:rFonts w:eastAsia="Times New Roman" w:cs="Times New Roman" w:ascii="Times New Roman" w:hAnsi="Times New Roman"/>
          <w:sz w:val="24"/>
        </w:rPr>
        <w:t xml:space="preserve"> A listing broker always needs to</w:t>
      </w:r>
      <w:r>
        <w:rPr>
          <w:rFonts w:eastAsia="Times New Roman" w:cs="Times New Roman" w:ascii="Times New Roman" w:hAnsi="Times New Roman"/>
          <w:i/>
          <w:sz w:val="24"/>
        </w:rPr>
        <w:t xml:space="preserve"> perform a comparative market analysis (CMA)</w:t>
      </w:r>
      <w:r>
        <w:rPr>
          <w:rFonts w:eastAsia="Times New Roman" w:cs="Times New Roman" w:ascii="Times New Roman" w:hAnsi="Times New Roman"/>
          <w:sz w:val="24"/>
        </w:rPr>
        <w:t xml:space="preserve"> to estimate the probable sales price of the property in order to advise the seller on an appropriate listing price. This is also an essential step in identifying a potential short sale situation.</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0"/>
        <w:jc w:val="both"/>
        <w:rPr/>
      </w:pPr>
      <w:r>
        <w:rPr>
          <w:rFonts w:eastAsia="Times New Roman" w:cs="Times New Roman" w:ascii="Times New Roman" w:hAnsi="Times New Roman"/>
          <w:b/>
          <w:sz w:val="24"/>
        </w:rPr>
        <w:t>Make appropriate inquiries of the owner during the listing presentation.</w:t>
      </w:r>
      <w:r>
        <w:rPr>
          <w:rFonts w:eastAsia="Times New Roman" w:cs="Times New Roman" w:ascii="Times New Roman" w:hAnsi="Times New Roman"/>
          <w:sz w:val="24"/>
        </w:rPr>
        <w:t xml:space="preserve"> This is a necessary step to identify a possible short sale situation and is very important given today’s current real estate market where so many homeowners are in a short sale situation. Questions the agent might ask include: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68"/>
        <w:ind w:hanging="360" w:start="720" w:end="0"/>
        <w:rPr>
          <w:rFonts w:ascii="Arial" w:hAnsi="Arial" w:eastAsia="Arial" w:cs="Arial"/>
          <w:sz w:val="24"/>
        </w:rPr>
      </w:pPr>
      <w:r>
        <w:rPr>
          <w:rFonts w:eastAsia="Times New Roman" w:cs="Times New Roman" w:ascii="Times New Roman" w:hAnsi="Times New Roman"/>
          <w:sz w:val="24"/>
        </w:rPr>
        <w:t>How many mortgages/deeds of trust exist and are they a first or second mortgage? (Remember that a home equity line of credit is a second or junior mortgage.)</w:t>
      </w:r>
    </w:p>
    <w:p>
      <w:pPr>
        <w:pStyle w:val="Normal"/>
        <w:spacing w:lineRule="exact" w:line="205"/>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uto" w:line="268"/>
        <w:ind w:hanging="360" w:start="720" w:end="0"/>
        <w:rPr>
          <w:rFonts w:ascii="Arial" w:hAnsi="Arial" w:eastAsia="Arial" w:cs="Arial"/>
          <w:sz w:val="24"/>
        </w:rPr>
      </w:pPr>
      <w:r>
        <w:rPr>
          <w:rFonts w:eastAsia="Times New Roman" w:cs="Times New Roman" w:ascii="Times New Roman" w:hAnsi="Times New Roman"/>
          <w:sz w:val="24"/>
        </w:rPr>
        <w:t>Is the owner current on all mortgage and line of credit payments? If not, why not and does the owner expect to be able to correct the situation?</w:t>
      </w:r>
    </w:p>
    <w:p>
      <w:pPr>
        <w:pStyle w:val="Normal"/>
        <w:spacing w:lineRule="exact" w:line="205"/>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Are there any delinquent owner association or governmental fees or assessments?</w:t>
      </w:r>
    </w:p>
    <w:p>
      <w:pPr>
        <w:pStyle w:val="Normal"/>
        <w:spacing w:lineRule="exact" w:line="277"/>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Is the owner current on real property taxes and any special assessments?</w:t>
      </w:r>
    </w:p>
    <w:p>
      <w:pPr>
        <w:pStyle w:val="Normal"/>
        <w:spacing w:lineRule="exact" w:line="277"/>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Are there any outstanding judgments against the owner(s) and if so, in what amount?</w:t>
      </w:r>
    </w:p>
    <w:p>
      <w:pPr>
        <w:pStyle w:val="Normal"/>
        <w:spacing w:lineRule="exact" w:line="277"/>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uto" w:line="247"/>
        <w:ind w:hanging="360" w:start="720" w:end="0"/>
        <w:jc w:val="both"/>
        <w:rPr>
          <w:rFonts w:ascii="Arial" w:hAnsi="Arial" w:eastAsia="Arial" w:cs="Arial"/>
          <w:sz w:val="24"/>
        </w:rPr>
      </w:pPr>
      <w:r>
        <w:rPr>
          <w:rFonts w:eastAsia="Times New Roman" w:cs="Times New Roman" w:ascii="Times New Roman" w:hAnsi="Times New Roman"/>
          <w:sz w:val="24"/>
        </w:rPr>
        <w:t>If behind on mortgage payments, has the owner had any conversations with the lender or loan servicer concerning alternate arrangements or loan modifications? Is the lender threatening foreclosure? How much time might the owner have to attempt a voluntary sale?</w:t>
      </w:r>
    </w:p>
    <w:p>
      <w:pPr>
        <w:pStyle w:val="Normal"/>
        <w:spacing w:lineRule="exact" w:line="233"/>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Has the owner sought counseling under any of the foreclosure assistance programs?</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b/>
          <w:sz w:val="24"/>
        </w:rPr>
        <w:t xml:space="preserve">Determine if expected sale proceeds will be sufficient to pay all outstanding liens. </w:t>
      </w:r>
      <w:r>
        <w:rPr>
          <w:rFonts w:eastAsia="Times New Roman" w:cs="Times New Roman" w:ascii="Times New Roman" w:hAnsi="Times New Roman"/>
          <w:sz w:val="24"/>
        </w:rPr>
        <w:t>Based on the information acquired about the amounts of outstanding liens, the listing agent will want to determine the total amount of such liens and compare this to the estimated sales price less seller’s closing expenses.</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720" w:end="0"/>
        <w:jc w:val="both"/>
        <w:rPr/>
      </w:pPr>
      <w:r>
        <w:rPr>
          <w:rFonts w:eastAsia="Times New Roman" w:cs="Times New Roman" w:ascii="Times New Roman" w:hAnsi="Times New Roman"/>
          <w:b/>
          <w:sz w:val="24"/>
        </w:rPr>
        <w:t>Determine if owner has other assets to cover any expected deficiency.</w:t>
      </w:r>
      <w:r>
        <w:rPr>
          <w:rFonts w:eastAsia="Times New Roman" w:cs="Times New Roman" w:ascii="Times New Roman" w:hAnsi="Times New Roman"/>
          <w:sz w:val="24"/>
        </w:rPr>
        <w:t xml:space="preserve"> If it appears that there may not be sufficient proceeds from the sale of the property (after paying the seller’s</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-5-</w:t>
      </w:r>
    </w:p>
    <w:p>
      <w:pPr>
        <w:sectPr>
          <w:type w:val="continuous"/>
          <w:pgSz w:w="12240" w:h="15840"/>
          <w:pgMar w:left="1440" w:right="1440" w:gutter="0" w:header="0" w:top="1270" w:footer="0" w:bottom="169"/>
          <w:formProt w:val="false"/>
          <w:textDirection w:val="lrTb"/>
          <w:docGrid w:type="default" w:linePitch="360" w:charSpace="0"/>
        </w:sectPr>
      </w:pPr>
    </w:p>
    <w:p>
      <w:pPr>
        <w:pStyle w:val="Normal"/>
        <w:spacing w:lineRule="auto" w:line="247"/>
        <w:jc w:val="both"/>
        <w:rPr/>
      </w:pPr>
      <w:bookmarkStart w:id="6" w:name="page6"/>
      <w:bookmarkEnd w:id="6"/>
      <w:r>
        <w:rPr>
          <w:rFonts w:eastAsia="Times New Roman" w:cs="Times New Roman" w:ascii="Times New Roman" w:hAnsi="Times New Roman"/>
          <w:sz w:val="24"/>
        </w:rPr>
        <w:t xml:space="preserve">closing costs) to pay off the outstanding liens on the property, then the listing agent will want to determine if the owner has other assets that s/he can use to make up that deficiency. If the owner does have other assets from which to satisfy any and all deficiencies, then it is not a short sale situation, but if the owner does </w:t>
      </w:r>
      <w:r>
        <w:rPr>
          <w:rFonts w:eastAsia="Times New Roman" w:cs="Times New Roman" w:ascii="Times New Roman" w:hAnsi="Times New Roman"/>
          <w:i/>
          <w:sz w:val="24"/>
        </w:rPr>
        <w:t>not</w:t>
      </w:r>
      <w:r>
        <w:rPr>
          <w:rFonts w:eastAsia="Times New Roman" w:cs="Times New Roman" w:ascii="Times New Roman" w:hAnsi="Times New Roman"/>
          <w:sz w:val="24"/>
        </w:rPr>
        <w:t xml:space="preserve"> have sufficient other assets, then a potential short sale situation exists that must be disclosed to prospective buyers.</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b/>
          <w:sz w:val="24"/>
        </w:rPr>
        <w:t>Disclose the potential short sale situation.</w:t>
      </w:r>
      <w:r>
        <w:rPr>
          <w:rFonts w:eastAsia="Times New Roman" w:cs="Times New Roman" w:ascii="Times New Roman" w:hAnsi="Times New Roman"/>
          <w:sz w:val="24"/>
        </w:rPr>
        <w:t xml:space="preserve"> A listing agent is not legally required to “advertise” the existence of a short sale situation in advertising (publications, flyers, for sale signs, MLS, etc.). The decision as to whether to advertise a short sale situation depends on the marketing strategy agreed to by the owner and the listing broker. Disclosing this information in the advertising may well discourage some prospective buyers from considering the property, but it might attract others. This issue needs to be discussed and resolved with the owner, bearing in mind the broker’s duty to discover and disclose.</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Although Commission staff is not aware of listing services (such as MLS) that require listing agents to include short sale information as part of the posted property information (although fields are available for the information, if desired), if such disclosure is required by an advertising forum, then the listing broker obviously should and may comply.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end="0"/>
        <w:jc w:val="both"/>
        <w:rPr/>
      </w:pPr>
      <w:r>
        <w:rPr>
          <w:rFonts w:eastAsia="Times New Roman" w:cs="Times New Roman" w:ascii="Times New Roman" w:hAnsi="Times New Roman"/>
          <w:i/>
          <w:sz w:val="24"/>
        </w:rPr>
        <w:t xml:space="preserve">Listing agents are strongly encouraged to </w:t>
      </w:r>
      <w:r>
        <w:rPr>
          <w:rFonts w:eastAsia="Times New Roman" w:cs="Times New Roman" w:ascii="Times New Roman" w:hAnsi="Times New Roman"/>
          <w:b/>
          <w:i/>
          <w:sz w:val="24"/>
        </w:rPr>
        <w:t>disclose the existence of a short sale situation</w:t>
      </w:r>
      <w:r>
        <w:rPr>
          <w:rFonts w:eastAsia="Times New Roman" w:cs="Times New Roman" w:ascii="Times New Roman" w:hAnsi="Times New Roman"/>
          <w:i/>
          <w:sz w:val="24"/>
        </w:rPr>
        <w:t xml:space="preserve"> to agents working with buyers (or directly to buyers with whom the listing agent may be working) at the earliest possible time, </w:t>
      </w:r>
      <w:r>
        <w:rPr>
          <w:rFonts w:eastAsia="Times New Roman" w:cs="Times New Roman" w:ascii="Times New Roman" w:hAnsi="Times New Roman"/>
          <w:b/>
          <w:i/>
          <w:sz w:val="24"/>
        </w:rPr>
        <w:t>preferably prior to the property being shown to a buyer</w:t>
      </w:r>
      <w:r>
        <w:rPr>
          <w:rFonts w:eastAsia="Times New Roman" w:cs="Times New Roman" w:ascii="Times New Roman" w:hAnsi="Times New Roman"/>
          <w:sz w:val="24"/>
        </w:rPr>
        <w:t>. Such a practice or policy might help avoid accusations or complaints from irritated buyers and/or their agents who may feel that they have wasted their time viewing a property the buyer may have categorically precluded, because the listing agent did not disclose the short sale situation earlier, for example, at the time the agent working with the buyer requested to show the property.</w:t>
      </w:r>
      <w:r>
        <w:rPr>
          <w:rFonts w:eastAsia="Times New Roman" w:cs="Times New Roman" w:ascii="Times New Roman" w:hAnsi="Times New Roman"/>
          <w:i/>
          <w:sz w:val="24"/>
        </w:rPr>
        <w:t xml:space="preserve"> At the very latest, the existence of a short sale situation </w:t>
      </w:r>
      <w:r>
        <w:rPr>
          <w:rFonts w:eastAsia="Times New Roman" w:cs="Times New Roman" w:ascii="Times New Roman" w:hAnsi="Times New Roman"/>
          <w:b/>
          <w:i/>
          <w:sz w:val="24"/>
        </w:rPr>
        <w:t>must</w:t>
      </w:r>
      <w:r>
        <w:rPr>
          <w:rFonts w:eastAsia="Times New Roman" w:cs="Times New Roman" w:ascii="Times New Roman" w:hAnsi="Times New Roman"/>
          <w:i/>
          <w:sz w:val="24"/>
        </w:rPr>
        <w:t xml:space="preserve"> be disclosed to agents working with buyers (or directly to prospective buyers) not later than the time the listing agent becomes aware that a buyer plans to make an offer because that information may well influence the buyer’s decision whether to make an offer and/or what purchase price to offer. If the disclosure has not been made prior to the time an offer is presented to the listing agent by an agent working with a buyer, the listing agent must immediately disclose the omitted material fact and should allow the agent working with the buyer the opportunity to consult with the buyer to determine the buyer’s willingness to proceed prior to accepting the offer for presentation to the seller.</w:t>
      </w:r>
    </w:p>
    <w:p>
      <w:pPr>
        <w:pStyle w:val="Normal"/>
        <w:spacing w:lineRule="exact" w:line="24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4"/>
        <w:ind w:firstLine="720" w:end="0"/>
        <w:jc w:val="both"/>
        <w:rPr/>
      </w:pPr>
      <w:r>
        <w:rPr>
          <w:rFonts w:eastAsia="Times New Roman" w:cs="Times New Roman" w:ascii="Times New Roman" w:hAnsi="Times New Roman"/>
          <w:sz w:val="24"/>
        </w:rPr>
        <w:t xml:space="preserve">Note that a </w:t>
      </w:r>
      <w:r>
        <w:rPr>
          <w:rFonts w:eastAsia="Times New Roman" w:cs="Times New Roman" w:ascii="Times New Roman" w:hAnsi="Times New Roman"/>
          <w:b/>
          <w:sz w:val="24"/>
        </w:rPr>
        <w:t>listing agent under a limited services listing arrangement</w:t>
      </w:r>
      <w:r>
        <w:rPr>
          <w:rFonts w:eastAsia="Times New Roman" w:cs="Times New Roman" w:ascii="Times New Roman" w:hAnsi="Times New Roman"/>
          <w:sz w:val="24"/>
        </w:rPr>
        <w:t xml:space="preserve"> where the listing agent will not be involved in arranging showings, showing the property, presenting offers or providing other additional services beyond advertising the property, should disclose somewhere in the advertising that the property is subject to a short sale to satisfy the agent’s obligation to discover and disclose material facts. The limited services listing agent has the same obligation as a full services listing agent to assure that the buyer or agent working with the buyer is informed in a timely manner about the existence of the short sale situation.</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6"/>
        </w:rPr>
      </w:pPr>
      <w:r>
        <w:rPr>
          <w:rFonts w:eastAsia="Times New Roman" w:cs="Times New Roman" w:ascii="Times New Roman" w:hAnsi="Times New Roman"/>
          <w:b/>
          <w:sz w:val="26"/>
        </w:rPr>
        <w:t>Responsibilities of Agent Working with a Buyer</w:t>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An agent working with a buyer is in a very different position than a listing agent as to the ability to discover many material facts about a property. Thus, agents working with buyers are not expected to independently discover if a listed property will involve a short sale because they</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-6-</w:t>
      </w:r>
    </w:p>
    <w:p>
      <w:pPr>
        <w:sectPr>
          <w:type w:val="continuous"/>
          <w:pgSz w:w="12240" w:h="15840"/>
          <w:pgMar w:left="1440" w:right="1440" w:gutter="0" w:header="0" w:top="1270" w:footer="0" w:bottom="169"/>
          <w:formProt w:val="false"/>
          <w:textDirection w:val="lrTb"/>
          <w:docGrid w:type="default" w:linePitch="360" w:charSpace="0"/>
        </w:sectPr>
      </w:pPr>
    </w:p>
    <w:p>
      <w:pPr>
        <w:pStyle w:val="Normal"/>
        <w:spacing w:lineRule="auto" w:line="244"/>
        <w:jc w:val="both"/>
        <w:rPr/>
      </w:pPr>
      <w:bookmarkStart w:id="7" w:name="page7"/>
      <w:bookmarkEnd w:id="7"/>
      <w:r>
        <w:rPr>
          <w:rFonts w:eastAsia="Times New Roman" w:cs="Times New Roman" w:ascii="Times New Roman" w:hAnsi="Times New Roman"/>
          <w:sz w:val="24"/>
        </w:rPr>
        <w:t xml:space="preserve">are not in a position to reasonably obtain that information directly. However, given the critical importance of a buyer being aware of the existence of a short sale situation, and given the current real estate market circumstances, </w:t>
      </w:r>
      <w:r>
        <w:rPr>
          <w:rFonts w:eastAsia="Times New Roman" w:cs="Times New Roman" w:ascii="Times New Roman" w:hAnsi="Times New Roman"/>
          <w:i/>
          <w:sz w:val="24"/>
        </w:rPr>
        <w:t>any prudent agent working with a buyer should routinely inquire of the listing agent whether a property being considered for viewing by the buyer involves a short sale situation.</w:t>
      </w:r>
      <w:r>
        <w:rPr>
          <w:rFonts w:eastAsia="Times New Roman" w:cs="Times New Roman" w:ascii="Times New Roman" w:hAnsi="Times New Roman"/>
          <w:sz w:val="24"/>
        </w:rPr>
        <w:t xml:space="preserve"> The agent working with the buyer should make such inquiry</w:t>
      </w:r>
      <w:r>
        <w:rPr>
          <w:rFonts w:eastAsia="Times New Roman" w:cs="Times New Roman" w:ascii="Times New Roman" w:hAnsi="Times New Roman"/>
          <w:i/>
          <w:sz w:val="24"/>
        </w:rPr>
        <w:t xml:space="preserve"> </w:t>
      </w:r>
      <w:r>
        <w:rPr>
          <w:rFonts w:eastAsia="Times New Roman" w:cs="Times New Roman" w:ascii="Times New Roman" w:hAnsi="Times New Roman"/>
          <w:sz w:val="24"/>
        </w:rPr>
        <w:t>when selecting properties for viewing by the buyer.</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Should an agent working with a buyer learn at the time the agent is submitting an offer from the buyer to the listing agent that a listed property involves a short sale situation, the agent working with the buyer should refrain from submitting the offer to the listing agent until s/he has had an opportunity to discuss the newly acquired (material fact) information with the buyer.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Practical Considerations</w:t>
      </w:r>
    </w:p>
    <w:p>
      <w:pPr>
        <w:pStyle w:val="Normal"/>
        <w:spacing w:lineRule="auto" w:line="242"/>
        <w:ind w:firstLine="720" w:end="0"/>
        <w:jc w:val="both"/>
        <w:rPr/>
      </w:pPr>
      <w:r>
        <w:rPr>
          <w:rFonts w:eastAsia="Times New Roman" w:cs="Times New Roman" w:ascii="Times New Roman" w:hAnsi="Times New Roman"/>
          <w:sz w:val="24"/>
        </w:rPr>
        <w:t>Two other matters should be mentioned concerning brokers acting as buyer agents (although not necessarily related to disclosure). Buyer agents should not assume that just because the list price of the property is less than the amount owed that the property is worth the asking price, particularly in a declining market. A buyer agent should perform a comparative market analysis to assist his/her buyer-client in determining a reasonable amount to offer to purchase the property. Secondly, a buyer should be aware entering a short sale transaction that the seller may well lack the financial ability to make any repairs and that, as a practical matter, the buyer must decide whether s/he wants the property “as-is.” Understand further that whatever period is specified in the parties’ contract as the time within which the buyer must conduct his/her due diligence normally will commence immediately from the “Effective Date” of the contract and will not be stayed or tolled pending lender approval, absent express language to that effect.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32"/>
        </w:rPr>
        <w:t>S</w:t>
      </w:r>
      <w:r>
        <w:rPr>
          <w:rFonts w:eastAsia="Times New Roman" w:cs="Times New Roman" w:ascii="Times New Roman" w:hAnsi="Times New Roman"/>
          <w:b/>
          <w:sz w:val="25"/>
        </w:rPr>
        <w:t>ERVICES OF A</w:t>
      </w:r>
      <w:r>
        <w:rPr>
          <w:rFonts w:eastAsia="Times New Roman" w:cs="Times New Roman" w:ascii="Times New Roman" w:hAnsi="Times New Roman"/>
          <w:b/>
          <w:sz w:val="32"/>
        </w:rPr>
        <w:t xml:space="preserve"> L</w:t>
      </w:r>
      <w:r>
        <w:rPr>
          <w:rFonts w:eastAsia="Times New Roman" w:cs="Times New Roman" w:ascii="Times New Roman" w:hAnsi="Times New Roman"/>
          <w:b/>
          <w:sz w:val="25"/>
        </w:rPr>
        <w:t>ISTING</w:t>
      </w:r>
      <w:r>
        <w:rPr>
          <w:rFonts w:eastAsia="Times New Roman" w:cs="Times New Roman" w:ascii="Times New Roman" w:hAnsi="Times New Roman"/>
          <w:b/>
          <w:sz w:val="32"/>
        </w:rPr>
        <w:t xml:space="preserve"> B</w:t>
      </w:r>
      <w:r>
        <w:rPr>
          <w:rFonts w:eastAsia="Times New Roman" w:cs="Times New Roman" w:ascii="Times New Roman" w:hAnsi="Times New Roman"/>
          <w:b/>
          <w:sz w:val="25"/>
        </w:rPr>
        <w:t>ROKER</w:t>
      </w:r>
    </w:p>
    <w:p>
      <w:pPr>
        <w:pStyle w:val="Normal"/>
        <w:spacing w:lineRule="exact" w:line="28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44"/>
        <w:ind w:firstLine="720" w:end="0"/>
        <w:jc w:val="both"/>
        <w:rPr/>
      </w:pPr>
      <w:r>
        <w:rPr>
          <w:rFonts w:eastAsia="Times New Roman" w:cs="Times New Roman" w:ascii="Times New Roman" w:hAnsi="Times New Roman"/>
          <w:sz w:val="24"/>
        </w:rPr>
        <w:t>Once a broker has a written listing agreement with an owner, the broker may begin providing services pursuant to that agreement. The broker should explain to a seller who is in a “short sale” situation that the lienholder is not obligated to accept or approve any offer that the seller may accept and that neither the seller nor the broker can compel any lienholder to cooperate with the seller. If a lienholder is not even willing to entertain a short sale, then why attempt to market the property, as any transaction is destined to fail.</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The listing agreement should clearly state the scope of services the broker will provide and any obligations the owner has. The parties may enter into a </w:t>
      </w:r>
      <w:r>
        <w:rPr>
          <w:rFonts w:eastAsia="Times New Roman" w:cs="Times New Roman" w:ascii="Times New Roman" w:hAnsi="Times New Roman"/>
          <w:i/>
          <w:sz w:val="24"/>
        </w:rPr>
        <w:t>limited services agreement</w:t>
      </w:r>
      <w:r>
        <w:rPr>
          <w:rFonts w:eastAsia="Times New Roman" w:cs="Times New Roman" w:ascii="Times New Roman" w:hAnsi="Times New Roman"/>
          <w:sz w:val="24"/>
        </w:rPr>
        <w:t xml:space="preserve"> under which the broker contracts to do little other than to place the property in a multiple listing service, but is not obligated to show the property or counsel the owner as to the merits of various offers or assist the owner in negotiating favorable terms, etc. In this instance, the broker’s primary obligation is to assure that whatever representations s/he makes about the property in the MLS or other advertising media are in fact true, because if they are not, the broker may be held accountable. If there are inaccuracies in the advertised statements and upon investigation the broker indicates that s/he never visited the subject property, but relied instead on information supplied by the owner, the broker may well incur disciplinary action. Remember, </w:t>
      </w:r>
      <w:r>
        <w:rPr>
          <w:rFonts w:eastAsia="Times New Roman" w:cs="Times New Roman" w:ascii="Times New Roman" w:hAnsi="Times New Roman"/>
          <w:i/>
          <w:sz w:val="24"/>
        </w:rPr>
        <w:t>a broker may</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-7-</w:t>
      </w:r>
    </w:p>
    <w:p>
      <w:pPr>
        <w:sectPr>
          <w:type w:val="continuous"/>
          <w:pgSz w:w="12240" w:h="15840"/>
          <w:pgMar w:left="1440" w:right="1440" w:gutter="0" w:header="0" w:top="1270" w:footer="0" w:bottom="169"/>
          <w:formProt w:val="false"/>
          <w:textDirection w:val="lrTb"/>
          <w:docGrid w:type="default" w:linePitch="360" w:charSpace="0"/>
        </w:sectPr>
      </w:pPr>
    </w:p>
    <w:p>
      <w:pPr>
        <w:pStyle w:val="Normal"/>
        <w:spacing w:lineRule="auto" w:line="276"/>
        <w:jc w:val="both"/>
        <w:rPr/>
      </w:pPr>
      <w:bookmarkStart w:id="8" w:name="page8"/>
      <w:bookmarkEnd w:id="8"/>
      <w:r>
        <w:rPr>
          <w:rFonts w:eastAsia="Times New Roman" w:cs="Times New Roman" w:ascii="Times New Roman" w:hAnsi="Times New Roman"/>
          <w:i/>
          <w:sz w:val="24"/>
        </w:rPr>
        <w:t>limit or restrict the services s/he provides, but will still be accountable for the competency of whatever services and the accuracy of information provided</w:t>
      </w:r>
      <w:r>
        <w:rPr>
          <w:rFonts w:eastAsia="Times New Roman" w:cs="Times New Roman" w:ascii="Times New Roman" w:hAnsi="Times New Roman"/>
          <w:sz w:val="24"/>
        </w:rPr>
        <w:t>.</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end="0"/>
        <w:jc w:val="both"/>
        <w:rPr/>
      </w:pPr>
      <w:r>
        <w:rPr>
          <w:rFonts w:eastAsia="Times New Roman" w:cs="Times New Roman" w:ascii="Times New Roman" w:hAnsi="Times New Roman"/>
          <w:sz w:val="24"/>
        </w:rPr>
        <w:t xml:space="preserve">Assuming, however, that the owner hires the broker to be the owner’s </w:t>
      </w:r>
      <w:r>
        <w:rPr>
          <w:rFonts w:eastAsia="Times New Roman" w:cs="Times New Roman" w:ascii="Times New Roman" w:hAnsi="Times New Roman"/>
          <w:i/>
          <w:sz w:val="24"/>
        </w:rPr>
        <w:t>exclusive listing agent</w:t>
      </w:r>
      <w:r>
        <w:rPr>
          <w:rFonts w:eastAsia="Times New Roman" w:cs="Times New Roman" w:ascii="Times New Roman" w:hAnsi="Times New Roman"/>
          <w:sz w:val="24"/>
        </w:rPr>
        <w:t xml:space="preserve"> for a period of time, what services may the broker lawfully provide? Basically, the same</w:t>
      </w:r>
      <w:r>
        <w:rPr>
          <w:rFonts w:eastAsia="Times New Roman" w:cs="Times New Roman" w:ascii="Times New Roman" w:hAnsi="Times New Roman"/>
          <w:i/>
          <w:sz w:val="24"/>
        </w:rPr>
        <w:t xml:space="preserve"> </w:t>
      </w:r>
      <w:r>
        <w:rPr>
          <w:rFonts w:eastAsia="Times New Roman" w:cs="Times New Roman" w:ascii="Times New Roman" w:hAnsi="Times New Roman"/>
          <w:sz w:val="24"/>
        </w:rPr>
        <w:t>real estate brokerage services the broker may provide to any seller, namely:</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660" w:leader="none"/>
        </w:tabs>
        <w:spacing w:lineRule="atLeast" w:line="0"/>
        <w:ind w:hanging="220" w:start="1660" w:end="0"/>
        <w:rPr>
          <w:rFonts w:ascii="Arial" w:hAnsi="Arial" w:eastAsia="Arial" w:cs="Arial"/>
          <w:sz w:val="24"/>
        </w:rPr>
      </w:pPr>
      <w:r>
        <w:rPr>
          <w:rFonts w:eastAsia="Times New Roman" w:cs="Times New Roman" w:ascii="Times New Roman" w:hAnsi="Times New Roman"/>
          <w:sz w:val="24"/>
        </w:rPr>
        <w:t>advertise, market and promote the property;</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1660" w:leader="none"/>
        </w:tabs>
        <w:spacing w:lineRule="atLeast" w:line="0"/>
        <w:ind w:hanging="220" w:start="1660" w:end="0"/>
        <w:rPr>
          <w:rFonts w:ascii="Arial" w:hAnsi="Arial" w:eastAsia="Arial" w:cs="Arial"/>
          <w:sz w:val="24"/>
        </w:rPr>
      </w:pPr>
      <w:r>
        <w:rPr>
          <w:rFonts w:eastAsia="Times New Roman" w:cs="Times New Roman" w:ascii="Times New Roman" w:hAnsi="Times New Roman"/>
          <w:sz w:val="24"/>
        </w:rPr>
        <w:t>provide information about and access to the property to others;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1660" w:leader="none"/>
        </w:tabs>
        <w:spacing w:lineRule="atLeast" w:line="0"/>
        <w:ind w:hanging="220" w:start="1660" w:end="0"/>
        <w:rPr>
          <w:rFonts w:ascii="Arial" w:hAnsi="Arial" w:eastAsia="Arial" w:cs="Arial"/>
          <w:sz w:val="24"/>
        </w:rPr>
      </w:pPr>
      <w:r>
        <w:rPr>
          <w:rFonts w:eastAsia="Times New Roman" w:cs="Times New Roman" w:ascii="Times New Roman" w:hAnsi="Times New Roman"/>
          <w:sz w:val="24"/>
        </w:rPr>
        <w:t>present all offers received to and review them with the owner;</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1660" w:leader="none"/>
        </w:tabs>
        <w:spacing w:lineRule="atLeast" w:line="0"/>
        <w:ind w:hanging="220" w:start="1660" w:end="0"/>
        <w:rPr>
          <w:rFonts w:ascii="Arial" w:hAnsi="Arial" w:eastAsia="Arial" w:cs="Arial"/>
          <w:sz w:val="24"/>
        </w:rPr>
      </w:pPr>
      <w:r>
        <w:rPr>
          <w:rFonts w:eastAsia="Times New Roman" w:cs="Times New Roman" w:ascii="Times New Roman" w:hAnsi="Times New Roman"/>
          <w:sz w:val="24"/>
        </w:rPr>
        <w:t>answer any questions within the broker’s knowledge;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1660" w:leader="none"/>
        </w:tabs>
        <w:spacing w:lineRule="atLeast" w:line="0"/>
        <w:ind w:hanging="220" w:start="1660" w:end="0"/>
        <w:rPr>
          <w:rFonts w:ascii="Arial" w:hAnsi="Arial" w:eastAsia="Arial" w:cs="Arial"/>
          <w:sz w:val="24"/>
        </w:rPr>
      </w:pPr>
      <w:r>
        <w:rPr>
          <w:rFonts w:eastAsia="Times New Roman" w:cs="Times New Roman" w:ascii="Times New Roman" w:hAnsi="Times New Roman"/>
          <w:sz w:val="24"/>
        </w:rPr>
        <w:t>advise the owner concerning his/her options and counteroffers; and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1742" w:leader="none"/>
        </w:tabs>
        <w:spacing w:lineRule="auto" w:line="268"/>
        <w:ind w:start="1440" w:end="0"/>
        <w:rPr>
          <w:rFonts w:ascii="Arial" w:hAnsi="Arial" w:eastAsia="Arial" w:cs="Arial"/>
          <w:sz w:val="24"/>
        </w:rPr>
      </w:pPr>
      <w:r>
        <w:rPr>
          <w:rFonts w:eastAsia="Times New Roman" w:cs="Times New Roman" w:ascii="Times New Roman" w:hAnsi="Times New Roman"/>
          <w:sz w:val="24"/>
        </w:rPr>
        <w:t>suggest the owner seek legal advice or tax advice from an attorney or accountant, when appropriate.</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Sellers most likely will need legal or tax advice from an appropriately licensed individual because several consequences generally arise in most short sale transactions. The primary consequences include the possibility of a deficiency judgment, the tax implications if a lienholder “forgives” the deficiency, and the impact to the debtor/owner’s credit. What, if any, services a real estate broker may offer in this area will be discussed shortly.</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8"/>
        </w:rPr>
      </w:pPr>
      <w:r>
        <w:rPr>
          <w:rFonts w:eastAsia="Times New Roman" w:cs="Times New Roman" w:ascii="Times New Roman" w:hAnsi="Times New Roman"/>
          <w:b/>
          <w:sz w:val="28"/>
        </w:rPr>
        <w:t>Contract Formation</w:t>
      </w:r>
    </w:p>
    <w:p>
      <w:pPr>
        <w:pStyle w:val="Normal"/>
        <w:spacing w:lineRule="exact" w:line="3"/>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ind w:firstLine="720" w:end="0"/>
        <w:jc w:val="both"/>
        <w:rPr/>
      </w:pPr>
      <w:r>
        <w:rPr>
          <w:rFonts w:eastAsia="Times New Roman" w:cs="Times New Roman" w:ascii="Times New Roman" w:hAnsi="Times New Roman"/>
          <w:sz w:val="24"/>
        </w:rPr>
        <w:t xml:space="preserve">When is a “contract” formed in a short sale transaction? Contrary to popular misconception, </w:t>
      </w:r>
      <w:r>
        <w:rPr>
          <w:rFonts w:eastAsia="Times New Roman" w:cs="Times New Roman" w:ascii="Times New Roman" w:hAnsi="Times New Roman"/>
          <w:b/>
          <w:i/>
          <w:sz w:val="24"/>
        </w:rPr>
        <w:t>a binding legal contract is formed once an Offer to Purchase has been signed by all property owners (and any spouses) and all buyers and the fact of such written acceptance has been communicated by the last offeree to the last offeror</w:t>
      </w:r>
      <w:r>
        <w:rPr>
          <w:rFonts w:eastAsia="Times New Roman" w:cs="Times New Roman" w:ascii="Times New Roman" w:hAnsi="Times New Roman"/>
          <w:sz w:val="24"/>
        </w:rPr>
        <w:t>. The fact that the</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mortgagees or lienholders have not yet agreed to accept the purchase amount offered does not in any way alter the fact that a binding contract has been created. In other words, if the buyer has made the most recent offer under consideration, and all sellers, including record owners and their spouses, have signed the Offer without making any changes, then upon the listing agent telephoning the buyer’s agent and informing him/her that all necessary individuals have actually signed the Offer, the Offer becomes a binding contract, even though the buyer agent may not yet have a copy of the signed agreement. A listing agent may also communicate acceptance by mailing, faxing or emailing the fully executed agreement to the buyer agent, thereby creating a contract. [Recall that acceptance is deemed “communicated” upon deposit of an envelope properly addressed to the last offeror or his/her agent into the U.S. Mail or upon receipt by the addressee’s server or equipment of an email or facsimile.] See the definition of “Effective Date” in Paragraph 1(g) of the standard Offer to Purchase and Contract.</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6"/>
        </w:rPr>
      </w:pPr>
      <w:r>
        <w:rPr>
          <w:rFonts w:eastAsia="Times New Roman" w:cs="Times New Roman" w:ascii="Times New Roman" w:hAnsi="Times New Roman"/>
          <w:b/>
          <w:sz w:val="26"/>
        </w:rPr>
        <w:t>Deposit of Earnest Money</w:t>
      </w:r>
    </w:p>
    <w:p>
      <w:pPr>
        <w:pStyle w:val="Normal"/>
        <w:spacing w:lineRule="auto" w:line="244"/>
        <w:ind w:firstLine="720" w:end="0"/>
        <w:jc w:val="both"/>
        <w:rPr/>
      </w:pPr>
      <w:r>
        <w:rPr>
          <w:rFonts w:eastAsia="Times New Roman" w:cs="Times New Roman" w:ascii="Times New Roman" w:hAnsi="Times New Roman"/>
          <w:sz w:val="24"/>
        </w:rPr>
        <w:t xml:space="preserve">When does the three banking day clock for the deposit of the earnest money check (or other negotiable instrument) into the trust or escrow account of a licensee acting as the escrow agent begin to tick? Again, contrary to common misconception, </w:t>
      </w:r>
      <w:r>
        <w:rPr>
          <w:rFonts w:eastAsia="Times New Roman" w:cs="Times New Roman" w:ascii="Times New Roman" w:hAnsi="Times New Roman"/>
          <w:i/>
          <w:sz w:val="24"/>
        </w:rPr>
        <w:t xml:space="preserve">a licensee’s three banking day clock for the deposit of an earnest money check begins to tick </w:t>
      </w:r>
      <w:r>
        <w:rPr>
          <w:rFonts w:eastAsia="Times New Roman" w:cs="Times New Roman" w:ascii="Times New Roman" w:hAnsi="Times New Roman"/>
          <w:b/>
          <w:i/>
          <w:sz w:val="24"/>
        </w:rPr>
        <w:t>upon formation of the contract</w:t>
      </w:r>
      <w:r>
        <w:rPr>
          <w:rFonts w:eastAsia="Times New Roman" w:cs="Times New Roman" w:ascii="Times New Roman" w:hAnsi="Times New Roman"/>
          <w:i/>
          <w:sz w:val="24"/>
        </w:rPr>
        <w:t xml:space="preserve">, i.e., communication of acceptance by the last offeree to the last offeror, </w:t>
      </w:r>
      <w:r>
        <w:rPr>
          <w:rFonts w:eastAsia="Times New Roman" w:cs="Times New Roman" w:ascii="Times New Roman" w:hAnsi="Times New Roman"/>
          <w:b/>
          <w:i/>
          <w:sz w:val="24"/>
        </w:rPr>
        <w:t>and</w:t>
      </w:r>
      <w:r>
        <w:rPr>
          <w:rFonts w:eastAsia="Times New Roman" w:cs="Times New Roman" w:ascii="Times New Roman" w:hAnsi="Times New Roman"/>
          <w:i/>
          <w:sz w:val="24"/>
        </w:rPr>
        <w:t xml:space="preserve"> the licensee’s receipt of the earnest money deposit.</w:t>
      </w:r>
      <w:r>
        <w:rPr>
          <w:rFonts w:eastAsia="Times New Roman" w:cs="Times New Roman" w:ascii="Times New Roman" w:hAnsi="Times New Roman"/>
          <w:sz w:val="24"/>
        </w:rPr>
        <w:t xml:space="preserve"> A licensee-escrow agent who waits for lienholder</w:t>
      </w:r>
      <w:r>
        <w:rPr>
          <w:rFonts w:eastAsia="Times New Roman" w:cs="Times New Roman" w:ascii="Times New Roman" w:hAnsi="Times New Roman"/>
          <w:i/>
          <w:sz w:val="24"/>
        </w:rPr>
        <w:t xml:space="preserve"> </w:t>
      </w:r>
      <w:r>
        <w:rPr>
          <w:rFonts w:eastAsia="Times New Roman" w:cs="Times New Roman" w:ascii="Times New Roman" w:hAnsi="Times New Roman"/>
          <w:sz w:val="24"/>
        </w:rPr>
        <w:t>acceptance prior to depositing the earnest money check violates the express provisions of Rule</w:t>
      </w:r>
    </w:p>
    <w:p>
      <w:pPr>
        <w:sectPr>
          <w:type w:val="nextPage"/>
          <w:pgSz w:w="12240" w:h="15840"/>
          <w:pgMar w:left="1440" w:right="1440" w:gutter="0" w:header="0" w:top="1266"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-8-</w:t>
      </w:r>
    </w:p>
    <w:p>
      <w:pPr>
        <w:sectPr>
          <w:type w:val="continuous"/>
          <w:pgSz w:w="12240" w:h="15840"/>
          <w:pgMar w:left="1440" w:right="1440" w:gutter="0" w:header="0" w:top="1266" w:footer="0" w:bottom="169"/>
          <w:formProt w:val="false"/>
          <w:textDirection w:val="lrTb"/>
          <w:docGrid w:type="default" w:linePitch="360" w:charSpace="0"/>
        </w:sectPr>
      </w:pPr>
    </w:p>
    <w:p>
      <w:pPr>
        <w:pStyle w:val="Normal"/>
        <w:spacing w:lineRule="auto" w:line="276"/>
        <w:jc w:val="both"/>
        <w:rPr/>
      </w:pPr>
      <w:bookmarkStart w:id="9" w:name="page9"/>
      <w:bookmarkEnd w:id="9"/>
      <w:r>
        <w:rPr>
          <w:rFonts w:eastAsia="Times New Roman" w:cs="Times New Roman" w:ascii="Times New Roman" w:hAnsi="Times New Roman"/>
          <w:sz w:val="24"/>
        </w:rPr>
        <w:t xml:space="preserve">A.0107(a), which requires the deposit into a trust or escrow account </w:t>
      </w:r>
      <w:r>
        <w:rPr>
          <w:rFonts w:eastAsia="Times New Roman" w:cs="Times New Roman" w:ascii="Times New Roman" w:hAnsi="Times New Roman"/>
          <w:i/>
          <w:sz w:val="24"/>
        </w:rPr>
        <w:t>no later than</w:t>
      </w:r>
      <w:r>
        <w:rPr>
          <w:rFonts w:eastAsia="Times New Roman" w:cs="Times New Roman" w:ascii="Times New Roman" w:hAnsi="Times New Roman"/>
          <w:sz w:val="24"/>
        </w:rPr>
        <w:t xml:space="preserve"> three banking days from the broker’s receipt of the check or negotiable instrument once a contract is formed.</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Understand as well that while the rule </w:t>
      </w:r>
      <w:r>
        <w:rPr>
          <w:rFonts w:eastAsia="Times New Roman" w:cs="Times New Roman" w:ascii="Times New Roman" w:hAnsi="Times New Roman"/>
          <w:i/>
          <w:sz w:val="24"/>
        </w:rPr>
        <w:t>allows</w:t>
      </w:r>
      <w:r>
        <w:rPr>
          <w:rFonts w:eastAsia="Times New Roman" w:cs="Times New Roman" w:ascii="Times New Roman" w:hAnsi="Times New Roman"/>
          <w:sz w:val="24"/>
        </w:rPr>
        <w:t xml:space="preserve"> a broker-escrow agent the option of holding and safeguarding the negotiable instrument pending acceptance of the offer, the broker/payee is </w:t>
      </w:r>
      <w:r>
        <w:rPr>
          <w:rFonts w:eastAsia="Times New Roman" w:cs="Times New Roman" w:ascii="Times New Roman" w:hAnsi="Times New Roman"/>
          <w:i/>
          <w:sz w:val="24"/>
        </w:rPr>
        <w:t>not required</w:t>
      </w:r>
      <w:r>
        <w:rPr>
          <w:rFonts w:eastAsia="Times New Roman" w:cs="Times New Roman" w:ascii="Times New Roman" w:hAnsi="Times New Roman"/>
          <w:sz w:val="24"/>
        </w:rPr>
        <w:t xml:space="preserve"> to wait until contract formation prior to depositing an earnest money check. The</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reason for this exception is so if no contract is ever formed, the licensee can just return the negotiable instrument to the payor, who can destroy it. A listing agent who deposits an earnest money check upon receipt of the offer, but who is notified two days later by the buyer agent that the buyer is withdrawing the offer and would like his/her earnest money deposit back please, technically will not be able to refund the earnest money deposit until s/he is sure it has cleared his/her trust account, which may be anywhere from 5 to 14 days. An earnest money deposit paid in </w:t>
      </w:r>
      <w:r>
        <w:rPr>
          <w:rFonts w:eastAsia="Times New Roman" w:cs="Times New Roman" w:ascii="Times New Roman" w:hAnsi="Times New Roman"/>
          <w:b/>
          <w:i/>
          <w:sz w:val="24"/>
        </w:rPr>
        <w:t>cash must be deposited into a licensee’s trust account within three days from</w:t>
      </w:r>
      <w:r>
        <w:rPr>
          <w:rFonts w:eastAsia="Times New Roman" w:cs="Times New Roman" w:ascii="Times New Roman" w:hAnsi="Times New Roman"/>
          <w:b/>
          <w:sz w:val="25"/>
        </w:rPr>
        <w:t xml:space="preserve"> receipt</w:t>
      </w:r>
      <w:r>
        <w:rPr>
          <w:rFonts w:eastAsia="Times New Roman" w:cs="Times New Roman" w:ascii="Times New Roman" w:hAnsi="Times New Roman"/>
          <w:sz w:val="24"/>
        </w:rPr>
        <w:t>, regardless of the status of the offer, as it is capable of immediate refund whenever necessary.</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b/>
          <w:sz w:val="24"/>
        </w:rPr>
        <w:t>But the parties (seller and buyer) aren’t really under contract until the lienholder approves the deal, right? WRONG.</w:t>
      </w:r>
      <w:r>
        <w:rPr>
          <w:rFonts w:eastAsia="Times New Roman" w:cs="Times New Roman" w:ascii="Times New Roman" w:hAnsi="Times New Roman"/>
          <w:sz w:val="24"/>
        </w:rPr>
        <w:t xml:space="preserve"> As discussed, the parties are under contract and bound by its terms the moment everyone has signed and acceptance has been communicated to the last offeror. However, </w:t>
      </w:r>
      <w:r>
        <w:rPr>
          <w:rFonts w:eastAsia="Times New Roman" w:cs="Times New Roman" w:ascii="Times New Roman" w:hAnsi="Times New Roman"/>
          <w:i/>
          <w:sz w:val="24"/>
        </w:rPr>
        <w:t>absent an addendum or qualifying/conditional language</w:t>
      </w:r>
      <w:r>
        <w:rPr>
          <w:rFonts w:eastAsia="Times New Roman" w:cs="Times New Roman" w:ascii="Times New Roman" w:hAnsi="Times New Roman"/>
          <w:sz w:val="24"/>
        </w:rPr>
        <w:t xml:space="preserve">, the seller has just entered into an agreement that s/he cannot perform and thus is doomed to breach, as s/he cannot convey marketable and insurable title as promised in the Seller Representations. </w:t>
      </w:r>
      <w:r>
        <w:rPr>
          <w:rFonts w:eastAsia="Times New Roman" w:cs="Times New Roman" w:ascii="Times New Roman" w:hAnsi="Times New Roman"/>
          <w:i/>
          <w:sz w:val="24"/>
        </w:rPr>
        <w:t>It is critical for both parties, but particularly the seller, that the Short Sale Addendum (Std Form 2A14-T), or similar qualifying language, be attached to the Offer to Purchase in every short sale transaction</w:t>
      </w:r>
      <w:r>
        <w:rPr>
          <w:rFonts w:eastAsia="Times New Roman" w:cs="Times New Roman" w:ascii="Times New Roman" w:hAnsi="Times New Roman"/>
          <w:sz w:val="24"/>
        </w:rPr>
        <w: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The addendum basically confirms each party’s recognition that their contract is conditioned on the lienholder’s assent, allows the buyer to unilaterally terminate the contract any time prior to lienholder approval and receive a refund of the earnest money deposit, and absolves the seller from any liability to the buyer for the seller’s inability to convey marketable and insurable title in the event the lienholder(s) won’t approve the contract terms. Absent such provisions conditioning the seller’s performance on the lienholders’ approval, the seller ultimately would be in breach of the promise to convey marketable and insurable title, thereby entitling the buyer not only to the return of the earnest money deposit, but to a refund of any due diligence fee paid to the seller </w:t>
      </w:r>
      <w:r>
        <w:rPr>
          <w:rFonts w:eastAsia="Times New Roman" w:cs="Times New Roman" w:ascii="Times New Roman" w:hAnsi="Times New Roman"/>
          <w:i/>
          <w:sz w:val="24"/>
        </w:rPr>
        <w:t>and</w:t>
      </w:r>
      <w:r>
        <w:rPr>
          <w:rFonts w:eastAsia="Times New Roman" w:cs="Times New Roman" w:ascii="Times New Roman" w:hAnsi="Times New Roman"/>
          <w:sz w:val="24"/>
        </w:rPr>
        <w:t xml:space="preserve"> reimbursement from the seller for all reasonable costs expended by the buyer during the due diligence period.</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720"/>
        <w:jc w:val="both"/>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the mere fact that the contract entitles the buyer to these “damages” does not mean that they automatically will be paid by the seller. While the buyer should be able to recover the earnest money from the escrow agent, if the buyer wishes to recover the other monies to which s/he is entitled under the contract, the buyer most likely must sue the seller, and it is questionable whether any judgment would be collectible, given that the seller already is in a short sale situation and, presumably, has more debts than assets.</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sz w:val="24"/>
        </w:rPr>
        <w:t xml:space="preserve">Brokers representing sellers in residential short sale transactions where the standard forms are </w:t>
      </w:r>
      <w:r>
        <w:rPr>
          <w:rFonts w:eastAsia="Times New Roman" w:cs="Times New Roman" w:ascii="Times New Roman" w:hAnsi="Times New Roman"/>
          <w:i/>
          <w:sz w:val="24"/>
        </w:rPr>
        <w:t>not</w:t>
      </w:r>
      <w:r>
        <w:rPr>
          <w:rFonts w:eastAsia="Times New Roman" w:cs="Times New Roman" w:ascii="Times New Roman" w:hAnsi="Times New Roman"/>
          <w:sz w:val="24"/>
        </w:rPr>
        <w:t xml:space="preserve"> used, should advise their seller-clients to have an attorney review the proposed contract </w:t>
      </w:r>
      <w:r>
        <w:rPr>
          <w:rFonts w:eastAsia="Times New Roman" w:cs="Times New Roman" w:ascii="Times New Roman" w:hAnsi="Times New Roman"/>
          <w:i/>
          <w:sz w:val="24"/>
        </w:rPr>
        <w:t>before</w:t>
      </w:r>
      <w:r>
        <w:rPr>
          <w:rFonts w:eastAsia="Times New Roman" w:cs="Times New Roman" w:ascii="Times New Roman" w:hAnsi="Times New Roman"/>
          <w:sz w:val="24"/>
        </w:rPr>
        <w:t xml:space="preserve"> the seller signs to be sure that the seller can be released without liability if the lienholder does not accept the contract terms. Obviously, brokers should not attempt to craft</w:t>
      </w:r>
    </w:p>
    <w:p>
      <w:pPr>
        <w:sectPr>
          <w:type w:val="nextPage"/>
          <w:pgSz w:w="12240" w:h="15840"/>
          <w:pgMar w:left="1440" w:right="1440" w:gutter="0" w:header="0" w:top="1266"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-9-</w:t>
      </w:r>
    </w:p>
    <w:p>
      <w:pPr>
        <w:sectPr>
          <w:type w:val="continuous"/>
          <w:pgSz w:w="12240" w:h="15840"/>
          <w:pgMar w:left="1440" w:right="1440" w:gutter="0" w:header="0" w:top="1266" w:footer="0" w:bottom="169"/>
          <w:formProt w:val="false"/>
          <w:textDirection w:val="lrTb"/>
          <w:docGrid w:type="default" w:linePitch="360" w:charSpace="0"/>
        </w:sectPr>
      </w:pPr>
    </w:p>
    <w:p>
      <w:pPr>
        <w:pStyle w:val="Normal"/>
        <w:spacing w:lineRule="auto" w:line="247"/>
        <w:jc w:val="both"/>
        <w:rPr/>
      </w:pPr>
      <w:bookmarkStart w:id="10" w:name="page10"/>
      <w:bookmarkEnd w:id="10"/>
      <w:r>
        <w:rPr>
          <w:rFonts w:eastAsia="Times New Roman" w:cs="Times New Roman" w:ascii="Times New Roman" w:hAnsi="Times New Roman"/>
          <w:sz w:val="24"/>
        </w:rPr>
        <w:t xml:space="preserve">such additional language themselves.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that there is no standard short sale addendum designed for commercial transactions. Thus, brokers representing distressed sellers of commercial property should caution their principals to consult an attorney to draft an appropriate contingency acknowledging the sellers’ inability to convey marketable and insurable title (as promised in the Standard Form 580-T) without all lienholders’ consent.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8"/>
        </w:rPr>
      </w:pPr>
      <w:r>
        <w:rPr>
          <w:rFonts w:eastAsia="Times New Roman" w:cs="Times New Roman" w:ascii="Times New Roman" w:hAnsi="Times New Roman"/>
          <w:b/>
          <w:sz w:val="28"/>
        </w:rPr>
        <w:t>Short Sale Addendum</w:t>
      </w:r>
    </w:p>
    <w:p>
      <w:pPr>
        <w:pStyle w:val="Normal"/>
        <w:spacing w:lineRule="auto" w:line="242"/>
        <w:ind w:firstLine="720" w:end="0"/>
        <w:jc w:val="both"/>
        <w:rPr/>
      </w:pPr>
      <w:r>
        <w:rPr>
          <w:rFonts w:eastAsia="Times New Roman" w:cs="Times New Roman" w:ascii="Times New Roman" w:hAnsi="Times New Roman"/>
          <w:b/>
          <w:sz w:val="24"/>
        </w:rPr>
        <w:t>Standard Form 2A14-T</w:t>
      </w:r>
      <w:r>
        <w:rPr>
          <w:rFonts w:eastAsia="Times New Roman" w:cs="Times New Roman" w:ascii="Times New Roman" w:hAnsi="Times New Roman"/>
          <w:sz w:val="24"/>
        </w:rPr>
        <w:t xml:space="preserve">, the Short Sale Addendum, was created by the Joint Forms Task Force to address the need for a contingency or condition </w:t>
      </w:r>
      <w:r>
        <w:rPr>
          <w:rFonts w:eastAsia="Times New Roman" w:cs="Times New Roman" w:ascii="Times New Roman" w:hAnsi="Times New Roman"/>
          <w:i/>
          <w:sz w:val="24"/>
        </w:rPr>
        <w:t>in residential transactions</w:t>
      </w:r>
      <w:r>
        <w:rPr>
          <w:rFonts w:eastAsia="Times New Roman" w:cs="Times New Roman" w:ascii="Times New Roman" w:hAnsi="Times New Roman"/>
          <w:sz w:val="24"/>
        </w:rPr>
        <w:t xml:space="preserve"> both qualifying the seller’s performance of his/her contractual obligations on the necessary approval of all lienholders, but also allowing the buyer to unilaterally terminate the contract any time prior to lienholder approval if the buyer becomes tired of waiting for the lienholders’ decision or otherwise chooses to walk. This need was heightened due to the restrictions on a real estate broker attempting to draft or craft language for a legal document for others, which constitutes the unauthorized practice of law. The addendum is reprinted at the end of this Section. (As previously mentioned, there is no corollary standard form for use in commercial transactions.)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primary provisions</w:t>
      </w:r>
      <w:r>
        <w:rPr>
          <w:rFonts w:eastAsia="Times New Roman" w:cs="Times New Roman" w:ascii="Times New Roman" w:hAnsi="Times New Roman"/>
          <w:sz w:val="24"/>
        </w:rPr>
        <w:t xml:space="preserve"> of the Short Sale Addendum include:</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953" w:leader="none"/>
        </w:tabs>
        <w:spacing w:lineRule="auto" w:line="268"/>
        <w:ind w:start="720" w:end="0"/>
        <w:rPr>
          <w:rFonts w:ascii="Arial" w:hAnsi="Arial" w:eastAsia="Arial" w:cs="Arial"/>
          <w:sz w:val="24"/>
        </w:rPr>
      </w:pPr>
      <w:r>
        <w:rPr>
          <w:rFonts w:eastAsia="Times New Roman" w:cs="Times New Roman" w:ascii="Times New Roman" w:hAnsi="Times New Roman"/>
          <w:sz w:val="24"/>
        </w:rPr>
        <w:t>an acknowledgment by both parties that the transaction is a short sale and a definition of the term;</w:t>
      </w:r>
    </w:p>
    <w:p>
      <w:pPr>
        <w:pStyle w:val="Normal"/>
        <w:spacing w:lineRule="exact" w:line="205"/>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955" w:leader="none"/>
        </w:tabs>
        <w:spacing w:lineRule="auto" w:line="249"/>
        <w:ind w:start="720" w:end="0"/>
        <w:jc w:val="both"/>
        <w:rPr>
          <w:rFonts w:ascii="Arial" w:hAnsi="Arial" w:eastAsia="Arial" w:cs="Arial"/>
          <w:sz w:val="24"/>
        </w:rPr>
      </w:pPr>
      <w:r>
        <w:rPr>
          <w:rFonts w:eastAsia="Times New Roman" w:cs="Times New Roman" w:ascii="Times New Roman" w:hAnsi="Times New Roman"/>
          <w:sz w:val="24"/>
        </w:rPr>
        <w:t>one that conditions seller’s performance upon all lienholders’ approval of the contract terms, requires the seller to use his/her best efforts to obtain lienholder approval, warns that approval may take weeks or months, and allows either party to terminate the contract if the lienholder rejects the proffered terms;</w:t>
      </w:r>
    </w:p>
    <w:p>
      <w:pPr>
        <w:pStyle w:val="Normal"/>
        <w:spacing w:lineRule="exact" w:line="231"/>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941" w:leader="none"/>
        </w:tabs>
        <w:spacing w:lineRule="auto" w:line="254"/>
        <w:ind w:start="720" w:end="0"/>
        <w:jc w:val="both"/>
        <w:rPr>
          <w:rFonts w:ascii="Arial" w:hAnsi="Arial" w:eastAsia="Arial" w:cs="Arial"/>
          <w:sz w:val="24"/>
        </w:rPr>
      </w:pPr>
      <w:r>
        <w:rPr>
          <w:rFonts w:eastAsia="Times New Roman" w:cs="Times New Roman" w:ascii="Times New Roman" w:hAnsi="Times New Roman"/>
          <w:sz w:val="24"/>
        </w:rPr>
        <w:t>one that allows buyer the right to unilaterally terminate the contract by written notice to seller and receive a refund of the earnest money deposit any time prior to seller notifying buyer of lienholder approval;</w:t>
      </w:r>
    </w:p>
    <w:p>
      <w:pPr>
        <w:pStyle w:val="Normal"/>
        <w:spacing w:lineRule="exact" w:line="225"/>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953" w:leader="none"/>
        </w:tabs>
        <w:spacing w:lineRule="auto" w:line="268"/>
        <w:ind w:start="720" w:end="0"/>
        <w:rPr>
          <w:rFonts w:ascii="Arial" w:hAnsi="Arial" w:eastAsia="Arial" w:cs="Arial"/>
          <w:sz w:val="24"/>
        </w:rPr>
      </w:pPr>
      <w:r>
        <w:rPr>
          <w:rFonts w:eastAsia="Times New Roman" w:cs="Times New Roman" w:ascii="Times New Roman" w:hAnsi="Times New Roman"/>
          <w:sz w:val="24"/>
        </w:rPr>
        <w:t>a recitation that no lienholder is obligated to accept the contract terms and that neither party nor their agents have any control over the lienholder(s);</w:t>
      </w:r>
    </w:p>
    <w:p>
      <w:pPr>
        <w:pStyle w:val="Normal"/>
        <w:spacing w:lineRule="exact" w:line="205"/>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950" w:leader="none"/>
        </w:tabs>
        <w:spacing w:lineRule="auto" w:line="249"/>
        <w:ind w:start="720" w:end="0"/>
        <w:jc w:val="both"/>
        <w:rPr>
          <w:rFonts w:ascii="Arial" w:hAnsi="Arial" w:eastAsia="Arial" w:cs="Arial"/>
          <w:sz w:val="24"/>
        </w:rPr>
      </w:pPr>
      <w:r>
        <w:rPr>
          <w:rFonts w:eastAsia="Times New Roman" w:cs="Times New Roman" w:ascii="Times New Roman" w:hAnsi="Times New Roman"/>
          <w:sz w:val="24"/>
        </w:rPr>
        <w:t>an acknowledgment that the seller may receive other offers while the contract is being considered by the lienholder and that such offers “... must be presented to the Seller and to Lienholders pursuant to North Carolina law ...,” although the seller is not at liberty to accept any of these subsequent offers, except perhaps one in a back-up capacity;</w:t>
      </w:r>
    </w:p>
    <w:p>
      <w:pPr>
        <w:pStyle w:val="Normal"/>
        <w:spacing w:lineRule="exact" w:line="231"/>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984" w:leader="none"/>
        </w:tabs>
        <w:spacing w:lineRule="auto" w:line="244"/>
        <w:ind w:start="720" w:end="0"/>
        <w:jc w:val="both"/>
        <w:rPr>
          <w:rFonts w:ascii="Arial" w:hAnsi="Arial" w:eastAsia="Arial" w:cs="Arial"/>
          <w:sz w:val="24"/>
        </w:rPr>
      </w:pPr>
      <w:r>
        <w:rPr>
          <w:rFonts w:eastAsia="Times New Roman" w:cs="Times New Roman" w:ascii="Times New Roman" w:hAnsi="Times New Roman"/>
          <w:sz w:val="24"/>
        </w:rPr>
        <w:t>one that requires the seller to notify the buyer in the event a lienholder initiates a foreclosure action against the property while the parties’ contract is still under review and provides that if the foreclosure action is completed prior to closing on the parties’ contract, the contract becomes void and the earnest money deposit is refunded to the buyer;</w:t>
      </w:r>
    </w:p>
    <w:p>
      <w:pPr>
        <w:pStyle w:val="Normal"/>
        <w:spacing w:lineRule="exact" w:line="237"/>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1001" w:leader="none"/>
        </w:tabs>
        <w:spacing w:lineRule="auto" w:line="252"/>
        <w:ind w:start="720" w:end="0"/>
        <w:jc w:val="both"/>
        <w:rPr>
          <w:rFonts w:ascii="Arial" w:hAnsi="Arial" w:eastAsia="Arial" w:cs="Arial"/>
          <w:sz w:val="24"/>
        </w:rPr>
      </w:pPr>
      <w:r>
        <w:rPr>
          <w:rFonts w:eastAsia="Times New Roman" w:cs="Times New Roman" w:ascii="Times New Roman" w:hAnsi="Times New Roman"/>
          <w:sz w:val="24"/>
        </w:rPr>
        <w:t>one that counsels the seller “... to seek advice from an attorney, certified public accountant or other professional regarding the credit, legal and tax consequences of a Short Sale.”</w:t>
      </w:r>
    </w:p>
    <w:p>
      <w:pPr>
        <w:sectPr>
          <w:type w:val="nextPage"/>
          <w:pgSz w:w="12240" w:h="15840"/>
          <w:pgMar w:left="1440" w:right="1440" w:gutter="0" w:header="0" w:top="1265"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-10-</w:t>
      </w:r>
    </w:p>
    <w:p>
      <w:pPr>
        <w:sectPr>
          <w:type w:val="continuous"/>
          <w:pgSz w:w="12240" w:h="15840"/>
          <w:pgMar w:left="1440" w:right="1440" w:gutter="0" w:header="0" w:top="1265" w:footer="0" w:bottom="169"/>
          <w:formProt w:val="false"/>
          <w:textDirection w:val="lrTb"/>
          <w:docGrid w:type="default" w:linePitch="360" w:charSpace="0"/>
        </w:sectPr>
      </w:pPr>
    </w:p>
    <w:p>
      <w:pPr>
        <w:pStyle w:val="Normal"/>
        <w:spacing w:lineRule="exact" w:line="106"/>
        <w:rPr>
          <w:rFonts w:ascii="Times New Roman" w:hAnsi="Times New Roman" w:eastAsia="Times New Roman" w:cs="Times New Roman"/>
          <w:b/>
          <w:sz w:val="26"/>
        </w:rPr>
      </w:pPr>
      <w:r>
        <w:rPr>
          <w:rFonts w:eastAsia="Times New Roman" w:cs="Times New Roman" w:ascii="Times New Roman" w:hAnsi="Times New Roman"/>
          <w:b/>
          <w:sz w:val="26"/>
        </w:rPr>
      </w:r>
      <w:bookmarkStart w:id="11" w:name="page11"/>
      <w:bookmarkStart w:id="12" w:name="page11"/>
      <w:bookmarkEnd w:id="12"/>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Two of the more important points above are that:</w:t>
      </w:r>
    </w:p>
    <w:p>
      <w:pPr>
        <w:pStyle w:val="Normal"/>
        <w:numPr>
          <w:ilvl w:val="0"/>
          <w:numId w:val="5"/>
        </w:numPr>
        <w:tabs>
          <w:tab w:val="clear" w:pos="720"/>
          <w:tab w:val="left" w:pos="994" w:leader="none"/>
        </w:tabs>
        <w:spacing w:lineRule="auto" w:line="271"/>
        <w:ind w:start="720" w:end="720"/>
        <w:rPr>
          <w:rFonts w:ascii="Times New Roman" w:hAnsi="Times New Roman" w:eastAsia="Times New Roman" w:cs="Times New Roman"/>
          <w:sz w:val="24"/>
        </w:rPr>
      </w:pPr>
      <w:r>
        <w:rPr>
          <w:rFonts w:eastAsia="Times New Roman" w:cs="Times New Roman" w:ascii="Times New Roman" w:hAnsi="Times New Roman"/>
          <w:sz w:val="24"/>
        </w:rPr>
        <w:t xml:space="preserve">the buyer may terminate the contract for any or no reason prior to notification of lienholder approval, </w:t>
      </w:r>
      <w:r>
        <w:rPr>
          <w:rFonts w:eastAsia="Times New Roman" w:cs="Times New Roman" w:ascii="Times New Roman" w:hAnsi="Times New Roman"/>
          <w:i/>
          <w:sz w:val="24"/>
        </w:rPr>
        <w:t>even if the stated due diligence period has expired</w:t>
      </w:r>
      <w:r>
        <w:rPr>
          <w:rFonts w:eastAsia="Times New Roman" w:cs="Times New Roman" w:ascii="Times New Roman" w:hAnsi="Times New Roman"/>
          <w:sz w:val="24"/>
        </w:rPr>
        <w:t>; and</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010" w:leader="none"/>
        </w:tabs>
        <w:spacing w:lineRule="auto" w:line="247"/>
        <w:ind w:start="720" w:end="720"/>
        <w:jc w:val="both"/>
        <w:rPr>
          <w:rFonts w:ascii="Times New Roman" w:hAnsi="Times New Roman" w:eastAsia="Times New Roman" w:cs="Times New Roman"/>
          <w:sz w:val="24"/>
        </w:rPr>
      </w:pPr>
      <w:r>
        <w:rPr>
          <w:rFonts w:eastAsia="Times New Roman" w:cs="Times New Roman" w:ascii="Times New Roman" w:hAnsi="Times New Roman"/>
          <w:sz w:val="24"/>
        </w:rPr>
        <w:t>if the lienholder does not approve the contract terms, the seller will only be obligated under the terms of the contract and addendum to return the earnest money deposit to the buyer, but will not be liable to the buyer for a refund of the due diligence fee or for any of the buyer’s out-of-pocket expenses incurred for inspections, appraisals, etc.</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720"/>
        <w:jc w:val="both"/>
        <w:rPr/>
      </w:pPr>
      <w:r>
        <w:rPr>
          <w:rFonts w:eastAsia="Times New Roman" w:cs="Times New Roman" w:ascii="Times New Roman" w:hAnsi="Times New Roman"/>
          <w:b/>
          <w:i/>
          <w:sz w:val="24"/>
        </w:rPr>
        <w:t>Example:</w:t>
      </w:r>
      <w:r>
        <w:rPr>
          <w:rFonts w:eastAsia="Times New Roman" w:cs="Times New Roman" w:ascii="Times New Roman" w:hAnsi="Times New Roman"/>
          <w:sz w:val="24"/>
        </w:rPr>
        <w:t xml:space="preserve"> A residential property is for sale with a disclosure that it will be a “short sale” situation. Sellers and Buyers successfully negotiate an agreement and sign Standard Form 2-T and notice of Sellers’ acceptance is communicated to Buyers’ agent. The purchase price is less than the amount owed on the first Deed of Trust and there is a second Deed of Trust held by the same lienholder, both of which were used by sellers to purchase the property initially. The parties have attached Std Form 2A14-T to their contract. The contract states that Buyer’s due diligence period will end six weeks from the Effective Date and that Settlement shall occur no later than 12 weeks from the Effective Date. The contract is submitted to the sellers’ lienholder for approval.</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Queries:</w:t>
      </w:r>
    </w:p>
    <w:p>
      <w:pPr>
        <w:pStyle w:val="Normal"/>
        <w:spacing w:lineRule="exact" w:line="272"/>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numPr>
          <w:ilvl w:val="0"/>
          <w:numId w:val="6"/>
        </w:numPr>
        <w:tabs>
          <w:tab w:val="clear" w:pos="720"/>
          <w:tab w:val="left" w:pos="324"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What if eight weeks after the Effective Date, but prior to notification of lienholder approval, buyer finds another property he likes more and wishes to terminate the contract?</w:t>
      </w:r>
    </w:p>
    <w:p>
      <w:pPr>
        <w:pStyle w:val="Normal"/>
        <w:spacing w:lineRule="auto" w:line="249"/>
        <w:ind w:firstLine="720" w:end="0"/>
        <w:jc w:val="both"/>
        <w:rPr/>
      </w:pPr>
      <w:r>
        <w:rPr>
          <w:rFonts w:eastAsia="Times New Roman" w:cs="Times New Roman" w:ascii="Times New Roman" w:hAnsi="Times New Roman"/>
          <w:sz w:val="24"/>
        </w:rPr>
        <w:t>Buyer is perfectly free to do so upon providing written notification to seller or seller’s agent pursuant to Paragraph 3 of the addendum, even though buyer’s due diligence period has expired, and buyer is entitled to a refund of the earnest money deposit, but not any other monies paid or expended.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24"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What if sixteen weeks after contract formation the parties still have not closed due to lack of lienholder approval?</w:t>
      </w:r>
    </w:p>
    <w:p>
      <w:pPr>
        <w:pStyle w:val="Normal"/>
        <w:spacing w:lineRule="auto" w:line="271"/>
        <w:ind w:firstLine="720" w:end="0"/>
        <w:jc w:val="both"/>
        <w:rPr/>
      </w:pPr>
      <w:r>
        <w:rPr>
          <w:rFonts w:eastAsia="Times New Roman" w:cs="Times New Roman" w:ascii="Times New Roman" w:hAnsi="Times New Roman"/>
          <w:sz w:val="24"/>
        </w:rPr>
        <w:t>Buyer may unilaterally terminate the contract by providing written notice of termination to the seller or seller’s agent and will be entitled at least to a refund of the earnest money deposit.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00" w:leader="none"/>
        </w:tabs>
        <w:spacing w:lineRule="atLeast" w:line="0"/>
        <w:ind w:hanging="300" w:start="300" w:end="0"/>
        <w:rPr>
          <w:rFonts w:ascii="Times New Roman" w:hAnsi="Times New Roman" w:eastAsia="Times New Roman" w:cs="Times New Roman"/>
          <w:sz w:val="24"/>
        </w:rPr>
      </w:pPr>
      <w:r>
        <w:rPr>
          <w:rFonts w:eastAsia="Times New Roman" w:cs="Times New Roman" w:ascii="Times New Roman" w:hAnsi="Times New Roman"/>
          <w:sz w:val="24"/>
        </w:rPr>
        <w:t>What if the lienholder rejects the contract terms three weeks after submission?</w:t>
      </w:r>
    </w:p>
    <w:p>
      <w:pPr>
        <w:pStyle w:val="Normal"/>
        <w:spacing w:lineRule="auto" w:line="254"/>
        <w:ind w:firstLine="720" w:end="0"/>
        <w:jc w:val="both"/>
        <w:rPr/>
      </w:pPr>
      <w:r>
        <w:rPr>
          <w:rFonts w:eastAsia="Times New Roman" w:cs="Times New Roman" w:ascii="Times New Roman" w:hAnsi="Times New Roman"/>
          <w:sz w:val="24"/>
        </w:rPr>
        <w:t>Either party may terminate the contract by providing written notice of termination to the other or to the other’s agent and the buyer would be entitled to a refund of the earnest money deposit, but not to any other monies paid or expended.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4. What if the lienholder forecloses while the contract is awaiting lienholder approval?</w:t>
      </w:r>
    </w:p>
    <w:p>
      <w:pPr>
        <w:pStyle w:val="Normal"/>
        <w:spacing w:lineRule="auto" w:line="271"/>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seller must immediately notify the buyer that foreclosure has been initiated, and if the parties cannot close prior to the consummation of the foreclosure proceeding, then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69"/>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-11-</w:t>
      </w:r>
    </w:p>
    <w:p>
      <w:pPr>
        <w:pStyle w:val="Normal"/>
        <w:spacing w:lineRule="auto" w:line="271"/>
        <w:jc w:val="both"/>
        <w:rPr>
          <w:rFonts w:ascii="Times New Roman" w:hAnsi="Times New Roman" w:eastAsia="Times New Roman" w:cs="Times New Roman"/>
          <w:sz w:val="24"/>
        </w:rPr>
      </w:pPr>
      <w:bookmarkStart w:id="13" w:name="page12"/>
      <w:bookmarkEnd w:id="13"/>
      <w:r>
        <w:rPr>
          <w:rFonts w:eastAsia="Times New Roman" w:cs="Times New Roman" w:ascii="Times New Roman" w:hAnsi="Times New Roman"/>
          <w:sz w:val="24"/>
        </w:rPr>
        <w:t>contract becomes void, and the buyer is entitled to a refund of his/her earnest money deposit, but no other monies expended.</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jc w:val="both"/>
        <w:rPr/>
      </w:pPr>
      <w:r>
        <w:rPr>
          <w:rFonts w:eastAsia="Times New Roman" w:cs="Times New Roman" w:ascii="Times New Roman" w:hAnsi="Times New Roman"/>
          <w:b/>
          <w:sz w:val="24"/>
        </w:rPr>
        <w:t xml:space="preserve">What if the parties’ contract was limited solely to Standard Form 2-T </w:t>
      </w:r>
      <w:r>
        <w:rPr>
          <w:rFonts w:eastAsia="Times New Roman" w:cs="Times New Roman" w:ascii="Times New Roman" w:hAnsi="Times New Roman"/>
          <w:b/>
          <w:i/>
          <w:sz w:val="24"/>
          <w:u w:val="single"/>
        </w:rPr>
        <w:t>with no addenda or other qualifying language</w:t>
      </w:r>
      <w:r>
        <w:rPr>
          <w:rFonts w:eastAsia="Times New Roman" w:cs="Times New Roman" w:ascii="Times New Roman" w:hAnsi="Times New Roman"/>
          <w:b/>
          <w:sz w:val="24"/>
        </w:rPr>
        <w:t>? What would be the outcome for each of the foregoing</w:t>
      </w:r>
      <w:r>
        <w:rPr>
          <w:rFonts w:eastAsia="Times New Roman" w:cs="Times New Roman" w:ascii="Times New Roman" w:hAnsi="Times New Roman"/>
          <w:b/>
          <w:i/>
          <w:sz w:val="24"/>
          <w:u w:val="single"/>
        </w:rPr>
        <w:t xml:space="preserve"> </w:t>
      </w:r>
      <w:r>
        <w:rPr>
          <w:rFonts w:eastAsia="Times New Roman" w:cs="Times New Roman" w:ascii="Times New Roman" w:hAnsi="Times New Roman"/>
          <w:b/>
          <w:sz w:val="24"/>
        </w:rPr>
        <w:t>“Queries?”</w:t>
      </w:r>
    </w:p>
    <w:p>
      <w:pPr>
        <w:pStyle w:val="Normal"/>
        <w:spacing w:lineRule="exact" w:line="2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
        </w:numPr>
        <w:tabs>
          <w:tab w:val="clear" w:pos="720"/>
          <w:tab w:val="left" w:pos="1022"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If buyer changed his mind eight weeks into the contract, he would not have the right to unilaterally terminate the contract because his due diligence period expired two weeks earlier. Buyer would remain obligated under the contract terms until at least the Settlement Date. If lienholder approval </w:t>
      </w:r>
      <w:r>
        <w:rPr>
          <w:rFonts w:eastAsia="Times New Roman" w:cs="Times New Roman" w:ascii="Times New Roman" w:hAnsi="Times New Roman"/>
          <w:i/>
          <w:sz w:val="24"/>
        </w:rPr>
        <w:t>was</w:t>
      </w:r>
      <w:r>
        <w:rPr>
          <w:rFonts w:eastAsia="Times New Roman" w:cs="Times New Roman" w:ascii="Times New Roman" w:hAnsi="Times New Roman"/>
          <w:sz w:val="24"/>
        </w:rPr>
        <w:t xml:space="preserve"> timely obtained, but buyer refused to perform, then seller would be entitled to receive the earnest money deposit. If the lienholder declined to approve the contract, then the seller would be in breach of the obligation to convey marketable and insurable title and the buyer would be entitled to a refund of the earnest money deposit, as well as any due diligence fee paid and out-of-pocket expenses incurred by the buyer during the due diligence period.</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058" w:leader="none"/>
        </w:tabs>
        <w:spacing w:lineRule="auto" w:line="23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According to the terms of Std Form 2-T, the non-breaching party may terminate the contract upon written notice to the breaching party if the parties have not closed within fourteen days of the stated closing date, unless the parties have agreed in writing to an extension of the closing date. Because sixteen weeks later the seller still does not have lienholder approval and thus cannot convey marketable and insurable title, the buyer may terminate the contract by providing written notice to the seller any time on or after the 15</w:t>
      </w:r>
      <w:r>
        <w:rPr>
          <w:rFonts w:eastAsia="Times New Roman" w:cs="Times New Roman" w:ascii="Times New Roman" w:hAnsi="Times New Roman"/>
          <w:sz w:val="32"/>
          <w:vertAlign w:val="superscript"/>
        </w:rPr>
        <w:t>th</w:t>
      </w:r>
      <w:r>
        <w:rPr>
          <w:rFonts w:eastAsia="Times New Roman" w:cs="Times New Roman" w:ascii="Times New Roman" w:hAnsi="Times New Roman"/>
          <w:sz w:val="24"/>
        </w:rPr>
        <w:t xml:space="preserve"> day following the stated closing date. For example, if 12 weeks from the Effective Date was October 31, then Buyer would be entitled to terminate the contract anytime on or after November 15. Buyer would be entitled to a refund of his earnest money deposit, </w:t>
      </w:r>
      <w:r>
        <w:rPr>
          <w:rFonts w:eastAsia="Times New Roman" w:cs="Times New Roman" w:ascii="Times New Roman" w:hAnsi="Times New Roman"/>
          <w:i/>
          <w:sz w:val="24"/>
        </w:rPr>
        <w:t>as well as</w:t>
      </w:r>
      <w:r>
        <w:rPr>
          <w:rFonts w:eastAsia="Times New Roman" w:cs="Times New Roman" w:ascii="Times New Roman" w:hAnsi="Times New Roman"/>
          <w:sz w:val="24"/>
        </w:rPr>
        <w:t xml:space="preserve"> a refund of any due diligence fee paid and out-of-pocket expenses paid during the due diligence period.</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Both Queries #3 and #4 have a similar result; because seller’s performance is not conditioned on lienholder approval, the seller is in breach of his/her contractual obligations to convey and is doomed to fail absent lienholder approval. Whether the lienholder refuses to accept the contract terms or initiates foreclosure proceedings, the seller lacks the ability to convey marketable and insurable title in either case. The buyer will be entitled to a refund of the earnest money deposit, as well as a refund of any due diligence fee paid and reasonable out-of-pocket expenses incurred during the due diligence period. (As a practical matter, the buyer should be able to receive a refund of the earnest money deposit that was being held by some escrow agent, but whether s/he will actually receive either the due diligence fee or out-of-pocket expenses will depend on the sellers’ financial condition.)</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Hopefully the foregoing discussion illustrates the significant differences that result from the presence or absence of qualifying contingency language in the parties’ contract in any short sale transaction. Brokers representing sellers in commercial sales transactions should counsel their clients to seek legal advice and have the attorney prepare appropriate language for inclusion in the seller’s sales contract, particularly since there is no standard commercial short sale form available to brokers. Absent such qualifying language, a seller of commercial property will be unable to fulfill his/her contractual obligation to convey marketable and insurable title, if any lienholder refuses to voluntarily release its lien.</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-12-</w:t>
      </w:r>
    </w:p>
    <w:p>
      <w:pPr>
        <w:sectPr>
          <w:type w:val="continuous"/>
          <w:pgSz w:w="12240" w:h="15840"/>
          <w:pgMar w:left="1440" w:right="1440" w:gutter="0" w:header="0" w:top="1270" w:footer="0" w:bottom="169"/>
          <w:formProt w:val="false"/>
          <w:textDirection w:val="lrTb"/>
          <w:docGrid w:type="default" w:linePitch="360" w:charSpace="0"/>
        </w:sectPr>
      </w:pPr>
    </w:p>
    <w:p>
      <w:pPr>
        <w:pStyle w:val="Normal"/>
        <w:spacing w:lineRule="atLeast" w:line="0"/>
        <w:ind w:start="720" w:end="0"/>
        <w:rPr>
          <w:rFonts w:ascii="Times New Roman" w:hAnsi="Times New Roman" w:eastAsia="Times New Roman" w:cs="Times New Roman"/>
          <w:b/>
          <w:sz w:val="28"/>
        </w:rPr>
      </w:pPr>
      <w:bookmarkStart w:id="14" w:name="page13"/>
      <w:bookmarkEnd w:id="14"/>
      <w:r>
        <w:rPr>
          <w:rFonts w:eastAsia="Times New Roman" w:cs="Times New Roman" w:ascii="Times New Roman" w:hAnsi="Times New Roman"/>
          <w:b/>
          <w:sz w:val="28"/>
        </w:rPr>
        <w:t>Receipt of Other Offers After Seller is Under Contract</w:t>
      </w:r>
    </w:p>
    <w:p>
      <w:pPr>
        <w:pStyle w:val="Normal"/>
        <w:spacing w:lineRule="exact" w:line="3"/>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Must a seller cease marketing his/her property while the lienholders are deciding whether to approve a contract to sell/purchase with Buyer #1? No. While the rules of various advertising forums may impact how the listing is displayed or classified, there has never been a requirement that the seller cease marketing or showing his property or not entertain other offers on the property. Thus, the seller is free to continue to market the property as aggressively as the seller and the listing agent agree.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 xml:space="preserve">If the listing agent receives an offer from Buyer #2 after seller already is under contract with Buyer #1, must listing agent show that offer to the seller? </w:t>
      </w:r>
      <w:r>
        <w:rPr>
          <w:rFonts w:eastAsia="Times New Roman" w:cs="Times New Roman" w:ascii="Times New Roman" w:hAnsi="Times New Roman"/>
          <w:i/>
          <w:sz w:val="24"/>
        </w:rPr>
        <w:t>Absolutely</w:t>
      </w:r>
      <w:r>
        <w:rPr>
          <w:rFonts w:eastAsia="Times New Roman" w:cs="Times New Roman" w:ascii="Times New Roman" w:hAnsi="Times New Roman"/>
          <w:sz w:val="24"/>
        </w:rPr>
        <w:t>. Commission Rule 58A.0106(a) requires all licensees to deliver copies of all agency agreements, contracts, offers, leases or options affecting property to the parties thereto immediately, but in no event later than five days from the date of execution.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 xml:space="preserve">Must the seller consider the offer? No, the seller may reject it out of hand. If the offer is better than the terms of the present contract, may the seller notify buyer #1 that s/he is terminating the contract and accept offer #2? No, the seller has no right to terminate the pending contract unless the lienholder declines to approve its terms. </w:t>
      </w:r>
      <w:r>
        <w:rPr>
          <w:rFonts w:eastAsia="Times New Roman" w:cs="Times New Roman" w:ascii="Times New Roman" w:hAnsi="Times New Roman"/>
          <w:i/>
          <w:sz w:val="24"/>
        </w:rPr>
        <w:t>Because the seller already is under contract to convey the property to buyer #1, subject to the contingency of lienholder approval, seller is not free to accept offer #2 other than in a back-up capacity and an appropriate addendum should always be attached to the contract.</w:t>
      </w:r>
    </w:p>
    <w:p>
      <w:pPr>
        <w:pStyle w:val="Normal"/>
        <w:spacing w:lineRule="exact" w:line="23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0"/>
        <w:ind w:firstLine="720" w:end="0"/>
        <w:jc w:val="both"/>
        <w:rPr/>
      </w:pPr>
      <w:r>
        <w:rPr>
          <w:rFonts w:eastAsia="Times New Roman" w:cs="Times New Roman" w:ascii="Times New Roman" w:hAnsi="Times New Roman"/>
          <w:sz w:val="24"/>
        </w:rPr>
        <w:t xml:space="preserve">What should a listing agent do if s/he receives other offers after the seller is already under contract, but the seller directs the listing agent </w:t>
      </w:r>
      <w:r>
        <w:rPr>
          <w:rFonts w:eastAsia="Times New Roman" w:cs="Times New Roman" w:ascii="Times New Roman" w:hAnsi="Times New Roman"/>
          <w:i/>
          <w:sz w:val="24"/>
        </w:rPr>
        <w:t>not</w:t>
      </w:r>
      <w:r>
        <w:rPr>
          <w:rFonts w:eastAsia="Times New Roman" w:cs="Times New Roman" w:ascii="Times New Roman" w:hAnsi="Times New Roman"/>
          <w:sz w:val="24"/>
        </w:rPr>
        <w:t xml:space="preserve"> to notify the seller’s lienholder of the other offers? While the lender/lienholder technically is not a party to the contract, it clearly has a financial interest in the transaction and is a necessary </w:t>
      </w:r>
      <w:r>
        <w:rPr>
          <w:rFonts w:eastAsia="Times New Roman" w:cs="Times New Roman" w:ascii="Times New Roman" w:hAnsi="Times New Roman"/>
          <w:i/>
          <w:sz w:val="24"/>
        </w:rPr>
        <w:t>third party</w:t>
      </w:r>
      <w:r>
        <w:rPr>
          <w:rFonts w:eastAsia="Times New Roman" w:cs="Times New Roman" w:ascii="Times New Roman" w:hAnsi="Times New Roman"/>
          <w:sz w:val="24"/>
        </w:rPr>
        <w:t xml:space="preserve"> (as opposed to principal/party) in the transaction. It is being asked to release its security interest without receiving all the monies to which it is entitled. Thus, </w:t>
      </w:r>
      <w:r>
        <w:rPr>
          <w:rFonts w:eastAsia="Times New Roman" w:cs="Times New Roman" w:ascii="Times New Roman" w:hAnsi="Times New Roman"/>
          <w:i/>
          <w:sz w:val="24"/>
        </w:rPr>
        <w:t>once a lienholder is involved in a short sale transaction</w:t>
      </w:r>
      <w:r>
        <w:rPr>
          <w:rFonts w:eastAsia="Times New Roman" w:cs="Times New Roman" w:ascii="Times New Roman" w:hAnsi="Times New Roman"/>
          <w:sz w:val="24"/>
        </w:rPr>
        <w:t xml:space="preserve">, as it necessarily must be, </w:t>
      </w:r>
      <w:r>
        <w:rPr>
          <w:rFonts w:eastAsia="Times New Roman" w:cs="Times New Roman" w:ascii="Times New Roman" w:hAnsi="Times New Roman"/>
          <w:i/>
          <w:sz w:val="24"/>
        </w:rPr>
        <w:t xml:space="preserve">a real estate broker owes the same duty to disclose material facts to the lienholder as the broker owes to any third parties. </w:t>
      </w:r>
      <w:r>
        <w:rPr>
          <w:rFonts w:eastAsia="Times New Roman" w:cs="Times New Roman" w:ascii="Times New Roman" w:hAnsi="Times New Roman"/>
          <w:b/>
          <w:i/>
          <w:sz w:val="24"/>
        </w:rPr>
        <w:t>The fact that other offers have been submitted is material as to the lienholder’s interest</w:t>
      </w:r>
      <w:r>
        <w:rPr>
          <w:rFonts w:eastAsia="Times New Roman" w:cs="Times New Roman" w:ascii="Times New Roman" w:hAnsi="Times New Roman"/>
          <w:i/>
          <w:sz w:val="24"/>
        </w:rPr>
        <w:t xml:space="preserve"> , whether the offers are for more or less than the purchase price in the pending contract, and the </w:t>
      </w:r>
      <w:r>
        <w:rPr>
          <w:rFonts w:eastAsia="Times New Roman" w:cs="Times New Roman" w:ascii="Times New Roman" w:hAnsi="Times New Roman"/>
          <w:b/>
          <w:i/>
          <w:sz w:val="24"/>
        </w:rPr>
        <w:t>listing broker must disclose the existence of these offers to the lienholder</w:t>
      </w:r>
      <w:r>
        <w:rPr>
          <w:rFonts w:eastAsia="Times New Roman" w:cs="Times New Roman" w:ascii="Times New Roman" w:hAnsi="Times New Roman"/>
          <w:sz w:val="24"/>
        </w:rPr>
        <w:t>. Must the broker still disclose if his/her principal, the seller,</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instructs the broker not to inform the lienholder? </w:t>
      </w:r>
      <w:r>
        <w:rPr>
          <w:rFonts w:eastAsia="Times New Roman" w:cs="Times New Roman" w:ascii="Times New Roman" w:hAnsi="Times New Roman"/>
          <w:i/>
          <w:sz w:val="24"/>
        </w:rPr>
        <w:t>Yes</w:t>
      </w:r>
      <w:r>
        <w:rPr>
          <w:rFonts w:eastAsia="Times New Roman" w:cs="Times New Roman" w:ascii="Times New Roman" w:hAnsi="Times New Roman"/>
          <w:sz w:val="24"/>
        </w:rPr>
        <w:t xml:space="preserve">, because an agent is only obligated to follow the </w:t>
      </w:r>
      <w:r>
        <w:rPr>
          <w:rFonts w:eastAsia="Times New Roman" w:cs="Times New Roman" w:ascii="Times New Roman" w:hAnsi="Times New Roman"/>
          <w:i/>
          <w:sz w:val="24"/>
        </w:rPr>
        <w:t>lawful</w:t>
      </w:r>
      <w:r>
        <w:rPr>
          <w:rFonts w:eastAsia="Times New Roman" w:cs="Times New Roman" w:ascii="Times New Roman" w:hAnsi="Times New Roman"/>
          <w:sz w:val="24"/>
        </w:rPr>
        <w:t xml:space="preserve"> instructions of his/her principal. A principal has no authority to tell an agent to engage in behavior that would cause the agent to violate law, in this instance both License Law (G.S. 93A-6(a)(1)) and duties of honesty and fair dealing owed to third parties under the common law of agency.</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The listing broker must notify the lienholder, preferably in writing, that another offer has been received. The lienholder may ask the listing broker to transmit a copy of the offer or to merely recite certain material terms of the offer, such as purchase price, whether financing is required, and projected closing date. Some lienholders may refuse to consider any subsequent offers unless the seller first accepts the offer in a back-up capacity, but the listing broker nonetheless should notify the lender/lienholder of the existence of the offer and follow the lienholder’s instructions. If the lienholder refuses to consider the offer unless the seller accepts it as a back-up contract, </w:t>
      </w:r>
      <w:r>
        <w:rPr>
          <w:rFonts w:eastAsia="Times New Roman" w:cs="Times New Roman" w:ascii="Times New Roman" w:hAnsi="Times New Roman"/>
          <w:i/>
          <w:sz w:val="24"/>
        </w:rPr>
        <w:t>must</w:t>
      </w:r>
      <w:r>
        <w:rPr>
          <w:rFonts w:eastAsia="Times New Roman" w:cs="Times New Roman" w:ascii="Times New Roman" w:hAnsi="Times New Roman"/>
          <w:sz w:val="24"/>
        </w:rPr>
        <w:t xml:space="preserve"> the seller accept the offer? No.</w:t>
      </w:r>
    </w:p>
    <w:p>
      <w:pPr>
        <w:sectPr>
          <w:type w:val="nextPage"/>
          <w:pgSz w:w="12240" w:h="15840"/>
          <w:pgMar w:left="1440" w:right="1440" w:gutter="0" w:header="0" w:top="1267"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-13-</w:t>
      </w:r>
    </w:p>
    <w:p>
      <w:pPr>
        <w:sectPr>
          <w:type w:val="continuous"/>
          <w:pgSz w:w="12240" w:h="15840"/>
          <w:pgMar w:left="1440" w:right="1440" w:gutter="0" w:header="0" w:top="1267" w:footer="0" w:bottom="169"/>
          <w:formProt w:val="false"/>
          <w:textDirection w:val="lrTb"/>
          <w:docGrid w:type="default" w:linePitch="360" w:charSpace="0"/>
        </w:sectPr>
      </w:pPr>
    </w:p>
    <w:p>
      <w:pPr>
        <w:pStyle w:val="Normal"/>
        <w:spacing w:lineRule="exact" w:line="106"/>
        <w:rPr>
          <w:rFonts w:ascii="Times New Roman" w:hAnsi="Times New Roman" w:eastAsia="Times New Roman" w:cs="Times New Roman"/>
          <w:b/>
          <w:sz w:val="26"/>
        </w:rPr>
      </w:pPr>
      <w:r>
        <w:rPr>
          <w:rFonts w:eastAsia="Times New Roman" w:cs="Times New Roman" w:ascii="Times New Roman" w:hAnsi="Times New Roman"/>
          <w:b/>
          <w:sz w:val="26"/>
        </w:rPr>
      </w:r>
      <w:bookmarkStart w:id="15" w:name="page14"/>
      <w:bookmarkStart w:id="16" w:name="page14"/>
      <w:bookmarkEnd w:id="16"/>
    </w:p>
    <w:p>
      <w:pPr>
        <w:pStyle w:val="Normal"/>
        <w:spacing w:lineRule="auto" w:line="242"/>
        <w:ind w:firstLine="720" w:end="0"/>
        <w:jc w:val="both"/>
        <w:rPr/>
      </w:pPr>
      <w:r>
        <w:rPr>
          <w:rFonts w:eastAsia="Times New Roman" w:cs="Times New Roman" w:ascii="Times New Roman" w:hAnsi="Times New Roman"/>
          <w:sz w:val="24"/>
        </w:rPr>
        <w:t xml:space="preserve">May a licensee reveal the material terms of an offer to the lienholder without violating Commission Rule 58A.0115? Yes. </w:t>
      </w:r>
      <w:r>
        <w:rPr>
          <w:rFonts w:eastAsia="Times New Roman" w:cs="Times New Roman" w:ascii="Times New Roman" w:hAnsi="Times New Roman"/>
          <w:b/>
          <w:i/>
          <w:sz w:val="24"/>
        </w:rPr>
        <w:t>Rule 58A.0115</w:t>
      </w:r>
      <w:r>
        <w:rPr>
          <w:rFonts w:eastAsia="Times New Roman" w:cs="Times New Roman" w:ascii="Times New Roman" w:hAnsi="Times New Roman"/>
          <w:sz w:val="24"/>
        </w:rPr>
        <w:t xml:space="preserve"> prohibits a broker from disclosing the material terms of a party’s offer </w:t>
      </w:r>
      <w:r>
        <w:rPr>
          <w:rFonts w:eastAsia="Times New Roman" w:cs="Times New Roman" w:ascii="Times New Roman" w:hAnsi="Times New Roman"/>
          <w:i/>
          <w:sz w:val="24"/>
        </w:rPr>
        <w:t>to a competing party</w:t>
      </w:r>
      <w:r>
        <w:rPr>
          <w:rFonts w:eastAsia="Times New Roman" w:cs="Times New Roman" w:ascii="Times New Roman" w:hAnsi="Times New Roman"/>
          <w:sz w:val="24"/>
        </w:rPr>
        <w:t xml:space="preserve"> without the express authority of the offering party. The underlying intent was to require brokers to treat equally any buyers with whom the seller chose to deal and to level the playing field, rather than to pit buyers against each other by “shopping offers.” The lienholder is an interested third party, rather than a “competing party” as contemplated by the rule. Thus, </w:t>
      </w:r>
      <w:r>
        <w:rPr>
          <w:rFonts w:eastAsia="Times New Roman" w:cs="Times New Roman" w:ascii="Times New Roman" w:hAnsi="Times New Roman"/>
          <w:i/>
          <w:sz w:val="24"/>
        </w:rPr>
        <w:t>a listing broker could inform the lienholder of the terms of the new offer without violating the rule</w:t>
      </w:r>
      <w:r>
        <w:rPr>
          <w:rFonts w:eastAsia="Times New Roman" w:cs="Times New Roman" w:ascii="Times New Roman" w:hAnsi="Times New Roman"/>
          <w:sz w:val="24"/>
        </w:rPr>
        <w:t>. However, if uncomfortable, the listing broker</w:t>
      </w:r>
      <w:r>
        <w:rPr>
          <w:rFonts w:eastAsia="Times New Roman" w:cs="Times New Roman" w:ascii="Times New Roman" w:hAnsi="Times New Roman"/>
          <w:i/>
          <w:sz w:val="24"/>
        </w:rPr>
        <w:t xml:space="preserve"> </w:t>
      </w:r>
      <w:r>
        <w:rPr>
          <w:rFonts w:eastAsia="Times New Roman" w:cs="Times New Roman" w:ascii="Times New Roman" w:hAnsi="Times New Roman"/>
          <w:sz w:val="24"/>
        </w:rPr>
        <w:t>could request the buyer’s consent to disclose the terms to the lienholder upon receipt of the offer, as Buyer #2 should be aware that the property already is under contract.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32"/>
        </w:rPr>
        <w:t>L</w:t>
      </w:r>
      <w:r>
        <w:rPr>
          <w:rFonts w:eastAsia="Times New Roman" w:cs="Times New Roman" w:ascii="Times New Roman" w:hAnsi="Times New Roman"/>
          <w:b/>
          <w:sz w:val="25"/>
        </w:rPr>
        <w:t>IENHOLDER</w:t>
      </w:r>
      <w:r>
        <w:rPr>
          <w:rFonts w:eastAsia="Times New Roman" w:cs="Times New Roman" w:ascii="Times New Roman" w:hAnsi="Times New Roman"/>
          <w:b/>
          <w:sz w:val="32"/>
        </w:rPr>
        <w:t xml:space="preserve"> A</w:t>
      </w:r>
      <w:r>
        <w:rPr>
          <w:rFonts w:eastAsia="Times New Roman" w:cs="Times New Roman" w:ascii="Times New Roman" w:hAnsi="Times New Roman"/>
          <w:b/>
          <w:sz w:val="25"/>
        </w:rPr>
        <w:t>PPROVAL</w:t>
      </w:r>
    </w:p>
    <w:p>
      <w:pPr>
        <w:pStyle w:val="Normal"/>
        <w:spacing w:lineRule="exact" w:line="279"/>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44"/>
        <w:ind w:firstLine="720" w:end="0"/>
        <w:jc w:val="both"/>
        <w:rPr/>
      </w:pPr>
      <w:r>
        <w:rPr>
          <w:rFonts w:eastAsia="Times New Roman" w:cs="Times New Roman" w:ascii="Times New Roman" w:hAnsi="Times New Roman"/>
          <w:sz w:val="24"/>
        </w:rPr>
        <w:t>Lienholders may not all follow the same procedures when reviewing short sale requests. Each may have different document and eligibility criteria to determine whether a short sale transaction will be allowed. Generally, a lienholder will require proof that the borrower/owner is incapable of paying off the loan. Sometimes being “upside down” on the loan is enough, but the lienholder may still choose to evaluate the seller’s financial circumstances to confirm that his/her resources are truly insufficient to cover the loan balance deficiency.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80" w:end="0"/>
        <w:jc w:val="both"/>
        <w:rPr/>
      </w:pPr>
      <w:r>
        <w:rPr>
          <w:rFonts w:eastAsia="Times New Roman" w:cs="Times New Roman" w:ascii="Times New Roman" w:hAnsi="Times New Roman"/>
          <w:sz w:val="24"/>
        </w:rPr>
        <w:t xml:space="preserve">The lienholder also will assess all debts and costs to determine the feasibility of a short sale. Debts obviously include the amount of the loan balance, any second mortgages, home equity loans or other voluntary deeds of trust recorded against the property, past due owners’ association fees or assessments and unpaid property taxes. The costs of sale include any agreed closing costs to be paid by seller (if allowed by the lienholder), escrow fees, and brokerage commissions. The lienholder must decide whether it will fare better through a short sale than through the foreclosure process and the consent of </w:t>
      </w:r>
      <w:r>
        <w:rPr>
          <w:rFonts w:eastAsia="Times New Roman" w:cs="Times New Roman" w:ascii="Times New Roman" w:hAnsi="Times New Roman"/>
          <w:i/>
          <w:sz w:val="24"/>
        </w:rPr>
        <w:t>all</w:t>
      </w:r>
      <w:r>
        <w:rPr>
          <w:rFonts w:eastAsia="Times New Roman" w:cs="Times New Roman" w:ascii="Times New Roman" w:hAnsi="Times New Roman"/>
          <w:sz w:val="24"/>
        </w:rPr>
        <w:t xml:space="preserve"> lienholders will be necessary.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8"/>
        </w:rPr>
      </w:pPr>
      <w:r>
        <w:rPr>
          <w:rFonts w:eastAsia="Times New Roman" w:cs="Times New Roman" w:ascii="Times New Roman" w:hAnsi="Times New Roman"/>
          <w:b/>
          <w:sz w:val="28"/>
        </w:rPr>
        <w:t>Contact with Lienholders</w:t>
      </w:r>
    </w:p>
    <w:p>
      <w:pPr>
        <w:pStyle w:val="Normal"/>
        <w:spacing w:lineRule="exact" w:line="3"/>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2"/>
        <w:ind w:firstLine="720" w:end="0"/>
        <w:jc w:val="both"/>
        <w:rPr/>
      </w:pPr>
      <w:r>
        <w:rPr>
          <w:rFonts w:eastAsia="Times New Roman" w:cs="Times New Roman" w:ascii="Times New Roman" w:hAnsi="Times New Roman"/>
          <w:sz w:val="24"/>
        </w:rPr>
        <w:t xml:space="preserve">How much contact may a listing broker have with a seller’s lienholder on behalf of the seller? It depends, but the </w:t>
      </w:r>
      <w:r>
        <w:rPr>
          <w:rFonts w:eastAsia="Times New Roman" w:cs="Times New Roman" w:ascii="Times New Roman" w:hAnsi="Times New Roman"/>
          <w:b/>
          <w:i/>
          <w:sz w:val="24"/>
        </w:rPr>
        <w:t>general rule</w:t>
      </w:r>
      <w:r>
        <w:rPr>
          <w:rFonts w:eastAsia="Times New Roman" w:cs="Times New Roman" w:ascii="Times New Roman" w:hAnsi="Times New Roman"/>
          <w:i/>
          <w:sz w:val="24"/>
        </w:rPr>
        <w:t xml:space="preserve"> is probably “</w:t>
      </w:r>
      <w:r>
        <w:rPr>
          <w:rFonts w:eastAsia="Times New Roman" w:cs="Times New Roman" w:ascii="Times New Roman" w:hAnsi="Times New Roman"/>
          <w:b/>
          <w:i/>
          <w:sz w:val="24"/>
        </w:rPr>
        <w:t>not much</w:t>
      </w:r>
      <w:r>
        <w:rPr>
          <w:rFonts w:eastAsia="Times New Roman" w:cs="Times New Roman" w:ascii="Times New Roman" w:hAnsi="Times New Roman"/>
          <w:i/>
          <w:sz w:val="24"/>
        </w:rPr>
        <w:t>.”</w:t>
      </w:r>
      <w:r>
        <w:rPr>
          <w:rFonts w:eastAsia="Times New Roman" w:cs="Times New Roman" w:ascii="Times New Roman" w:hAnsi="Times New Roman"/>
          <w:sz w:val="24"/>
        </w:rPr>
        <w:t xml:space="preserve"> Real estate brokers are licensed to engage in real estate brokerage, not to negotiate debt forgiveness or reduction with the attendant potential legal consequences to the seller. Certainly, real estate brokers may act as conduits for the transmission of information. For example, </w:t>
      </w:r>
      <w:r>
        <w:rPr>
          <w:rFonts w:eastAsia="Times New Roman" w:cs="Times New Roman" w:ascii="Times New Roman" w:hAnsi="Times New Roman"/>
          <w:i/>
          <w:sz w:val="24"/>
        </w:rPr>
        <w:t xml:space="preserve">they may send a copy of the parties’ contract to the lienholder for review, notify the lienholder if other offers are received, provide information requested by the lienholder, and receive the lienholder’s response and communicate it to the seller and buyer, but they </w:t>
      </w:r>
      <w:r>
        <w:rPr>
          <w:rFonts w:eastAsia="Times New Roman" w:cs="Times New Roman" w:ascii="Times New Roman" w:hAnsi="Times New Roman"/>
          <w:b/>
          <w:i/>
          <w:sz w:val="24"/>
        </w:rPr>
        <w:t>generally should refrain from negotiating with a lienholder</w:t>
      </w:r>
      <w:r>
        <w:rPr>
          <w:rFonts w:eastAsia="Times New Roman" w:cs="Times New Roman" w:ascii="Times New Roman" w:hAnsi="Times New Roman"/>
          <w:i/>
          <w:sz w:val="24"/>
        </w:rPr>
        <w:t xml:space="preserve"> concerning what terms and conditions the lienholder would accept</w:t>
      </w:r>
      <w:r>
        <w:rPr>
          <w:rFonts w:eastAsia="Times New Roman" w:cs="Times New Roman" w:ascii="Times New Roman" w:hAnsi="Times New Roman"/>
          <w:sz w:val="24"/>
        </w:rPr>
        <w:t>. Brokers who attempt to</w:t>
      </w:r>
      <w:r>
        <w:rPr>
          <w:rFonts w:eastAsia="Times New Roman" w:cs="Times New Roman" w:ascii="Times New Roman" w:hAnsi="Times New Roman"/>
          <w:i/>
          <w:sz w:val="24"/>
        </w:rPr>
        <w:t xml:space="preserve"> </w:t>
      </w:r>
      <w:r>
        <w:rPr>
          <w:rFonts w:eastAsia="Times New Roman" w:cs="Times New Roman" w:ascii="Times New Roman" w:hAnsi="Times New Roman"/>
          <w:sz w:val="24"/>
        </w:rPr>
        <w:t>“negotiate” a short sale with the seller’s lienholder may fall within the purview of recent federal regulations governing mortgage assistance relief service providers and may also risk the unauthorized practice of law.</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While real estate brokers may routinely assist their seller-clients in negotiating the terms of an acceptable contract in a “normal” sales transaction where the sale proceeds are sufficient to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69"/>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-14-</w:t>
      </w:r>
    </w:p>
    <w:p>
      <w:pPr>
        <w:pStyle w:val="Normal"/>
        <w:spacing w:lineRule="auto" w:line="249"/>
        <w:jc w:val="both"/>
        <w:rPr>
          <w:rFonts w:ascii="Times New Roman" w:hAnsi="Times New Roman" w:eastAsia="Times New Roman" w:cs="Times New Roman"/>
          <w:sz w:val="24"/>
        </w:rPr>
      </w:pPr>
      <w:bookmarkStart w:id="17" w:name="page15"/>
      <w:bookmarkEnd w:id="17"/>
      <w:r>
        <w:rPr>
          <w:rFonts w:eastAsia="Times New Roman" w:cs="Times New Roman" w:ascii="Times New Roman" w:hAnsi="Times New Roman"/>
          <w:sz w:val="24"/>
        </w:rPr>
        <w:t>satisfy all liens and costs related to the transfer and both seller and buyer are capable of performing their contractual obligations without the consent or involvement of any third parties, such is not the case in a short sale transaction. The seller risks significant consequences if the lienholder approves a short sale, such as:</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977" w:leader="none"/>
        </w:tabs>
        <w:spacing w:lineRule="auto" w:line="254"/>
        <w:ind w:start="720" w:end="0"/>
        <w:jc w:val="both"/>
        <w:rPr>
          <w:rFonts w:ascii="Arial" w:hAnsi="Arial" w:eastAsia="Arial" w:cs="Arial"/>
          <w:sz w:val="24"/>
        </w:rPr>
      </w:pPr>
      <w:r>
        <w:rPr>
          <w:rFonts w:eastAsia="Times New Roman" w:cs="Times New Roman" w:ascii="Times New Roman" w:hAnsi="Times New Roman"/>
          <w:sz w:val="24"/>
        </w:rPr>
        <w:t>The lienholder may accept the short sale amount and release the lien, but refuse to consider it full satisfaction of the underlying debt and may pursue the borrower/owner for a deficiency judgment.</w:t>
      </w:r>
    </w:p>
    <w:p>
      <w:pPr>
        <w:pStyle w:val="Normal"/>
        <w:spacing w:lineRule="exact" w:line="225"/>
        <w:rPr>
          <w:rFonts w:ascii="Arial" w:hAnsi="Arial" w:eastAsia="Arial" w:cs="Arial"/>
          <w:sz w:val="24"/>
        </w:rPr>
      </w:pPr>
      <w:r>
        <w:rPr>
          <w:rFonts w:eastAsia="Arial" w:cs="Arial" w:ascii="Arial" w:hAnsi="Arial"/>
          <w:sz w:val="24"/>
        </w:rPr>
      </w:r>
    </w:p>
    <w:p>
      <w:pPr>
        <w:pStyle w:val="Normal"/>
        <w:numPr>
          <w:ilvl w:val="0"/>
          <w:numId w:val="8"/>
        </w:numPr>
        <w:tabs>
          <w:tab w:val="clear" w:pos="720"/>
          <w:tab w:val="left" w:pos="977" w:leader="none"/>
        </w:tabs>
        <w:spacing w:lineRule="auto" w:line="249"/>
        <w:ind w:start="720" w:end="0"/>
        <w:jc w:val="both"/>
        <w:rPr>
          <w:rFonts w:ascii="Arial" w:hAnsi="Arial" w:eastAsia="Arial" w:cs="Arial"/>
          <w:sz w:val="24"/>
        </w:rPr>
      </w:pPr>
      <w:r>
        <w:rPr>
          <w:rFonts w:eastAsia="Times New Roman" w:cs="Times New Roman" w:ascii="Times New Roman" w:hAnsi="Times New Roman"/>
          <w:sz w:val="24"/>
        </w:rPr>
        <w:t>The lienholder may agree to accept the short sale amount in full satisfaction of the underlying debt, release the lien, and forgive the deficiency, but the seller may face tax consequences because the amount of the debt forgiven by the lender may be treated as income to the seller for tax purposes.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pPr>
      <w:r>
        <w:rPr>
          <w:rFonts w:eastAsia="Times New Roman" w:cs="Times New Roman" w:ascii="Times New Roman" w:hAnsi="Times New Roman"/>
          <w:sz w:val="24"/>
        </w:rPr>
        <w:t>Regardless of whether the lienholder pursues the deficiency or forgives the remaining debt, the borrower’s default on the loan obligation will impact the borrower’s credit score and may impair the borrower’s ability to purchase another property for some period of time.</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i/>
          <w:sz w:val="24"/>
        </w:rPr>
        <w:t xml:space="preserve">While listing brokers should alert their seller-clients that issues such as the foregoing exist that must be addressed, they should </w:t>
      </w:r>
      <w:r>
        <w:rPr>
          <w:rFonts w:eastAsia="Times New Roman" w:cs="Times New Roman" w:ascii="Times New Roman" w:hAnsi="Times New Roman"/>
          <w:b/>
          <w:i/>
          <w:sz w:val="24"/>
        </w:rPr>
        <w:t>not</w:t>
      </w:r>
      <w:r>
        <w:rPr>
          <w:rFonts w:eastAsia="Times New Roman" w:cs="Times New Roman" w:ascii="Times New Roman" w:hAnsi="Times New Roman"/>
          <w:i/>
          <w:sz w:val="24"/>
        </w:rPr>
        <w:t xml:space="preserve"> attempt to advise sellers on any of these matters as to do so is to provide legal advice and could constitute the unauthorized practice of law unless the listing broker also has an active North Carolina law license</w:t>
      </w:r>
      <w:r>
        <w:rPr>
          <w:rFonts w:eastAsia="Times New Roman" w:cs="Times New Roman" w:ascii="Times New Roman" w:hAnsi="Times New Roman"/>
          <w:sz w:val="24"/>
        </w:rPr>
        <w:t>. Rather the broker, upon determining that the seller is in a short sale situation, should recommend that the seller consult an attorney and a tax expert regarding the potential consequences arising from a short sale. The broker also might inquire whether the seller has had any discussions with his/her lienholder or servicer concerning the seller’s eligibility for either HAMP or HAFA, discussed below.</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32"/>
        </w:rPr>
        <w:t>A</w:t>
      </w:r>
      <w:r>
        <w:rPr>
          <w:rFonts w:eastAsia="Times New Roman" w:cs="Times New Roman" w:ascii="Times New Roman" w:hAnsi="Times New Roman"/>
          <w:b/>
          <w:sz w:val="25"/>
        </w:rPr>
        <w:t>PPLICABLE</w:t>
      </w:r>
      <w:r>
        <w:rPr>
          <w:rFonts w:eastAsia="Times New Roman" w:cs="Times New Roman" w:ascii="Times New Roman" w:hAnsi="Times New Roman"/>
          <w:b/>
          <w:sz w:val="32"/>
        </w:rPr>
        <w:t xml:space="preserve"> L</w:t>
      </w:r>
      <w:r>
        <w:rPr>
          <w:rFonts w:eastAsia="Times New Roman" w:cs="Times New Roman" w:ascii="Times New Roman" w:hAnsi="Times New Roman"/>
          <w:b/>
          <w:sz w:val="25"/>
        </w:rPr>
        <w:t>AWS</w:t>
      </w:r>
      <w:r>
        <w:rPr>
          <w:rFonts w:eastAsia="Times New Roman" w:cs="Times New Roman" w:ascii="Times New Roman" w:hAnsi="Times New Roman"/>
          <w:b/>
          <w:sz w:val="32"/>
        </w:rPr>
        <w:t xml:space="preserve"> &amp; R</w:t>
      </w:r>
      <w:r>
        <w:rPr>
          <w:rFonts w:eastAsia="Times New Roman" w:cs="Times New Roman" w:ascii="Times New Roman" w:hAnsi="Times New Roman"/>
          <w:b/>
          <w:sz w:val="25"/>
        </w:rPr>
        <w:t>ULES</w:t>
      </w:r>
    </w:p>
    <w:p>
      <w:pPr>
        <w:pStyle w:val="Normal"/>
        <w:spacing w:lineRule="exact" w:line="279"/>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44"/>
        <w:ind w:firstLine="720" w:end="0"/>
        <w:jc w:val="both"/>
        <w:rPr/>
      </w:pPr>
      <w:r>
        <w:rPr>
          <w:rFonts w:eastAsia="Times New Roman" w:cs="Times New Roman" w:ascii="Times New Roman" w:hAnsi="Times New Roman"/>
          <w:sz w:val="24"/>
        </w:rPr>
        <w:t xml:space="preserve">There have been several attempts over the past three years at both the state and federal levels to enact legislation or rules to provide assistance to homeowners struggling to pay their mortgages and avoid foreclosure. One such federal initiative was the </w:t>
      </w:r>
      <w:r>
        <w:rPr>
          <w:rFonts w:eastAsia="Times New Roman" w:cs="Times New Roman" w:ascii="Times New Roman" w:hAnsi="Times New Roman"/>
          <w:b/>
          <w:sz w:val="24"/>
        </w:rPr>
        <w:t>Making Home Affordable (MHA)</w:t>
      </w:r>
      <w:r>
        <w:rPr>
          <w:rFonts w:eastAsia="Times New Roman" w:cs="Times New Roman" w:ascii="Times New Roman" w:hAnsi="Times New Roman"/>
          <w:sz w:val="24"/>
        </w:rPr>
        <w:t xml:space="preserve"> Program in 2009 which generated the </w:t>
      </w:r>
      <w:r>
        <w:rPr>
          <w:rFonts w:eastAsia="Times New Roman" w:cs="Times New Roman" w:ascii="Times New Roman" w:hAnsi="Times New Roman"/>
          <w:b/>
          <w:i/>
          <w:sz w:val="24"/>
        </w:rPr>
        <w:t>Home Affordable Refinance Program (HARP)</w:t>
      </w:r>
      <w:r>
        <w:rPr>
          <w:rFonts w:eastAsia="Times New Roman" w:cs="Times New Roman" w:ascii="Times New Roman" w:hAnsi="Times New Roman"/>
          <w:sz w:val="24"/>
        </w:rPr>
        <w:t>,</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the </w:t>
      </w:r>
      <w:r>
        <w:rPr>
          <w:rFonts w:eastAsia="Times New Roman" w:cs="Times New Roman" w:ascii="Times New Roman" w:hAnsi="Times New Roman"/>
          <w:b/>
          <w:i/>
          <w:sz w:val="24"/>
        </w:rPr>
        <w:t>Home Affordable Modification Program (HAMP)</w:t>
      </w:r>
      <w:r>
        <w:rPr>
          <w:rFonts w:eastAsia="Times New Roman" w:cs="Times New Roman" w:ascii="Times New Roman" w:hAnsi="Times New Roman"/>
          <w:sz w:val="24"/>
        </w:rPr>
        <w:t xml:space="preserve"> and the </w:t>
      </w:r>
      <w:r>
        <w:rPr>
          <w:rFonts w:eastAsia="Times New Roman" w:cs="Times New Roman" w:ascii="Times New Roman" w:hAnsi="Times New Roman"/>
          <w:b/>
          <w:i/>
          <w:sz w:val="24"/>
        </w:rPr>
        <w:t>Home Affordable Foreclosure Alternatives Program (HAFA)</w:t>
      </w:r>
      <w:r>
        <w:rPr>
          <w:rFonts w:eastAsia="Times New Roman" w:cs="Times New Roman" w:ascii="Times New Roman" w:hAnsi="Times New Roman"/>
          <w:sz w:val="24"/>
        </w:rPr>
        <w:t>. The latter two programs will be discussed briefly herein.</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8"/>
        </w:rPr>
      </w:pPr>
      <w:r>
        <w:rPr>
          <w:rFonts w:eastAsia="Times New Roman" w:cs="Times New Roman" w:ascii="Times New Roman" w:hAnsi="Times New Roman"/>
          <w:b/>
          <w:sz w:val="28"/>
        </w:rPr>
        <w:t>HAMP and HAFA</w:t>
      </w:r>
    </w:p>
    <w:p>
      <w:pPr>
        <w:pStyle w:val="Normal"/>
        <w:spacing w:lineRule="exact" w:line="3"/>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9"/>
        <w:ind w:firstLine="720" w:end="0"/>
        <w:jc w:val="both"/>
        <w:rPr/>
      </w:pPr>
      <w:r>
        <w:rPr>
          <w:rFonts w:eastAsia="Times New Roman" w:cs="Times New Roman" w:ascii="Times New Roman" w:hAnsi="Times New Roman"/>
          <w:sz w:val="24"/>
        </w:rPr>
        <w:t>To be eligible for consideration under the Home Affordable Foreclosure Alternatives Program (hereinafter “HAFA”), a borrower must first be eligible for the Home Affordable Modification Program (hereinafter “HAMP”). To be eligible for HAMP, the following criteria must be satisfied, namely:</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940" w:leader="none"/>
        </w:tabs>
        <w:spacing w:lineRule="atLeast" w:line="0"/>
        <w:ind w:hanging="220" w:start="940" w:end="0"/>
        <w:rPr>
          <w:rFonts w:ascii="Arial" w:hAnsi="Arial" w:eastAsia="Arial" w:cs="Arial"/>
          <w:sz w:val="24"/>
        </w:rPr>
      </w:pPr>
      <w:r>
        <w:rPr>
          <w:rFonts w:eastAsia="Times New Roman" w:cs="Times New Roman" w:ascii="Times New Roman" w:hAnsi="Times New Roman"/>
          <w:sz w:val="24"/>
        </w:rPr>
        <w:t xml:space="preserve">the property must be the </w:t>
      </w:r>
      <w:r>
        <w:rPr>
          <w:rFonts w:eastAsia="Times New Roman" w:cs="Times New Roman" w:ascii="Times New Roman" w:hAnsi="Times New Roman"/>
          <w:b/>
          <w:i/>
          <w:sz w:val="24"/>
        </w:rPr>
        <w:t>principal residence of the borrower</w:t>
      </w:r>
      <w:r>
        <w:rPr>
          <w:rFonts w:eastAsia="Times New Roman" w:cs="Times New Roman" w:ascii="Times New Roman" w:hAnsi="Times New Roman"/>
          <w:sz w:val="24"/>
        </w:rPr>
        <w:t>;</w:t>
      </w:r>
    </w:p>
    <w:p>
      <w:pPr>
        <w:pStyle w:val="Normal"/>
        <w:spacing w:lineRule="exact" w:line="7"/>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940" w:leader="none"/>
        </w:tabs>
        <w:spacing w:lineRule="atLeast" w:line="0"/>
        <w:ind w:hanging="220" w:start="940" w:end="0"/>
        <w:rPr>
          <w:rFonts w:ascii="Arial" w:hAnsi="Arial" w:eastAsia="Arial" w:cs="Arial"/>
          <w:sz w:val="24"/>
        </w:rPr>
      </w:pPr>
      <w:r>
        <w:rPr>
          <w:rFonts w:eastAsia="Times New Roman" w:cs="Times New Roman" w:ascii="Times New Roman" w:hAnsi="Times New Roman"/>
          <w:sz w:val="24"/>
        </w:rPr>
        <w:t>the mortgage originated prior to January 1, 2009;</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940" w:leader="none"/>
        </w:tabs>
        <w:spacing w:lineRule="atLeast" w:line="0"/>
        <w:ind w:hanging="220" w:start="940" w:end="0"/>
        <w:rPr>
          <w:rFonts w:ascii="Arial" w:hAnsi="Arial" w:eastAsia="Arial" w:cs="Arial"/>
          <w:sz w:val="24"/>
        </w:rPr>
      </w:pPr>
      <w:r>
        <w:rPr>
          <w:rFonts w:eastAsia="Times New Roman" w:cs="Times New Roman" w:ascii="Times New Roman" w:hAnsi="Times New Roman"/>
          <w:sz w:val="24"/>
        </w:rPr>
        <w:t>the mortgage is owned or guaranteed by Fannie Mae or Freddie Mac;*</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940" w:leader="none"/>
        </w:tabs>
        <w:spacing w:lineRule="atLeast" w:line="0"/>
        <w:ind w:hanging="220" w:start="940" w:end="0"/>
        <w:rPr>
          <w:rFonts w:ascii="Arial" w:hAnsi="Arial" w:eastAsia="Arial" w:cs="Arial"/>
          <w:sz w:val="24"/>
        </w:rPr>
      </w:pPr>
      <w:r>
        <w:rPr>
          <w:rFonts w:eastAsia="Times New Roman" w:cs="Times New Roman" w:ascii="Times New Roman" w:hAnsi="Times New Roman"/>
          <w:sz w:val="24"/>
        </w:rPr>
        <w:t>the borrower is delinquent or default is foreseeable;</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-15-</w:t>
      </w:r>
    </w:p>
    <w:p>
      <w:pPr>
        <w:sectPr>
          <w:type w:val="continuous"/>
          <w:pgSz w:w="12240" w:h="15840"/>
          <w:pgMar w:left="1440" w:right="1440" w:gutter="0" w:header="0" w:top="1270" w:footer="0" w:bottom="169"/>
          <w:formProt w:val="false"/>
          <w:textDirection w:val="lrTb"/>
          <w:docGrid w:type="default" w:linePitch="360" w:charSpace="0"/>
        </w:sectPr>
      </w:pPr>
    </w:p>
    <w:p>
      <w:pPr>
        <w:pStyle w:val="Normal"/>
        <w:numPr>
          <w:ilvl w:val="0"/>
          <w:numId w:val="10"/>
        </w:numPr>
        <w:tabs>
          <w:tab w:val="clear" w:pos="720"/>
          <w:tab w:val="left" w:pos="940" w:leader="none"/>
        </w:tabs>
        <w:spacing w:lineRule="atLeast" w:line="0"/>
        <w:ind w:hanging="220" w:start="940" w:end="0"/>
        <w:rPr>
          <w:rFonts w:ascii="Arial" w:hAnsi="Arial" w:eastAsia="Arial" w:cs="Arial"/>
          <w:sz w:val="24"/>
        </w:rPr>
      </w:pPr>
      <w:bookmarkStart w:id="18" w:name="page16"/>
      <w:bookmarkEnd w:id="18"/>
      <w:r>
        <w:rPr>
          <w:rFonts w:eastAsia="Times New Roman" w:cs="Times New Roman" w:ascii="Times New Roman" w:hAnsi="Times New Roman"/>
          <w:sz w:val="24"/>
        </w:rPr>
        <w:t>the borrower can demonstrate a hardship; and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0"/>
        </w:numPr>
        <w:tabs>
          <w:tab w:val="clear" w:pos="720"/>
          <w:tab w:val="left" w:pos="940" w:leader="none"/>
        </w:tabs>
        <w:spacing w:lineRule="atLeast" w:line="0"/>
        <w:ind w:hanging="220" w:start="940" w:end="0"/>
        <w:rPr>
          <w:rFonts w:ascii="Arial" w:hAnsi="Arial" w:eastAsia="Arial" w:cs="Arial"/>
          <w:sz w:val="24"/>
        </w:rPr>
      </w:pPr>
      <w:r>
        <w:rPr>
          <w:rFonts w:eastAsia="Times New Roman" w:cs="Times New Roman" w:ascii="Times New Roman" w:hAnsi="Times New Roman"/>
          <w:sz w:val="24"/>
        </w:rPr>
        <w:t>the principal amount of the mortgage is less than $729,750.00.</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Previously, the amount of the borrower’s total monthly mortgage payments (PITI and association fees) had to exceed 31% of the borrower’s gross income, but this requirement was eliminated (at least for non-GSE lenders/servicers) effective February 1, 2011. Property that is vacant or has been rented to a non-borrower for less than 12 months may still be eligible for HAFA so long as the borrower can document that it was his/her principal residence prior to relocation and s/he has not purchased any other residence within the 12 months prior to entering into a Short Sale Agreement with the servicer. The borrower no longer is required to document that his/her relocation was employment related.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left" w:pos="720" w:leader="none"/>
        </w:tabs>
        <w:spacing w:lineRule="auto" w:line="244"/>
        <w:ind w:hanging="180" w:start="720" w:end="720"/>
        <w:jc w:val="both"/>
        <w:rPr>
          <w:rFonts w:ascii="Times New Roman" w:hAnsi="Times New Roman" w:eastAsia="Times New Roman" w:cs="Times New Roman"/>
          <w:sz w:val="24"/>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all Fannie Mae and Freddie Mac lenders (i.e., GSE lenders = Government Sponsored Enterprise) are </w:t>
      </w:r>
      <w:r>
        <w:rPr>
          <w:rFonts w:eastAsia="Times New Roman" w:cs="Times New Roman" w:ascii="Times New Roman" w:hAnsi="Times New Roman"/>
          <w:i/>
          <w:sz w:val="24"/>
        </w:rPr>
        <w:t>required</w:t>
      </w:r>
      <w:r>
        <w:rPr>
          <w:rFonts w:eastAsia="Times New Roman" w:cs="Times New Roman" w:ascii="Times New Roman" w:hAnsi="Times New Roman"/>
          <w:sz w:val="24"/>
        </w:rPr>
        <w:t xml:space="preserve"> to participate in HAMP, and thus, generally, HAFA. Non-GSE servicers/lenders could participate, if they chose, by submitting a Servicer Participation Agreement (SPA) to Fannie Mae prior to October 3, 2010. A list of participating lenders with their contact information appears at the end of this Section.</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80" w:end="0"/>
        <w:jc w:val="both"/>
        <w:rPr/>
      </w:pPr>
      <w:r>
        <w:rPr>
          <w:rFonts w:eastAsia="Times New Roman" w:cs="Times New Roman" w:ascii="Times New Roman" w:hAnsi="Times New Roman"/>
          <w:sz w:val="24"/>
        </w:rPr>
        <w:t xml:space="preserve">A </w:t>
      </w:r>
      <w:r>
        <w:rPr>
          <w:rFonts w:eastAsia="Times New Roman" w:cs="Times New Roman" w:ascii="Times New Roman" w:hAnsi="Times New Roman"/>
          <w:i/>
          <w:sz w:val="24"/>
        </w:rPr>
        <w:t xml:space="preserve">borrower may initiate the evaluation process by submitting a </w:t>
      </w:r>
      <w:r>
        <w:rPr>
          <w:rFonts w:eastAsia="Times New Roman" w:cs="Times New Roman" w:ascii="Times New Roman" w:hAnsi="Times New Roman"/>
          <w:b/>
          <w:i/>
          <w:sz w:val="24"/>
        </w:rPr>
        <w:t>Request for Modification and Affidavit</w:t>
      </w:r>
      <w:r>
        <w:rPr>
          <w:rFonts w:eastAsia="Times New Roman" w:cs="Times New Roman" w:ascii="Times New Roman" w:hAnsi="Times New Roman"/>
          <w:sz w:val="24"/>
        </w:rPr>
        <w:t xml:space="preserve"> to the borrower’s servicer who will first assess whether the borrower</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qualifies for a loan modification under HAMP. If the borrower does not qualify for or does not successfully complete a Trial Period Plan, or the borrower misses two or more consecutive payments on a HAMP modified loan, then within thirty calendar days of the foregoing determination or event, the servicer must consider the borrower for HAFA. A borrower who meets the HAMP eligibility criteria may ask the lender to consider him/her for HAFA participation, rather than loan modification, and the servicer must respond to the borrower within thirty calendar days of the borrower’s request. </w:t>
      </w:r>
      <w:r>
        <w:rPr>
          <w:rFonts w:eastAsia="Times New Roman" w:cs="Times New Roman" w:ascii="Times New Roman" w:hAnsi="Times New Roman"/>
          <w:b/>
          <w:i/>
          <w:sz w:val="24"/>
        </w:rPr>
        <w:t>Note</w:t>
      </w:r>
      <w:r>
        <w:rPr>
          <w:rFonts w:eastAsia="Times New Roman" w:cs="Times New Roman" w:ascii="Times New Roman" w:hAnsi="Times New Roman"/>
          <w:sz w:val="24"/>
        </w:rPr>
        <w:t xml:space="preserve"> that the servicer may not suggest HAFA until it has first evaluated the borrower for HAMP, but a </w:t>
      </w:r>
      <w:r>
        <w:rPr>
          <w:rFonts w:eastAsia="Times New Roman" w:cs="Times New Roman" w:ascii="Times New Roman" w:hAnsi="Times New Roman"/>
          <w:i/>
          <w:sz w:val="24"/>
        </w:rPr>
        <w:t>borrower may initiate HAFA consideration by express request</w:t>
      </w:r>
      <w:r>
        <w:rPr>
          <w:rFonts w:eastAsia="Times New Roman" w:cs="Times New Roman" w:ascii="Times New Roman" w:hAnsi="Times New Roman"/>
          <w:sz w:val="24"/>
        </w:rPr>
        <w:t>, bypassing loan modification consideration.</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30"/>
        </w:rPr>
      </w:pPr>
      <w:r>
        <w:rPr>
          <w:rFonts w:eastAsia="Times New Roman" w:cs="Times New Roman" w:ascii="Times New Roman" w:hAnsi="Times New Roman"/>
          <w:b/>
          <w:sz w:val="30"/>
        </w:rPr>
        <w:t>HAFA Short Sales</w:t>
      </w:r>
    </w:p>
    <w:p>
      <w:pPr>
        <w:pStyle w:val="Normal"/>
        <w:spacing w:lineRule="exact" w:line="2"/>
        <w:rPr>
          <w:rFonts w:ascii="Times New Roman" w:hAnsi="Times New Roman" w:eastAsia="Times New Roman" w:cs="Times New Roman"/>
          <w:b/>
          <w:sz w:val="30"/>
        </w:rPr>
      </w:pPr>
      <w:r>
        <w:rPr>
          <w:rFonts w:eastAsia="Times New Roman" w:cs="Times New Roman" w:ascii="Times New Roman" w:hAnsi="Times New Roman"/>
          <w:b/>
          <w:sz w:val="30"/>
        </w:rPr>
      </w:r>
    </w:p>
    <w:p>
      <w:pPr>
        <w:pStyle w:val="Normal"/>
        <w:spacing w:lineRule="atLeast" w:line="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According to Supplemental Directive 09-09 Revised issued by the U.S. Treasury Department on March 26, 2010:</w:t>
      </w:r>
    </w:p>
    <w:p>
      <w:pPr>
        <w:pStyle w:val="Normal"/>
        <w:spacing w:lineRule="auto" w:line="242"/>
        <w:ind w:start="720" w:end="720"/>
        <w:jc w:val="both"/>
        <w:rPr>
          <w:rFonts w:ascii="Times New Roman" w:hAnsi="Times New Roman" w:eastAsia="Times New Roman" w:cs="Times New Roman"/>
          <w:sz w:val="24"/>
        </w:rPr>
      </w:pPr>
      <w:r>
        <w:rPr>
          <w:rFonts w:eastAsia="Times New Roman" w:cs="Times New Roman" w:ascii="Times New Roman" w:hAnsi="Times New Roman"/>
          <w:sz w:val="24"/>
        </w:rPr>
        <w:t>HAFA is part of HAMP and provides financial incentives to servicers and borrowers who utilize a short sale or a deed-in-lieu to avoid a foreclosure on an eligible loan under HAMP. Both of these foreclosure alternatives reduce the need for potentially lengthy and expensive foreclosure proceedings. The options help preserve the condition and value of the property by minimizing the time a property is vacant and subject to vandalism and deterioration. In addition, these options generally provide a substantially better outcome than a foreclosure sale for borrowers, investors and communities.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6"/>
        </w:rPr>
      </w:pPr>
      <w:r>
        <w:rPr>
          <w:rFonts w:eastAsia="Times New Roman" w:cs="Times New Roman" w:ascii="Times New Roman" w:hAnsi="Times New Roman"/>
          <w:b/>
          <w:sz w:val="26"/>
        </w:rPr>
        <w:t>Short Sale Agreement</w:t>
      </w:r>
    </w:p>
    <w:p>
      <w:pPr>
        <w:pStyle w:val="Normal"/>
        <w:spacing w:lineRule="auto" w:line="271"/>
        <w:ind w:firstLine="720" w:end="0"/>
        <w:rPr>
          <w:rFonts w:ascii="Times New Roman" w:hAnsi="Times New Roman" w:eastAsia="Times New Roman" w:cs="Times New Roman"/>
          <w:sz w:val="24"/>
        </w:rPr>
      </w:pPr>
      <w:r>
        <w:rPr>
          <w:rFonts w:eastAsia="Times New Roman" w:cs="Times New Roman" w:ascii="Times New Roman" w:hAnsi="Times New Roman"/>
          <w:sz w:val="24"/>
        </w:rPr>
        <w:t>All participating servicers/lenders must have a written HAFA Policy. Generally within 30 calendar days of a request for HAFA consideration, whether lender or borrower generated, the</w:t>
      </w:r>
    </w:p>
    <w:p>
      <w:pPr>
        <w:sectPr>
          <w:type w:val="nextPage"/>
          <w:pgSz w:w="12240" w:h="15840"/>
          <w:pgMar w:left="1440" w:right="1440" w:gutter="0" w:header="0" w:top="1272"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-16-</w:t>
      </w:r>
    </w:p>
    <w:p>
      <w:pPr>
        <w:sectPr>
          <w:type w:val="continuous"/>
          <w:pgSz w:w="12240" w:h="15840"/>
          <w:pgMar w:left="1440" w:right="1440" w:gutter="0" w:header="0" w:top="1272" w:footer="0" w:bottom="169"/>
          <w:formProt w:val="false"/>
          <w:textDirection w:val="lrTb"/>
          <w:docGrid w:type="default" w:linePitch="360" w:charSpace="0"/>
        </w:sectPr>
      </w:pPr>
    </w:p>
    <w:p>
      <w:pPr>
        <w:pStyle w:val="Normal"/>
        <w:spacing w:lineRule="auto" w:line="249"/>
        <w:jc w:val="both"/>
        <w:rPr/>
      </w:pPr>
      <w:bookmarkStart w:id="19" w:name="page17"/>
      <w:bookmarkEnd w:id="19"/>
      <w:r>
        <w:rPr>
          <w:rFonts w:eastAsia="Times New Roman" w:cs="Times New Roman" w:ascii="Times New Roman" w:hAnsi="Times New Roman"/>
          <w:sz w:val="24"/>
        </w:rPr>
        <w:t xml:space="preserve">servicer/lender must notify the borrower whether it has determined that attempting a short sale is in the best interests of the investor and, if so, what sale terms would be acceptable to the lender/servicer. Specifically, the servicer sends the borrower a </w:t>
      </w:r>
      <w:r>
        <w:rPr>
          <w:rFonts w:eastAsia="Times New Roman" w:cs="Times New Roman" w:ascii="Times New Roman" w:hAnsi="Times New Roman"/>
          <w:b/>
          <w:i/>
          <w:sz w:val="24"/>
        </w:rPr>
        <w:t>Short Sale Agreement (SSA)</w:t>
      </w:r>
      <w:r>
        <w:rPr>
          <w:rFonts w:eastAsia="Times New Roman" w:cs="Times New Roman" w:ascii="Times New Roman" w:hAnsi="Times New Roman"/>
          <w:sz w:val="24"/>
        </w:rPr>
        <w:t xml:space="preserve"> that by rule must address at least the following:</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950" w:leader="none"/>
        </w:tabs>
        <w:spacing w:lineRule="auto" w:line="254"/>
        <w:ind w:start="720" w:end="0"/>
        <w:jc w:val="both"/>
        <w:rPr>
          <w:rFonts w:ascii="Arial" w:hAnsi="Arial" w:eastAsia="Arial" w:cs="Arial"/>
          <w:sz w:val="24"/>
        </w:rPr>
      </w:pPr>
      <w:r>
        <w:rPr>
          <w:rFonts w:eastAsia="Times New Roman" w:cs="Times New Roman" w:ascii="Times New Roman" w:hAnsi="Times New Roman"/>
          <w:sz w:val="24"/>
        </w:rPr>
        <w:t>A fixed termination date not less than 120 days from the date the SSA is mailed to the borrower; the term may be extended at the servicer’s discretion up to a total of 12 months, with the borrower’s consent.</w:t>
      </w:r>
    </w:p>
    <w:p>
      <w:pPr>
        <w:pStyle w:val="Normal"/>
        <w:spacing w:lineRule="exact" w:line="225"/>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974" w:leader="none"/>
        </w:tabs>
        <w:spacing w:lineRule="auto" w:line="268"/>
        <w:ind w:start="720" w:end="0"/>
        <w:rPr>
          <w:rFonts w:ascii="Arial" w:hAnsi="Arial" w:eastAsia="Arial" w:cs="Arial"/>
          <w:sz w:val="24"/>
        </w:rPr>
      </w:pPr>
      <w:r>
        <w:rPr>
          <w:rFonts w:eastAsia="Times New Roman" w:cs="Times New Roman" w:ascii="Times New Roman" w:hAnsi="Times New Roman"/>
          <w:sz w:val="24"/>
        </w:rPr>
        <w:t>The property must be listed with a licensed real estate broker doing business in the community where the property is located.</w:t>
      </w:r>
    </w:p>
    <w:p>
      <w:pPr>
        <w:pStyle w:val="Normal"/>
        <w:spacing w:lineRule="exact" w:line="205"/>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967" w:leader="none"/>
        </w:tabs>
        <w:spacing w:lineRule="auto" w:line="268"/>
        <w:ind w:start="720" w:end="0"/>
        <w:rPr>
          <w:rFonts w:ascii="Arial" w:hAnsi="Arial" w:eastAsia="Arial" w:cs="Arial"/>
          <w:sz w:val="24"/>
        </w:rPr>
      </w:pPr>
      <w:r>
        <w:rPr>
          <w:rFonts w:eastAsia="Times New Roman" w:cs="Times New Roman" w:ascii="Times New Roman" w:hAnsi="Times New Roman"/>
          <w:sz w:val="24"/>
        </w:rPr>
        <w:t>What an acceptable price is, expressed either as a list price or as acceptable net sale proceeds after subtracting specified costs allowed by the lender/servicer.</w:t>
      </w:r>
    </w:p>
    <w:p>
      <w:pPr>
        <w:pStyle w:val="Normal"/>
        <w:spacing w:lineRule="exact" w:line="205"/>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955" w:leader="none"/>
        </w:tabs>
        <w:spacing w:lineRule="auto" w:line="268"/>
        <w:ind w:start="720" w:end="0"/>
        <w:rPr>
          <w:rFonts w:ascii="Arial" w:hAnsi="Arial" w:eastAsia="Arial" w:cs="Arial"/>
          <w:sz w:val="24"/>
        </w:rPr>
      </w:pPr>
      <w:r>
        <w:rPr>
          <w:rFonts w:eastAsia="Times New Roman" w:cs="Times New Roman" w:ascii="Times New Roman" w:hAnsi="Times New Roman"/>
          <w:sz w:val="24"/>
        </w:rPr>
        <w:t>The amount of closing costs or other expenses the servicer will permit to be deducted from the gross sale proceeds.</w:t>
      </w:r>
    </w:p>
    <w:p>
      <w:pPr>
        <w:pStyle w:val="Normal"/>
        <w:spacing w:lineRule="exact" w:line="205"/>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948" w:leader="none"/>
        </w:tabs>
        <w:spacing w:lineRule="auto" w:line="254"/>
        <w:ind w:start="720" w:end="0"/>
        <w:jc w:val="both"/>
        <w:rPr>
          <w:rFonts w:ascii="Arial" w:hAnsi="Arial" w:eastAsia="Arial" w:cs="Arial"/>
          <w:sz w:val="24"/>
        </w:rPr>
      </w:pPr>
      <w:r>
        <w:rPr>
          <w:rFonts w:eastAsia="Times New Roman" w:cs="Times New Roman" w:ascii="Times New Roman" w:hAnsi="Times New Roman"/>
          <w:sz w:val="24"/>
        </w:rPr>
        <w:t>The amount of the real estate commission it will allow to be paid, but it cannot require that a commission equal to or less than six percent of the contract sales price be further reduced.</w:t>
      </w:r>
    </w:p>
    <w:p>
      <w:pPr>
        <w:pStyle w:val="Normal"/>
        <w:spacing w:lineRule="exact" w:line="225"/>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1020" w:leader="none"/>
        </w:tabs>
        <w:spacing w:lineRule="atLeast" w:line="0"/>
        <w:ind w:start="720" w:end="0"/>
        <w:jc w:val="both"/>
        <w:rPr>
          <w:rFonts w:ascii="Arial" w:hAnsi="Arial" w:eastAsia="Arial" w:cs="Arial"/>
          <w:sz w:val="24"/>
        </w:rPr>
      </w:pPr>
      <w:r>
        <w:rPr>
          <w:rFonts w:eastAsia="Times New Roman" w:cs="Times New Roman" w:ascii="Times New Roman" w:hAnsi="Times New Roman"/>
          <w:sz w:val="24"/>
        </w:rPr>
        <w:t>Permission from the borrower allowing the servicer to share personal financial information about the borrower with the U.S. Treasury and its agents as necessary to conclude the transaction.</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950" w:leader="none"/>
        </w:tabs>
        <w:spacing w:lineRule="auto" w:line="254"/>
        <w:ind w:start="720" w:end="0"/>
        <w:jc w:val="both"/>
        <w:rPr>
          <w:rFonts w:ascii="Arial" w:hAnsi="Arial" w:eastAsia="Arial" w:cs="Arial"/>
          <w:sz w:val="24"/>
        </w:rPr>
      </w:pPr>
      <w:r>
        <w:rPr>
          <w:rFonts w:eastAsia="Times New Roman" w:cs="Times New Roman" w:ascii="Times New Roman" w:hAnsi="Times New Roman"/>
          <w:sz w:val="24"/>
        </w:rPr>
        <w:t xml:space="preserve">Notice that the sale must be an arm’s length transaction (with certification language in the contract to this effect) and that the </w:t>
      </w:r>
      <w:r>
        <w:rPr>
          <w:rFonts w:eastAsia="Times New Roman" w:cs="Times New Roman" w:ascii="Times New Roman" w:hAnsi="Times New Roman"/>
          <w:i/>
          <w:sz w:val="24"/>
        </w:rPr>
        <w:t>buyer cannot resell for at least 90 days after closing</w:t>
      </w:r>
      <w:r>
        <w:rPr>
          <w:rFonts w:eastAsia="Times New Roman" w:cs="Times New Roman" w:ascii="Times New Roman" w:hAnsi="Times New Roman"/>
          <w:sz w:val="24"/>
        </w:rPr>
        <w:t>.</w:t>
      </w:r>
    </w:p>
    <w:p>
      <w:pPr>
        <w:pStyle w:val="Normal"/>
        <w:spacing w:lineRule="exact" w:line="223"/>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1039" w:leader="none"/>
        </w:tabs>
        <w:spacing w:lineRule="auto" w:line="268"/>
        <w:ind w:start="720" w:end="0"/>
        <w:rPr>
          <w:rFonts w:ascii="Arial" w:hAnsi="Arial" w:eastAsia="Arial" w:cs="Arial"/>
          <w:sz w:val="24"/>
        </w:rPr>
      </w:pPr>
      <w:r>
        <w:rPr>
          <w:rFonts w:eastAsia="Times New Roman" w:cs="Times New Roman" w:ascii="Times New Roman" w:hAnsi="Times New Roman"/>
          <w:sz w:val="24"/>
        </w:rPr>
        <w:t>Cancellation and contingency clauses in listing and sale agreements notifying prospective purchasers that the sale is subject to servicer/third party approval.</w:t>
      </w:r>
    </w:p>
    <w:p>
      <w:pPr>
        <w:pStyle w:val="Normal"/>
        <w:spacing w:lineRule="exact" w:line="202"/>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962" w:leader="none"/>
        </w:tabs>
        <w:spacing w:lineRule="auto" w:line="247"/>
        <w:ind w:start="720" w:end="0"/>
        <w:jc w:val="both"/>
        <w:rPr>
          <w:rFonts w:ascii="Arial" w:hAnsi="Arial" w:eastAsia="Arial" w:cs="Arial"/>
          <w:sz w:val="24"/>
        </w:rPr>
      </w:pPr>
      <w:r>
        <w:rPr>
          <w:rFonts w:eastAsia="Times New Roman" w:cs="Times New Roman" w:ascii="Times New Roman" w:hAnsi="Times New Roman"/>
          <w:sz w:val="24"/>
        </w:rPr>
        <w:t xml:space="preserve">An agreement that upon a successful closing acceptable to the servicer, the </w:t>
      </w:r>
      <w:r>
        <w:rPr>
          <w:rFonts w:eastAsia="Times New Roman" w:cs="Times New Roman" w:ascii="Times New Roman" w:hAnsi="Times New Roman"/>
          <w:i/>
          <w:sz w:val="24"/>
        </w:rPr>
        <w:t>borrower will be released from all liability on the underlying first mortgage debt</w:t>
      </w:r>
      <w:r>
        <w:rPr>
          <w:rFonts w:eastAsia="Times New Roman" w:cs="Times New Roman" w:ascii="Times New Roman" w:hAnsi="Times New Roman"/>
          <w:sz w:val="24"/>
        </w:rPr>
        <w:t>. However, the</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SSA also must include a </w:t>
      </w:r>
      <w:r>
        <w:rPr>
          <w:rFonts w:eastAsia="Times New Roman" w:cs="Times New Roman" w:ascii="Times New Roman" w:hAnsi="Times New Roman"/>
          <w:b/>
          <w:i/>
          <w:sz w:val="24"/>
        </w:rPr>
        <w:t>notice</w:t>
      </w:r>
      <w:r>
        <w:rPr>
          <w:rFonts w:eastAsia="Times New Roman" w:cs="Times New Roman" w:ascii="Times New Roman" w:hAnsi="Times New Roman"/>
          <w:sz w:val="24"/>
        </w:rPr>
        <w:t xml:space="preserve"> to the borrower that there may be </w:t>
      </w:r>
      <w:r>
        <w:rPr>
          <w:rFonts w:eastAsia="Times New Roman" w:cs="Times New Roman" w:ascii="Times New Roman" w:hAnsi="Times New Roman"/>
          <w:i/>
          <w:sz w:val="24"/>
        </w:rPr>
        <w:t>income tax consequences</w:t>
      </w:r>
      <w:r>
        <w:rPr>
          <w:rFonts w:eastAsia="Times New Roman" w:cs="Times New Roman" w:ascii="Times New Roman" w:hAnsi="Times New Roman"/>
          <w:sz w:val="24"/>
        </w:rPr>
        <w:t xml:space="preserve"> resulting from the short sale and it may negatively impact the borrower’s</w:t>
      </w:r>
      <w:r>
        <w:rPr>
          <w:rFonts w:eastAsia="Times New Roman" w:cs="Times New Roman" w:ascii="Times New Roman" w:hAnsi="Times New Roman"/>
          <w:i/>
          <w:sz w:val="24"/>
        </w:rPr>
        <w:t xml:space="preserve"> </w:t>
      </w:r>
      <w:r>
        <w:rPr>
          <w:rFonts w:eastAsia="Times New Roman" w:cs="Times New Roman" w:ascii="Times New Roman" w:hAnsi="Times New Roman"/>
          <w:sz w:val="24"/>
        </w:rPr>
        <w:t>credit score and the borrower should seek professional advice concerning these matters.</w:t>
      </w:r>
    </w:p>
    <w:p>
      <w:pPr>
        <w:pStyle w:val="Normal"/>
        <w:spacing w:lineRule="exact" w:line="235"/>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958" w:leader="none"/>
        </w:tabs>
        <w:spacing w:lineRule="auto" w:line="268"/>
        <w:ind w:start="720" w:end="0"/>
        <w:rPr>
          <w:rFonts w:ascii="Arial" w:hAnsi="Arial" w:eastAsia="Arial" w:cs="Arial"/>
          <w:sz w:val="24"/>
        </w:rPr>
      </w:pPr>
      <w:r>
        <w:rPr>
          <w:rFonts w:eastAsia="Times New Roman" w:cs="Times New Roman" w:ascii="Times New Roman" w:hAnsi="Times New Roman"/>
          <w:sz w:val="24"/>
        </w:rPr>
        <w:t>An agreement that upon a successful closing, the borrower may be entitled to receive from the gross sale proceeds a $3,000 relocation incentive.</w:t>
      </w:r>
    </w:p>
    <w:p>
      <w:pPr>
        <w:pStyle w:val="Normal"/>
        <w:spacing w:lineRule="exact" w:line="205"/>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953" w:leader="none"/>
        </w:tabs>
        <w:spacing w:lineRule="auto" w:line="268"/>
        <w:ind w:start="720" w:end="0"/>
        <w:rPr>
          <w:rFonts w:ascii="Arial" w:hAnsi="Arial" w:eastAsia="Arial" w:cs="Arial"/>
          <w:sz w:val="24"/>
        </w:rPr>
      </w:pPr>
      <w:r>
        <w:rPr>
          <w:rFonts w:eastAsia="Times New Roman" w:cs="Times New Roman" w:ascii="Times New Roman" w:hAnsi="Times New Roman"/>
          <w:sz w:val="24"/>
        </w:rPr>
        <w:t>Notice regarding the extent to which the servicer will allow a portion of the gross sale proceeds to be paid to junior lienholders in exchange for a release of their liens.</w:t>
      </w:r>
    </w:p>
    <w:p>
      <w:pPr>
        <w:pStyle w:val="Normal"/>
        <w:spacing w:lineRule="exact" w:line="205"/>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962" w:leader="none"/>
        </w:tabs>
        <w:spacing w:lineRule="auto" w:line="268"/>
        <w:ind w:start="720" w:end="0"/>
        <w:rPr>
          <w:rFonts w:ascii="Arial" w:hAnsi="Arial" w:eastAsia="Arial" w:cs="Arial"/>
          <w:sz w:val="24"/>
        </w:rPr>
      </w:pPr>
      <w:r>
        <w:rPr>
          <w:rFonts w:eastAsia="Times New Roman" w:cs="Times New Roman" w:ascii="Times New Roman" w:hAnsi="Times New Roman"/>
          <w:sz w:val="24"/>
        </w:rPr>
        <w:t>The amount of the monthly mortgage payment, if any, the borrower must pay during the period of the SSA.</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-17-</w:t>
      </w:r>
    </w:p>
    <w:p>
      <w:pPr>
        <w:sectPr>
          <w:type w:val="continuous"/>
          <w:pgSz w:w="12240" w:h="15840"/>
          <w:pgMar w:left="1440" w:right="1440" w:gutter="0" w:header="0" w:top="1270" w:footer="0" w:bottom="169"/>
          <w:formProt w:val="false"/>
          <w:textDirection w:val="lrTb"/>
          <w:docGrid w:type="default" w:linePitch="360" w:charSpace="0"/>
        </w:sectPr>
      </w:pPr>
    </w:p>
    <w:p>
      <w:pPr>
        <w:pStyle w:val="Normal"/>
        <w:numPr>
          <w:ilvl w:val="0"/>
          <w:numId w:val="13"/>
        </w:numPr>
        <w:tabs>
          <w:tab w:val="clear" w:pos="720"/>
          <w:tab w:val="left" w:pos="940" w:leader="none"/>
        </w:tabs>
        <w:spacing w:lineRule="atLeast" w:line="0"/>
        <w:ind w:hanging="220" w:start="940" w:end="0"/>
        <w:rPr>
          <w:rFonts w:ascii="Arial" w:hAnsi="Arial" w:eastAsia="Arial" w:cs="Arial"/>
          <w:sz w:val="24"/>
        </w:rPr>
      </w:pPr>
      <w:bookmarkStart w:id="20" w:name="page18"/>
      <w:bookmarkEnd w:id="20"/>
      <w:r>
        <w:rPr>
          <w:rFonts w:eastAsia="Times New Roman" w:cs="Times New Roman" w:ascii="Times New Roman" w:hAnsi="Times New Roman"/>
          <w:sz w:val="24"/>
        </w:rPr>
        <w:t>Terms under which the SSA may be terminated.</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end="0"/>
        <w:jc w:val="both"/>
        <w:rPr/>
      </w:pPr>
      <w:r>
        <w:rPr>
          <w:rFonts w:eastAsia="Times New Roman" w:cs="Times New Roman" w:ascii="Times New Roman" w:hAnsi="Times New Roman"/>
          <w:sz w:val="24"/>
        </w:rPr>
        <w:t xml:space="preserve">A form Short Sale Agreement used by participating HAFA servicers may be found at </w:t>
      </w:r>
      <w:hyperlink r:id="rId2">
        <w:r>
          <w:rPr>
            <w:rStyle w:val="Hyperlink"/>
            <w:rFonts w:eastAsia="Times New Roman" w:cs="Times New Roman" w:ascii="Times New Roman" w:hAnsi="Times New Roman"/>
            <w:color w:val="0000FF"/>
            <w:sz w:val="24"/>
            <w:u w:val="single"/>
          </w:rPr>
          <w:t>www.hafahelp.info</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or at</w:t>
      </w:r>
      <w:r>
        <w:rPr>
          <w:rFonts w:eastAsia="Times New Roman" w:cs="Times New Roman" w:ascii="Times New Roman" w:hAnsi="Times New Roman"/>
          <w:color w:val="0000FF"/>
          <w:sz w:val="24"/>
        </w:rPr>
        <w:t xml:space="preserve"> </w:t>
      </w:r>
      <w:hyperlink r:id="rId3">
        <w:r>
          <w:rPr>
            <w:rStyle w:val="Hyperlink"/>
            <w:rFonts w:eastAsia="Times New Roman" w:cs="Times New Roman" w:ascii="Times New Roman" w:hAnsi="Times New Roman"/>
            <w:color w:val="0000FF"/>
            <w:sz w:val="24"/>
            <w:u w:val="single"/>
          </w:rPr>
          <w:t>www.hafaprogram.com</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and click on HAFA Forms. The SSA is a six or</w:t>
      </w:r>
      <w:r>
        <w:rPr>
          <w:rFonts w:eastAsia="Times New Roman" w:cs="Times New Roman" w:ascii="Times New Roman" w:hAnsi="Times New Roman"/>
          <w:color w:val="0000FF"/>
          <w:sz w:val="24"/>
          <w:u w:val="single"/>
        </w:rPr>
        <w:t xml:space="preserve"> </w:t>
      </w:r>
      <w:r>
        <w:rPr>
          <w:rFonts w:eastAsia="Times New Roman" w:cs="Times New Roman" w:ascii="Times New Roman" w:hAnsi="Times New Roman"/>
          <w:color w:val="000000"/>
          <w:sz w:val="24"/>
        </w:rPr>
        <w:t xml:space="preserve">seven page form that a borrower must sign and return to the servicer within </w:t>
      </w:r>
      <w:r>
        <w:rPr>
          <w:rFonts w:eastAsia="Times New Roman" w:cs="Times New Roman" w:ascii="Times New Roman" w:hAnsi="Times New Roman"/>
          <w:b/>
          <w:i/>
          <w:color w:val="000000"/>
          <w:sz w:val="24"/>
        </w:rPr>
        <w:t>14 days</w:t>
      </w:r>
      <w:r>
        <w:rPr>
          <w:rFonts w:eastAsia="Times New Roman" w:cs="Times New Roman" w:ascii="Times New Roman" w:hAnsi="Times New Roman"/>
          <w:i/>
          <w:color w:val="000000"/>
          <w:sz w:val="24"/>
        </w:rPr>
        <w:t xml:space="preserve"> of the effective date</w:t>
      </w:r>
      <w:r>
        <w:rPr>
          <w:rFonts w:eastAsia="Times New Roman" w:cs="Times New Roman" w:ascii="Times New Roman" w:hAnsi="Times New Roman"/>
          <w:color w:val="000000"/>
          <w:sz w:val="24"/>
        </w:rPr>
        <w:t xml:space="preserve"> (defined as the date on which the SSA is first sent to the borrower by the servicer).</w:t>
      </w:r>
      <w:r>
        <w:rPr>
          <w:rFonts w:eastAsia="Times New Roman" w:cs="Times New Roman" w:ascii="Times New Roman" w:hAnsi="Times New Roman"/>
          <w:i/>
          <w:color w:val="000000"/>
          <w:sz w:val="24"/>
        </w:rPr>
        <w:t xml:space="preserve"> </w:t>
      </w:r>
      <w:r>
        <w:rPr>
          <w:rFonts w:eastAsia="Times New Roman" w:cs="Times New Roman" w:ascii="Times New Roman" w:hAnsi="Times New Roman"/>
          <w:color w:val="000000"/>
          <w:sz w:val="24"/>
        </w:rPr>
        <w:t>In addition to the signed SSA, the borrower also must send the servicer a copy of the listing agreement with a real estate broker and any information regarding junior liens. In accepting a SSA, the borrower agrees to cooperate with the real estate broker, to provide any information requested by the servicer, to make the monthly mortgage payment, if any, and to use best efforts to maintain the interior and exterior of the property in marketable condition. Short Sale Agreements signed by both servicer and borrower prior to December 31, 2012 will be eligible for HAFA program treatment, although the program is scheduled to expire on that date. Note too that a recent directive issued August 9, 2011 clarifies that the borrower’s 14 day response period is intended to establish a minimum time frame and that servicers may still consider a borrower’s eligibility regardless of whether the borrower responds within 14 days.</w:t>
      </w:r>
    </w:p>
    <w:p>
      <w:pPr>
        <w:pStyle w:val="Normal"/>
        <w:spacing w:lineRule="exact" w:line="244"/>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ind w:firstLine="720" w:end="0"/>
        <w:jc w:val="both"/>
        <w:rPr/>
      </w:pPr>
      <w:r>
        <w:rPr>
          <w:rFonts w:eastAsia="Times New Roman" w:cs="Times New Roman" w:ascii="Times New Roman" w:hAnsi="Times New Roman"/>
          <w:sz w:val="24"/>
        </w:rPr>
        <w:t xml:space="preserve">Once the borrower and servicer have entered into a Short Sale Agreement, the servicer may not increase the minimum acceptable net proceeds stated in the SSA until the initial SSA termination date is reached. Further, the servicer is required to accept a purchase offer if the net sales proceeds will equal or exceed the minimum net sale proceeds specified in the SSA or pursuant to a new verbal value determination resulting from a periodic re-evaluation when the property value has decreased. [See Sections 7.1 and 7.8 of Chapter IV, version 3.2 (June 2011) of the </w:t>
      </w:r>
      <w:r>
        <w:rPr>
          <w:rFonts w:eastAsia="Times New Roman" w:cs="Times New Roman" w:ascii="Times New Roman" w:hAnsi="Times New Roman"/>
          <w:i/>
          <w:sz w:val="24"/>
        </w:rPr>
        <w:t>Making Home Affordable Program Handbook for Servicers of Non-GSE Mortgages</w:t>
      </w:r>
      <w:r>
        <w:rPr>
          <w:rFonts w:eastAsia="Times New Roman" w:cs="Times New Roman" w:ascii="Times New Roman" w:hAnsi="Times New Roman"/>
          <w:sz w:val="24"/>
        </w:rPr>
        <w:t>.]</w:t>
      </w:r>
    </w:p>
    <w:p>
      <w:pPr>
        <w:pStyle w:val="Normal"/>
        <w:spacing w:lineRule="auto" w:line="237"/>
        <w:ind w:start="720" w:end="0"/>
        <w:rPr>
          <w:rFonts w:ascii="Times New Roman" w:hAnsi="Times New Roman" w:eastAsia="Times New Roman" w:cs="Times New Roman"/>
          <w:b/>
          <w:sz w:val="26"/>
        </w:rPr>
      </w:pPr>
      <w:r>
        <w:rPr>
          <w:rFonts w:eastAsia="Times New Roman" w:cs="Times New Roman" w:ascii="Times New Roman" w:hAnsi="Times New Roman"/>
          <w:b/>
          <w:sz w:val="26"/>
        </w:rPr>
        <w:t>Benefits to Real Estate Broker</w:t>
      </w:r>
    </w:p>
    <w:p>
      <w:pPr>
        <w:pStyle w:val="Normal"/>
        <w:spacing w:lineRule="auto" w:line="242"/>
        <w:ind w:firstLine="720" w:end="0"/>
        <w:jc w:val="both"/>
        <w:rPr/>
      </w:pPr>
      <w:r>
        <w:rPr>
          <w:rFonts w:eastAsia="Times New Roman" w:cs="Times New Roman" w:ascii="Times New Roman" w:hAnsi="Times New Roman"/>
          <w:sz w:val="24"/>
        </w:rPr>
        <w:t>Some of the benefits to a real estate broker whose seller has a HAFA Short Sale Agreement with his/her servicer include knowledge going into the transaction of what the servicer’s “bottom line” is, what expenses it will allow to be paid from the gross sale proceeds, and the servicer’s inability to compel a real estate broker to reduce the commission below 6% of the sales price. Understand that the listing commission may be whatever amount the broker and seller-principal mutually agree; so long as it is equal to or less than 6% of the contract price, the servicer can not require the broker to lower the commission as a condition of approving the sale; however, if the listing agreement provides for a commission exceeding 6%, then the servicer may refuse to allow the amount in excess of 6% to be paid from the gross sale proceeds.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6"/>
        </w:rPr>
      </w:pPr>
      <w:r>
        <w:rPr>
          <w:rFonts w:eastAsia="Times New Roman" w:cs="Times New Roman" w:ascii="Times New Roman" w:hAnsi="Times New Roman"/>
          <w:b/>
          <w:sz w:val="26"/>
        </w:rPr>
        <w:t>Requests for Short Sale Approval</w:t>
      </w:r>
    </w:p>
    <w:p>
      <w:pPr>
        <w:pStyle w:val="Normal"/>
        <w:spacing w:lineRule="auto" w:line="237"/>
        <w:ind w:firstLine="720" w:end="0"/>
        <w:jc w:val="both"/>
        <w:rPr/>
      </w:pPr>
      <w:r>
        <w:rPr>
          <w:rFonts w:eastAsia="Times New Roman" w:cs="Times New Roman" w:ascii="Times New Roman" w:hAnsi="Times New Roman"/>
          <w:sz w:val="24"/>
        </w:rPr>
        <w:t xml:space="preserve">The SSA establishes the parameters for the transaction and may minimize the amount of contact or negotiation needed with the servicer during the marketing phase, since terms acceptable to the servicer already have been identified. In addition to receiving a copy of the SSA, the borrower also will receive a </w:t>
      </w:r>
      <w:r>
        <w:rPr>
          <w:rFonts w:eastAsia="Times New Roman" w:cs="Times New Roman" w:ascii="Times New Roman" w:hAnsi="Times New Roman"/>
          <w:b/>
          <w:i/>
          <w:sz w:val="24"/>
        </w:rPr>
        <w:t>Request for Approval of Short Sale (RASS)</w:t>
      </w:r>
      <w:r>
        <w:rPr>
          <w:rFonts w:eastAsia="Times New Roman" w:cs="Times New Roman" w:ascii="Times New Roman" w:hAnsi="Times New Roman"/>
          <w:sz w:val="24"/>
        </w:rPr>
        <w:t xml:space="preserve"> form from the servicer to use in transmitting information regarding terms of proposed offers to the servicer. The instructions are slightly confusing. One section states that the borrower or listing broker should deliver a RASS to the servicer “... within three business days following receipt of an </w:t>
      </w:r>
      <w:r>
        <w:rPr>
          <w:rFonts w:eastAsia="Times New Roman" w:cs="Times New Roman" w:ascii="Times New Roman" w:hAnsi="Times New Roman"/>
          <w:i/>
          <w:sz w:val="24"/>
        </w:rPr>
        <w:t>executed purchase offer</w:t>
      </w:r>
      <w:r>
        <w:rPr>
          <w:rFonts w:eastAsia="Times New Roman" w:cs="Times New Roman" w:ascii="Times New Roman" w:hAnsi="Times New Roman"/>
          <w:sz w:val="24"/>
        </w:rPr>
        <w:t xml:space="preserve"> ....” Yet the completed RASS is to be sent to the servicer along with “...</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jc w:val="both"/>
        <w:rPr/>
      </w:pPr>
      <w:r>
        <w:rPr>
          <w:rFonts w:eastAsia="Times New Roman" w:cs="Times New Roman" w:ascii="Times New Roman" w:hAnsi="Times New Roman"/>
          <w:sz w:val="24"/>
        </w:rPr>
        <w:t xml:space="preserve">a copy of the executed </w:t>
      </w:r>
      <w:r>
        <w:rPr>
          <w:rFonts w:eastAsia="Times New Roman" w:cs="Times New Roman" w:ascii="Times New Roman" w:hAnsi="Times New Roman"/>
          <w:i/>
          <w:sz w:val="24"/>
        </w:rPr>
        <w:t>sales contract</w:t>
      </w:r>
      <w:r>
        <w:rPr>
          <w:rFonts w:eastAsia="Times New Roman" w:cs="Times New Roman" w:ascii="Times New Roman" w:hAnsi="Times New Roman"/>
          <w:sz w:val="24"/>
        </w:rPr>
        <w:t xml:space="preserve"> and all addenda ...,” as well as </w:t>
      </w:r>
      <w:r>
        <w:rPr>
          <w:rFonts w:eastAsia="Times New Roman" w:cs="Times New Roman" w:ascii="Times New Roman" w:hAnsi="Times New Roman"/>
          <w:i/>
          <w:sz w:val="24"/>
        </w:rPr>
        <w:t>proof of the buyer’s funds or a pre-approval or commitment letter and any information regarding negotiations with junior</w:t>
      </w:r>
    </w:p>
    <w:p>
      <w:pPr>
        <w:sectPr>
          <w:type w:val="nextPage"/>
          <w:pgSz w:w="12240" w:h="15840"/>
          <w:pgMar w:left="1440" w:right="1440" w:gutter="0" w:header="0" w:top="1272"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-18-</w:t>
      </w:r>
    </w:p>
    <w:p>
      <w:pPr>
        <w:sectPr>
          <w:type w:val="continuous"/>
          <w:pgSz w:w="12240" w:h="15840"/>
          <w:pgMar w:left="1440" w:right="1440" w:gutter="0" w:header="0" w:top="1272" w:footer="0" w:bottom="169"/>
          <w:formProt w:val="false"/>
          <w:textDirection w:val="lrTb"/>
          <w:docGrid w:type="default" w:linePitch="360" w:charSpace="0"/>
        </w:sectPr>
      </w:pPr>
    </w:p>
    <w:p>
      <w:pPr>
        <w:pStyle w:val="Normal"/>
        <w:spacing w:lineRule="auto" w:line="276"/>
        <w:jc w:val="both"/>
        <w:rPr/>
      </w:pPr>
      <w:bookmarkStart w:id="21" w:name="page19"/>
      <w:bookmarkEnd w:id="21"/>
      <w:r>
        <w:rPr>
          <w:rFonts w:eastAsia="Times New Roman" w:cs="Times New Roman" w:ascii="Times New Roman" w:hAnsi="Times New Roman"/>
          <w:i/>
          <w:sz w:val="24"/>
        </w:rPr>
        <w:t>lienholders</w:t>
      </w:r>
      <w:r>
        <w:rPr>
          <w:rFonts w:eastAsia="Times New Roman" w:cs="Times New Roman" w:ascii="Times New Roman" w:hAnsi="Times New Roman"/>
          <w:sz w:val="24"/>
        </w:rPr>
        <w:t xml:space="preserve">. The servicer is to notify the borrower of approval or rejection within </w:t>
      </w:r>
      <w:r>
        <w:rPr>
          <w:rFonts w:eastAsia="Times New Roman" w:cs="Times New Roman" w:ascii="Times New Roman" w:hAnsi="Times New Roman"/>
          <w:b/>
          <w:i/>
          <w:sz w:val="24"/>
        </w:rPr>
        <w:t>ten days</w:t>
      </w:r>
      <w:r>
        <w:rPr>
          <w:rFonts w:eastAsia="Times New Roman" w:cs="Times New Roman" w:ascii="Times New Roman" w:hAnsi="Times New Roman"/>
          <w:sz w:val="24"/>
        </w:rPr>
        <w:t xml:space="preserve"> of receiving the RASS and accompanying documents.</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80" w:end="0"/>
        <w:jc w:val="both"/>
        <w:rPr/>
      </w:pPr>
      <w:r>
        <w:rPr>
          <w:rFonts w:eastAsia="Times New Roman" w:cs="Times New Roman" w:ascii="Times New Roman" w:hAnsi="Times New Roman"/>
          <w:sz w:val="24"/>
        </w:rPr>
        <w:t xml:space="preserve">A related form is the </w:t>
      </w:r>
      <w:r>
        <w:rPr>
          <w:rFonts w:eastAsia="Times New Roman" w:cs="Times New Roman" w:ascii="Times New Roman" w:hAnsi="Times New Roman"/>
          <w:b/>
          <w:i/>
          <w:sz w:val="24"/>
        </w:rPr>
        <w:t>Alternative Request for Approval of Short Sale (Alternative RASS)</w:t>
      </w:r>
      <w:r>
        <w:rPr>
          <w:rFonts w:eastAsia="Times New Roman" w:cs="Times New Roman" w:ascii="Times New Roman" w:hAnsi="Times New Roman"/>
          <w:sz w:val="24"/>
        </w:rPr>
        <w:t>. This form is used when the borrower-owner already has accepted an offer and is under</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contract to sell, but either has not previously applied to the servicer for HAMP/HAFA consideration, or the servicer is still considering the borrower’s application and has not yet approved the terms of a SSA. The servicer must first evaluate the borrower’s eligibility and will require a Request for Modification and Affidavit or similar documents, in addition to the Alternative RASS with the same information and documents that are to accompany a RASS. If the borrower qualifies for HAMP, the servicer must first notify the borrower that a loan modification may be available and allow the borrower 14 days to request consideration for a HAMP modification. If the borrower does not wish to be considered for a loan modification, the servicer may proceed to assess the parties’ contract without first having to enter into a SSA with the borrower. The servicer must notify the borrower of approval or disapproval of the contract within </w:t>
      </w:r>
      <w:r>
        <w:rPr>
          <w:rFonts w:eastAsia="Times New Roman" w:cs="Times New Roman" w:ascii="Times New Roman" w:hAnsi="Times New Roman"/>
          <w:i/>
          <w:sz w:val="24"/>
        </w:rPr>
        <w:t>thirty calendar days</w:t>
      </w:r>
      <w:r>
        <w:rPr>
          <w:rFonts w:eastAsia="Times New Roman" w:cs="Times New Roman" w:ascii="Times New Roman" w:hAnsi="Times New Roman"/>
          <w:sz w:val="24"/>
        </w:rPr>
        <w:t xml:space="preserve"> from receipt of the Alternative RASS.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6"/>
        </w:rPr>
      </w:pPr>
      <w:r>
        <w:rPr>
          <w:rFonts w:eastAsia="Times New Roman" w:cs="Times New Roman" w:ascii="Times New Roman" w:hAnsi="Times New Roman"/>
          <w:b/>
          <w:sz w:val="26"/>
        </w:rPr>
        <w:t>Marketable Title</w:t>
      </w:r>
    </w:p>
    <w:p>
      <w:pPr>
        <w:pStyle w:val="Normal"/>
        <w:spacing w:lineRule="auto" w:line="242"/>
        <w:ind w:firstLine="720" w:end="0"/>
        <w:jc w:val="both"/>
        <w:rPr/>
      </w:pPr>
      <w:r>
        <w:rPr>
          <w:rFonts w:eastAsia="Times New Roman" w:cs="Times New Roman" w:ascii="Times New Roman" w:hAnsi="Times New Roman"/>
          <w:sz w:val="24"/>
        </w:rPr>
        <w:t xml:space="preserve">Note that the SSA typically imposes upon the seller the obligation to convey marketable title to the investor or purchaser; thus, it is </w:t>
      </w:r>
      <w:r>
        <w:rPr>
          <w:rFonts w:eastAsia="Times New Roman" w:cs="Times New Roman" w:ascii="Times New Roman" w:hAnsi="Times New Roman"/>
          <w:i/>
          <w:sz w:val="24"/>
        </w:rPr>
        <w:t>incumbent upon the seller to negotiate with any junior lienholders concerning the release of their liens</w:t>
      </w:r>
      <w:r>
        <w:rPr>
          <w:rFonts w:eastAsia="Times New Roman" w:cs="Times New Roman" w:ascii="Times New Roman" w:hAnsi="Times New Roman"/>
          <w:sz w:val="24"/>
        </w:rPr>
        <w:t>, although the servicer is also permitted to</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negotiate with these junior lienholders on the borrower’s behalf. Until recently, a servicer could agree to pay not more than a total of $6,000 from the sale proceeds to junior lienholders in exchange for the voluntary release of their liens. However, before any payment may be made to these lienholders, </w:t>
      </w:r>
      <w:r>
        <w:rPr>
          <w:rFonts w:eastAsia="Times New Roman" w:cs="Times New Roman" w:ascii="Times New Roman" w:hAnsi="Times New Roman"/>
          <w:i/>
          <w:sz w:val="24"/>
        </w:rPr>
        <w:t xml:space="preserve">each must agree in writing not only to release the lien, but to </w:t>
      </w:r>
      <w:r>
        <w:rPr>
          <w:rFonts w:eastAsia="Times New Roman" w:cs="Times New Roman" w:ascii="Times New Roman" w:hAnsi="Times New Roman"/>
          <w:b/>
          <w:i/>
          <w:sz w:val="24"/>
        </w:rPr>
        <w:t>release the borrower from any claim or liability on the underlying debt</w:t>
      </w:r>
      <w:r>
        <w:rPr>
          <w:rFonts w:eastAsia="Times New Roman" w:cs="Times New Roman" w:ascii="Times New Roman" w:hAnsi="Times New Roman"/>
          <w:sz w:val="24"/>
        </w:rPr>
        <w:t>. As of an August 9, 2011</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Supplemental Directive 11-08, this $6,000 cap applies only to junior liens </w:t>
      </w:r>
      <w:r>
        <w:rPr>
          <w:rFonts w:eastAsia="Times New Roman" w:cs="Times New Roman" w:ascii="Times New Roman" w:hAnsi="Times New Roman"/>
          <w:i/>
          <w:sz w:val="24"/>
        </w:rPr>
        <w:t>secured by a mortgage</w:t>
      </w:r>
      <w:r>
        <w:rPr>
          <w:rFonts w:eastAsia="Times New Roman" w:cs="Times New Roman" w:ascii="Times New Roman" w:hAnsi="Times New Roman"/>
          <w:sz w:val="24"/>
        </w:rPr>
        <w:t xml:space="preserve"> on the property. There is no cap regarding amounts the servicer may allow to be paid from the gross sale proceeds to non-mortgage junior liens (e.g., homeowner assessments, mechanics’ liens, etc.) in exchange for the release of the of the lien and </w:t>
      </w:r>
      <w:r>
        <w:rPr>
          <w:rFonts w:eastAsia="Times New Roman" w:cs="Times New Roman" w:ascii="Times New Roman" w:hAnsi="Times New Roman"/>
          <w:i/>
          <w:sz w:val="24"/>
        </w:rPr>
        <w:t>full release of borrower liability</w:t>
      </w:r>
      <w:r>
        <w:rPr>
          <w:rFonts w:eastAsia="Times New Roman" w:cs="Times New Roman" w:ascii="Times New Roman" w:hAnsi="Times New Roman"/>
          <w:sz w:val="24"/>
        </w:rPr>
        <w: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Until October 15, 2011, the investor who holds the note is eligible to receive an incentive payment from the U.S. Treasury equal to 33% of whatever amount it allows the servicer to pay to any junior lienholders, up to a cap of $2,000. However, </w:t>
      </w:r>
      <w:r>
        <w:rPr>
          <w:rFonts w:eastAsia="Times New Roman" w:cs="Times New Roman" w:ascii="Times New Roman" w:hAnsi="Times New Roman"/>
          <w:i/>
          <w:sz w:val="24"/>
        </w:rPr>
        <w:t>as of October 15, 2011</w:t>
      </w:r>
      <w:r>
        <w:rPr>
          <w:rFonts w:eastAsia="Times New Roman" w:cs="Times New Roman" w:ascii="Times New Roman" w:hAnsi="Times New Roman"/>
          <w:sz w:val="24"/>
        </w:rPr>
        <w:t xml:space="preserve">, the investor will only be able to receive the </w:t>
      </w:r>
      <w:r>
        <w:rPr>
          <w:rFonts w:eastAsia="Times New Roman" w:cs="Times New Roman" w:ascii="Times New Roman" w:hAnsi="Times New Roman"/>
          <w:i/>
          <w:sz w:val="24"/>
        </w:rPr>
        <w:t>incentive payment for sale proceeds paid to subordinate</w:t>
      </w:r>
      <w:r>
        <w:rPr>
          <w:rFonts w:eastAsia="Times New Roman" w:cs="Times New Roman" w:ascii="Times New Roman" w:hAnsi="Times New Roman"/>
          <w:b/>
          <w:i/>
          <w:sz w:val="24"/>
        </w:rPr>
        <w:t xml:space="preserve"> mortgage lienholders</w:t>
      </w:r>
      <w:r>
        <w:rPr>
          <w:rFonts w:eastAsia="Times New Roman" w:cs="Times New Roman" w:ascii="Times New Roman" w:hAnsi="Times New Roman"/>
          <w:sz w:val="24"/>
        </w:rPr>
        <w:t xml:space="preserve"> and they will not be reimbursed for any sale proceeds they allow to be</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paid to junior non-mortgage lienholders. Thus, if a servicer agreed to pay from the gross sale proceeds $3000 to a second lienholder on a home equity line of credit and $1500 to a third lienholder on a judgment lien in exchange for the written release by each of both the lien </w:t>
      </w:r>
      <w:r>
        <w:rPr>
          <w:rFonts w:eastAsia="Times New Roman" w:cs="Times New Roman" w:ascii="Times New Roman" w:hAnsi="Times New Roman"/>
          <w:i/>
          <w:sz w:val="24"/>
        </w:rPr>
        <w:t>and</w:t>
      </w:r>
      <w:r>
        <w:rPr>
          <w:rFonts w:eastAsia="Times New Roman" w:cs="Times New Roman" w:ascii="Times New Roman" w:hAnsi="Times New Roman"/>
          <w:sz w:val="24"/>
        </w:rPr>
        <w:t xml:space="preserve"> any future liability of the borrower, then the servicer would be eligible for an incentive payment of $1,485.00 (33% of $4500) prior to October 15, 2011 and $990 on or after October 15, 2011.</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If the loan has mortgage insurance coverage, then the servicer must obtain mortgage insurer approval for HAFA foreclosure alternatives. If the mortgage insurer refuses to waive any claims against the borrower for any sums the insurer may pay, then the loan does not qualify for HAFA. Brokers should understand that the more junior liens there are, the more likely it is that the owner will need to hire an attorney to negotiate with each lienholder regarding the release of</w:t>
      </w:r>
    </w:p>
    <w:p>
      <w:pPr>
        <w:sectPr>
          <w:type w:val="nextPage"/>
          <w:pgSz w:w="12240" w:h="15840"/>
          <w:pgMar w:left="1440" w:right="1440" w:gutter="0" w:header="0" w:top="1264"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-19-</w:t>
      </w:r>
    </w:p>
    <w:p>
      <w:pPr>
        <w:sectPr>
          <w:type w:val="continuous"/>
          <w:pgSz w:w="12240" w:h="15840"/>
          <w:pgMar w:left="1440" w:right="1440" w:gutter="0" w:header="0" w:top="1264" w:footer="0" w:bottom="169"/>
          <w:formProt w:val="false"/>
          <w:textDirection w:val="lrTb"/>
          <w:docGrid w:type="default" w:linePitch="360" w:charSpace="0"/>
        </w:sectPr>
      </w:pPr>
    </w:p>
    <w:p>
      <w:pPr>
        <w:pStyle w:val="Normal"/>
        <w:spacing w:lineRule="auto" w:line="271"/>
        <w:jc w:val="both"/>
        <w:rPr/>
      </w:pPr>
      <w:bookmarkStart w:id="22" w:name="page20"/>
      <w:bookmarkEnd w:id="22"/>
      <w:r>
        <w:rPr>
          <w:rFonts w:eastAsia="Times New Roman" w:cs="Times New Roman" w:ascii="Times New Roman" w:hAnsi="Times New Roman"/>
          <w:sz w:val="24"/>
        </w:rPr>
        <w:t>the lien, as negotiating debt reduction and release with its attendant consequences is beyond the scope of one’s broker license.</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6"/>
        </w:rPr>
      </w:pPr>
      <w:r>
        <w:rPr>
          <w:rFonts w:eastAsia="Times New Roman" w:cs="Times New Roman" w:ascii="Times New Roman" w:hAnsi="Times New Roman"/>
          <w:b/>
          <w:sz w:val="26"/>
        </w:rPr>
        <w:t>Incentive Compensation</w:t>
      </w:r>
    </w:p>
    <w:p>
      <w:pPr>
        <w:pStyle w:val="Normal"/>
        <w:spacing w:lineRule="auto" w:line="242"/>
        <w:ind w:firstLine="720" w:end="0"/>
        <w:jc w:val="both"/>
        <w:rPr/>
      </w:pPr>
      <w:r>
        <w:rPr>
          <w:rFonts w:eastAsia="Times New Roman" w:cs="Times New Roman" w:ascii="Times New Roman" w:hAnsi="Times New Roman"/>
          <w:sz w:val="24"/>
        </w:rPr>
        <w:t xml:space="preserve">In addition to the maximum $2000 reimbursement to the servicer for 33% of any sums the servicer allows to be paid to junior mortgage lienholders, HAFA rules provide for two other incentive payments. Upon successfully concluding a short sale transaction, the seller-borrower is entitled to receive a relocation payment of $3,000 that is paid at closing from the sale proceeds and is disclosed on the HUD-1 statement. The servicer is entitled to reimbursement of this $3000 from the U.S. Treasury and also is entitled to receive a $1500 payment for administrative and processing costs. As of October 15, 2011, the borrower may voluntarily apply the incentive payment towards the borrower’s transaction costs, whether legal fees, overdue utility bills or minor repairs, but the borrower may </w:t>
      </w:r>
      <w:r>
        <w:rPr>
          <w:rFonts w:eastAsia="Times New Roman" w:cs="Times New Roman" w:ascii="Times New Roman" w:hAnsi="Times New Roman"/>
          <w:i/>
          <w:sz w:val="24"/>
        </w:rPr>
        <w:t>not</w:t>
      </w:r>
      <w:r>
        <w:rPr>
          <w:rFonts w:eastAsia="Times New Roman" w:cs="Times New Roman" w:ascii="Times New Roman" w:hAnsi="Times New Roman"/>
          <w:sz w:val="24"/>
        </w:rPr>
        <w:t xml:space="preserve"> authorize any portion of the relocation fee to be paid to subordinate liens.</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6"/>
        </w:rPr>
      </w:pPr>
      <w:r>
        <w:rPr>
          <w:rFonts w:eastAsia="Times New Roman" w:cs="Times New Roman" w:ascii="Times New Roman" w:hAnsi="Times New Roman"/>
          <w:b/>
          <w:sz w:val="26"/>
        </w:rPr>
        <w:t>Foreclosure Proceedings, Administrative Fees and Escrow Monies</w:t>
      </w:r>
    </w:p>
    <w:p>
      <w:pPr>
        <w:pStyle w:val="Normal"/>
        <w:spacing w:lineRule="auto" w:line="242"/>
        <w:ind w:firstLine="720" w:end="0"/>
        <w:jc w:val="both"/>
        <w:rPr/>
      </w:pPr>
      <w:r>
        <w:rPr>
          <w:rFonts w:eastAsia="Times New Roman" w:cs="Times New Roman" w:ascii="Times New Roman" w:hAnsi="Times New Roman"/>
          <w:i/>
          <w:sz w:val="24"/>
        </w:rPr>
        <w:t>HAFA does not prevent a servicer from initiating a foreclosure proceeding</w:t>
      </w:r>
      <w:r>
        <w:rPr>
          <w:rFonts w:eastAsia="Times New Roman" w:cs="Times New Roman" w:ascii="Times New Roman" w:hAnsi="Times New Roman"/>
          <w:sz w:val="24"/>
        </w:rPr>
        <w:t xml:space="preserve"> while the servicer is evaluating a borrower’s eligibility for HAMP or HAFA or while the servicer and borrower are operating under an SSA. However </w:t>
      </w:r>
      <w:r>
        <w:rPr>
          <w:rFonts w:eastAsia="Times New Roman" w:cs="Times New Roman" w:ascii="Times New Roman" w:hAnsi="Times New Roman"/>
          <w:i/>
          <w:sz w:val="24"/>
        </w:rPr>
        <w:t>it does prohibit a servicer from completing or</w:t>
      </w:r>
      <w:r>
        <w:rPr>
          <w:rFonts w:eastAsia="Times New Roman" w:cs="Times New Roman" w:ascii="Times New Roman" w:hAnsi="Times New Roman"/>
          <w:sz w:val="24"/>
        </w:rPr>
        <w:t xml:space="preserve"> </w:t>
      </w:r>
      <w:r>
        <w:rPr>
          <w:rFonts w:eastAsia="Times New Roman" w:cs="Times New Roman" w:ascii="Times New Roman" w:hAnsi="Times New Roman"/>
          <w:i/>
          <w:sz w:val="24"/>
        </w:rPr>
        <w:t>concluding a foreclosure action prior to determining the borrower’s HAFA eligibility or during the pendency of a SSA</w:t>
      </w:r>
      <w:r>
        <w:rPr>
          <w:rFonts w:eastAsia="Times New Roman" w:cs="Times New Roman" w:ascii="Times New Roman" w:hAnsi="Times New Roman"/>
          <w:sz w:val="24"/>
        </w:rPr>
        <w:t>. The servicer may not charge any administrative or processing fees to the borrower in connection with HAFA. Rather, the servicer must pay all notarial, recording, title search and credit report fees, but may add these expenses to the outstanding debt in the event a short sale is not completed. The servicer also can require that the borrower waive reimbursement of any funds held in the borrower’s escrow account and that these monies be paid to the investor instead.</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6"/>
        </w:rPr>
      </w:pPr>
      <w:r>
        <w:rPr>
          <w:rFonts w:eastAsia="Times New Roman" w:cs="Times New Roman" w:ascii="Times New Roman" w:hAnsi="Times New Roman"/>
          <w:b/>
          <w:sz w:val="26"/>
        </w:rPr>
        <w:t>Record Retention</w:t>
      </w:r>
    </w:p>
    <w:p>
      <w:pPr>
        <w:pStyle w:val="Normal"/>
        <w:spacing w:lineRule="auto" w:line="247"/>
        <w:ind w:firstLine="720" w:end="0"/>
        <w:jc w:val="both"/>
        <w:rPr/>
      </w:pPr>
      <w:r>
        <w:rPr>
          <w:rFonts w:eastAsia="Times New Roman" w:cs="Times New Roman" w:ascii="Times New Roman" w:hAnsi="Times New Roman"/>
          <w:sz w:val="24"/>
        </w:rPr>
        <w:t xml:space="preserve">Servicers must retain all documents and information received during the process of determining borrower eligibility and qualification for HAFA, as well as the evaluation outcome of various foreclosure alternatives, justifications for any denials, all SSAs, RASSs, etc., and reasons why a SSA is terminated or a HAFA transaction expires without a completed short sale, for a period of </w:t>
      </w:r>
      <w:r>
        <w:rPr>
          <w:rFonts w:eastAsia="Times New Roman" w:cs="Times New Roman" w:ascii="Times New Roman" w:hAnsi="Times New Roman"/>
          <w:i/>
          <w:sz w:val="24"/>
        </w:rPr>
        <w:t>seven years</w:t>
      </w:r>
      <w:r>
        <w:rPr>
          <w:rFonts w:eastAsia="Times New Roman" w:cs="Times New Roman" w:ascii="Times New Roman" w:hAnsi="Times New Roman"/>
          <w:sz w:val="24"/>
        </w:rPr>
        <w:t xml:space="preserve"> from the date of document collection.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Further, as of October 15, 2011, all servicers must post its HAFA Policies on both the servicer’s website and provide a copy to Fannie Mae, which is the Program Administrator. The U.S. Treasury will post the web location of each servicer’s HAFA matrix on </w:t>
      </w:r>
      <w:r>
        <w:rPr>
          <w:rFonts w:eastAsia="Times New Roman" w:cs="Times New Roman" w:ascii="Times New Roman" w:hAnsi="Times New Roman"/>
          <w:sz w:val="24"/>
          <w:u w:val="single"/>
        </w:rPr>
        <w:t>MakingHomesAffordable.gov</w:t>
      </w:r>
      <w:r>
        <w:rPr>
          <w:rFonts w:eastAsia="Times New Roman" w:cs="Times New Roman" w:ascii="Times New Roman" w:hAnsi="Times New Roman"/>
          <w:sz w:val="24"/>
        </w:rPr>
        <w:t>. The matrix must identify each servicer’s HAFA eligibility</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criteria, program rules, any specific investor requirements or prohibitions and the servicer’s process for periodically re-evaluating property value and reconciling any discrepancies between its value and market value data submitted by the borrower or the borrower’s broker. Where a borrower qualifies under general HAFA guidelines, then the servicer is to utilize HAFA rather than a proprietary short sale or deed-in-lieu option unless prohibited by investor guidance, which investor restrictions or prohibitions must be documented and included in the file.</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6"/>
        </w:rPr>
      </w:pPr>
      <w:r>
        <w:rPr>
          <w:rFonts w:eastAsia="Times New Roman" w:cs="Times New Roman" w:ascii="Times New Roman" w:hAnsi="Times New Roman"/>
          <w:b/>
          <w:sz w:val="26"/>
        </w:rPr>
        <w:t>Debt Forgiveness</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-20-</w:t>
      </w:r>
    </w:p>
    <w:p>
      <w:pPr>
        <w:sectPr>
          <w:type w:val="continuous"/>
          <w:pgSz w:w="12240" w:h="15840"/>
          <w:pgMar w:left="1440" w:right="1440" w:gutter="0" w:header="0" w:top="1270" w:footer="0" w:bottom="169"/>
          <w:formProt w:val="false"/>
          <w:textDirection w:val="lrTb"/>
          <w:docGrid w:type="default" w:linePitch="360" w:charSpace="0"/>
        </w:sectPr>
      </w:pPr>
    </w:p>
    <w:p>
      <w:pPr>
        <w:pStyle w:val="Normal"/>
        <w:spacing w:lineRule="auto" w:line="242"/>
        <w:ind w:firstLine="720" w:end="0"/>
        <w:jc w:val="both"/>
        <w:rPr>
          <w:rFonts w:ascii="Times New Roman" w:hAnsi="Times New Roman" w:eastAsia="Times New Roman" w:cs="Times New Roman"/>
          <w:sz w:val="24"/>
        </w:rPr>
      </w:pPr>
      <w:bookmarkStart w:id="23" w:name="page21"/>
      <w:bookmarkEnd w:id="23"/>
      <w:r>
        <w:rPr>
          <w:rFonts w:eastAsia="Times New Roman" w:cs="Times New Roman" w:ascii="Times New Roman" w:hAnsi="Times New Roman"/>
          <w:sz w:val="24"/>
        </w:rPr>
        <w:t>A borrower-owner who successfully concludes a HAFA short sale may well walk away from the transaction free and clear of any debts that previously were secured by a lien on the property, whether for a purchase money mortgage, or a second mortgage, or a home equity line of credit, or a judgment lien or delinquent association dues or whatever. It depends. In order to receive any share of the sale proceeds, the junior lienholders must agree in writing to release the borrower-seller from any future liability on the underlying debt. Whether a junior lienholder may agree to release the lien, but decline to share in any proceeds in order to be able to pursue further collection efforts against the debtor-owner in the future is unclear.</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end="0"/>
        <w:jc w:val="both"/>
        <w:rPr/>
      </w:pPr>
      <w:r>
        <w:rPr>
          <w:rFonts w:eastAsia="Times New Roman" w:cs="Times New Roman" w:ascii="Times New Roman" w:hAnsi="Times New Roman"/>
          <w:sz w:val="24"/>
        </w:rPr>
        <w:t xml:space="preserve">Normally, forgiven debt is treated as taxable income to the debtor (in part because the IRS figures if someone had a loss, then someone else had a gain). However, due to the </w:t>
      </w:r>
      <w:r>
        <w:rPr>
          <w:rFonts w:eastAsia="Times New Roman" w:cs="Times New Roman" w:ascii="Times New Roman" w:hAnsi="Times New Roman"/>
          <w:b/>
          <w:sz w:val="24"/>
        </w:rPr>
        <w:t>Mortgage Forgiveness Debt Relief Act of 2007</w:t>
      </w:r>
      <w:r>
        <w:rPr>
          <w:rFonts w:eastAsia="Times New Roman" w:cs="Times New Roman" w:ascii="Times New Roman" w:hAnsi="Times New Roman"/>
          <w:sz w:val="24"/>
        </w:rPr>
        <w:t xml:space="preserve">, </w:t>
      </w:r>
      <w:r>
        <w:rPr>
          <w:rFonts w:eastAsia="Times New Roman" w:cs="Times New Roman" w:ascii="Times New Roman" w:hAnsi="Times New Roman"/>
          <w:i/>
          <w:sz w:val="24"/>
        </w:rPr>
        <w:t>a portion of the debt forgiven in a short sale may be excluded from the debtor-borrower’s income if the loan balance was less than two million dollars</w:t>
      </w:r>
      <w:r>
        <w:rPr>
          <w:rFonts w:eastAsia="Times New Roman" w:cs="Times New Roman" w:ascii="Times New Roman" w:hAnsi="Times New Roman"/>
          <w:sz w:val="24"/>
        </w:rPr>
        <w:t>. Basically, the law provides that debt forgiven through mortgage restructuring,</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short sale, or foreclosure </w:t>
      </w:r>
      <w:r>
        <w:rPr>
          <w:rFonts w:eastAsia="Times New Roman" w:cs="Times New Roman" w:ascii="Times New Roman" w:hAnsi="Times New Roman"/>
          <w:i/>
          <w:sz w:val="24"/>
        </w:rPr>
        <w:t>may</w:t>
      </w:r>
      <w:r>
        <w:rPr>
          <w:rFonts w:eastAsia="Times New Roman" w:cs="Times New Roman" w:ascii="Times New Roman" w:hAnsi="Times New Roman"/>
          <w:sz w:val="24"/>
        </w:rPr>
        <w:t xml:space="preserve"> be excluded from income </w:t>
      </w:r>
      <w:r>
        <w:rPr>
          <w:rFonts w:eastAsia="Times New Roman" w:cs="Times New Roman" w:ascii="Times New Roman" w:hAnsi="Times New Roman"/>
          <w:b/>
          <w:i/>
          <w:sz w:val="24"/>
        </w:rPr>
        <w:t>IF</w:t>
      </w:r>
      <w:r>
        <w:rPr>
          <w:rFonts w:eastAsia="Times New Roman" w:cs="Times New Roman" w:ascii="Times New Roman" w:hAnsi="Times New Roman"/>
          <w:sz w:val="24"/>
        </w:rPr>
        <w:t xml:space="preserve"> the debt was used to buy, build or substantially improve the borrower’s principal residence </w:t>
      </w:r>
      <w:r>
        <w:rPr>
          <w:rFonts w:eastAsia="Times New Roman" w:cs="Times New Roman" w:ascii="Times New Roman" w:hAnsi="Times New Roman"/>
          <w:b/>
          <w:i/>
          <w:sz w:val="24"/>
        </w:rPr>
        <w:t>and</w:t>
      </w:r>
      <w:r>
        <w:rPr>
          <w:rFonts w:eastAsia="Times New Roman" w:cs="Times New Roman" w:ascii="Times New Roman" w:hAnsi="Times New Roman"/>
          <w:sz w:val="24"/>
        </w:rPr>
        <w:t xml:space="preserve"> was secured by the residence. Debt used to refinance qualifying debt is also eligible for the exclusion, but only up to the amount of the old mortgage principal just before refinancing. This tax relief applies to eligible debt forgiven in 2007, 2008, 2009, 2010, 2011 and 2012. The borrower should receive a Form 1099-C from the lender in the year of sale reflecting the amount of debt forgiven and the fair market value of the property sold or foreclosed. A borrower may claim this tax relief by filing Form 982.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720" w:end="0"/>
        <w:jc w:val="both"/>
        <w:rPr/>
      </w:pPr>
      <w:r>
        <w:rPr>
          <w:rFonts w:eastAsia="Times New Roman" w:cs="Times New Roman" w:ascii="Times New Roman" w:hAnsi="Times New Roman"/>
          <w:sz w:val="24"/>
        </w:rPr>
        <w:t xml:space="preserve">It is entirely conceivable, however, that not all of the forgiven debt is excludable from income. For example, if $10,000 of the home equity line of credit was used to purchase an automobile, rather than for improvements to the real property, that would not be excludable, or if in the refinance three years ago the owner borrowed $20,000 more than the outstanding principal balance of the previous mortgage to pay off credit card and other debts, that would not be excludable from income. Further, </w:t>
      </w:r>
      <w:r>
        <w:rPr>
          <w:rFonts w:eastAsia="Times New Roman" w:cs="Times New Roman" w:ascii="Times New Roman" w:hAnsi="Times New Roman"/>
          <w:i/>
          <w:sz w:val="24"/>
        </w:rPr>
        <w:t xml:space="preserve">debt forgiven on second homes, rental property, business property, credit cards or car loans does </w:t>
      </w:r>
      <w:r>
        <w:rPr>
          <w:rFonts w:eastAsia="Times New Roman" w:cs="Times New Roman" w:ascii="Times New Roman" w:hAnsi="Times New Roman"/>
          <w:b/>
          <w:i/>
          <w:sz w:val="24"/>
        </w:rPr>
        <w:t>not</w:t>
      </w:r>
      <w:r>
        <w:rPr>
          <w:rFonts w:eastAsia="Times New Roman" w:cs="Times New Roman" w:ascii="Times New Roman" w:hAnsi="Times New Roman"/>
          <w:i/>
          <w:sz w:val="24"/>
        </w:rPr>
        <w:t xml:space="preserve"> qualify for this tax relief — </w:t>
      </w:r>
      <w:r>
        <w:rPr>
          <w:rFonts w:eastAsia="Times New Roman" w:cs="Times New Roman" w:ascii="Times New Roman" w:hAnsi="Times New Roman"/>
          <w:b/>
          <w:i/>
          <w:sz w:val="24"/>
        </w:rPr>
        <w:t>only debt secured by a borrower’s</w:t>
      </w:r>
      <w:r>
        <w:rPr>
          <w:rFonts w:eastAsia="Times New Roman" w:cs="Times New Roman" w:ascii="Times New Roman" w:hAnsi="Times New Roman"/>
          <w:b/>
          <w:sz w:val="24"/>
        </w:rPr>
        <w:t xml:space="preserve"> principal residence </w:t>
      </w:r>
      <w:r>
        <w:rPr>
          <w:rFonts w:eastAsia="Times New Roman" w:cs="Times New Roman" w:ascii="Times New Roman" w:hAnsi="Times New Roman"/>
          <w:b/>
          <w:i/>
          <w:sz w:val="24"/>
        </w:rPr>
        <w:t>which debt was used to purchase, build, or substantially improve the principal residence</w:t>
      </w:r>
      <w:r>
        <w:rPr>
          <w:rFonts w:eastAsia="Times New Roman" w:cs="Times New Roman" w:ascii="Times New Roman" w:hAnsi="Times New Roman"/>
          <w:sz w:val="24"/>
        </w:rPr>
        <w:t xml:space="preserve">. Because of the intricacies of these calculations and ever-changing tax laws, </w:t>
      </w:r>
      <w:r>
        <w:rPr>
          <w:rFonts w:eastAsia="Times New Roman" w:cs="Times New Roman" w:ascii="Times New Roman" w:hAnsi="Times New Roman"/>
          <w:b/>
          <w:i/>
          <w:sz w:val="24"/>
        </w:rPr>
        <w:t>real estate brokers should not attempt to advise seller -clients on any of these matters, but instead should recommend that the seller seek advice from a competent tax lawyer or accountant</w:t>
      </w:r>
      <w:r>
        <w:rPr>
          <w:rFonts w:eastAsia="Times New Roman" w:cs="Times New Roman" w:ascii="Times New Roman" w:hAnsi="Times New Roman"/>
          <w:sz w:val="24"/>
        </w:rPr>
        <w:t>.</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30"/>
        </w:rPr>
      </w:pPr>
      <w:r>
        <w:rPr>
          <w:rFonts w:eastAsia="Times New Roman" w:cs="Times New Roman" w:ascii="Times New Roman" w:hAnsi="Times New Roman"/>
          <w:b/>
          <w:sz w:val="30"/>
        </w:rPr>
        <w:t>Mortgage Assistance Relief Services Rule (MARS)</w:t>
      </w:r>
    </w:p>
    <w:p>
      <w:pPr>
        <w:pStyle w:val="Normal"/>
        <w:spacing w:lineRule="exact" w:line="2"/>
        <w:rPr>
          <w:rFonts w:ascii="Times New Roman" w:hAnsi="Times New Roman" w:eastAsia="Times New Roman" w:cs="Times New Roman"/>
          <w:b/>
          <w:sz w:val="30"/>
        </w:rPr>
      </w:pPr>
      <w:r>
        <w:rPr>
          <w:rFonts w:eastAsia="Times New Roman" w:cs="Times New Roman" w:ascii="Times New Roman" w:hAnsi="Times New Roman"/>
          <w:b/>
          <w:sz w:val="30"/>
        </w:rPr>
      </w:r>
    </w:p>
    <w:p>
      <w:pPr>
        <w:pStyle w:val="Normal"/>
        <w:spacing w:lineRule="atLeast" w:line="0"/>
        <w:ind w:firstLine="720" w:end="0"/>
        <w:jc w:val="both"/>
        <w:rPr/>
      </w:pPr>
      <w:r>
        <w:rPr>
          <w:rFonts w:eastAsia="Times New Roman" w:cs="Times New Roman" w:ascii="Times New Roman" w:hAnsi="Times New Roman"/>
          <w:sz w:val="24"/>
        </w:rPr>
        <w:t xml:space="preserve">In 2009 and 2010, the Federal Trade Commission (FTC) participated in three interagency nationwide sweeps targeting providers who claimed to arrange or provide mortgage relief for distressed homeowners. Lawsuits or administrative actions were initiated against more than 300 marketers of mortgage relief services. To address these widespread abuses, the FTC passed the </w:t>
      </w:r>
      <w:r>
        <w:rPr>
          <w:rFonts w:eastAsia="Times New Roman" w:cs="Times New Roman" w:ascii="Times New Roman" w:hAnsi="Times New Roman"/>
          <w:b/>
          <w:i/>
          <w:sz w:val="24"/>
        </w:rPr>
        <w:t>Mortgage Assistance Relief Services Rule (MARS)</w:t>
      </w:r>
      <w:r>
        <w:rPr>
          <w:rFonts w:eastAsia="Times New Roman" w:cs="Times New Roman" w:ascii="Times New Roman" w:hAnsi="Times New Roman"/>
          <w:sz w:val="24"/>
        </w:rPr>
        <w:t xml:space="preserve"> that became effective December 29, 2010</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(except the advance fee ban which became effective January 31, 2011). MARS may be found in volume 16 of the Code of Federal Regulations (CFR) Part 322. Jon Leibowitz, Chairman of the FTC, said:</w:t>
      </w:r>
    </w:p>
    <w:p>
      <w:pPr>
        <w:pStyle w:val="Normal"/>
        <w:spacing w:lineRule="auto" w:line="271"/>
        <w:ind w:start="720" w:end="720"/>
        <w:rPr>
          <w:rFonts w:ascii="Times New Roman" w:hAnsi="Times New Roman" w:eastAsia="Times New Roman" w:cs="Times New Roman"/>
          <w:sz w:val="24"/>
        </w:rPr>
      </w:pPr>
      <w:r>
        <w:rPr>
          <w:rFonts w:eastAsia="Times New Roman" w:cs="Times New Roman" w:ascii="Times New Roman" w:hAnsi="Times New Roman"/>
          <w:sz w:val="24"/>
        </w:rPr>
        <w:t>At a time when many Americans are struggling to pay their mortgages, peddlers of so-called mortgage relief services have taken hundreds of millions of dollars</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-21-</w:t>
      </w:r>
    </w:p>
    <w:p>
      <w:pPr>
        <w:sectPr>
          <w:type w:val="continuous"/>
          <w:pgSz w:w="12240" w:h="15840"/>
          <w:pgMar w:left="1440" w:right="1440" w:gutter="0" w:header="0" w:top="1270" w:footer="0" w:bottom="169"/>
          <w:formProt w:val="false"/>
          <w:textDirection w:val="lrTb"/>
          <w:docGrid w:type="default" w:linePitch="360" w:charSpace="0"/>
        </w:sectPr>
      </w:pPr>
    </w:p>
    <w:p>
      <w:pPr>
        <w:pStyle w:val="Normal"/>
        <w:spacing w:lineRule="auto" w:line="249"/>
        <w:ind w:start="720" w:end="720"/>
        <w:jc w:val="both"/>
        <w:rPr>
          <w:rFonts w:ascii="Times New Roman" w:hAnsi="Times New Roman" w:eastAsia="Times New Roman" w:cs="Times New Roman"/>
          <w:sz w:val="24"/>
        </w:rPr>
      </w:pPr>
      <w:bookmarkStart w:id="24" w:name="page22"/>
      <w:bookmarkEnd w:id="24"/>
      <w:r>
        <w:rPr>
          <w:rFonts w:eastAsia="Times New Roman" w:cs="Times New Roman" w:ascii="Times New Roman" w:hAnsi="Times New Roman"/>
          <w:sz w:val="24"/>
        </w:rPr>
        <w:t>from hundreds of thousands of homeowners without ever delivering results. By banning providers of these services from collecting fees until the customer is satisfied with the results, this rule will protect consumers from being victimized by these scams.</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 xml:space="preserve">Thus, while the </w:t>
      </w:r>
      <w:r>
        <w:rPr>
          <w:rFonts w:eastAsia="Times New Roman" w:cs="Times New Roman" w:ascii="Times New Roman" w:hAnsi="Times New Roman"/>
          <w:i/>
          <w:sz w:val="24"/>
        </w:rPr>
        <w:t xml:space="preserve">primary thrust of the Rule is directed at persons or entities who hold themselves out as being able to assist homeowners in negotiating and obtaining mortgage debt modification or reduction with the owner’s lender/servicer, the </w:t>
      </w:r>
      <w:r>
        <w:rPr>
          <w:rFonts w:eastAsia="Times New Roman" w:cs="Times New Roman" w:ascii="Times New Roman" w:hAnsi="Times New Roman"/>
          <w:b/>
          <w:i/>
          <w:sz w:val="24"/>
        </w:rPr>
        <w:t>definition of “mortgage assistance relief service” was sufficiently broad to encompass real estate brokers</w:t>
      </w:r>
      <w:r>
        <w:rPr>
          <w:rFonts w:eastAsia="Times New Roman" w:cs="Times New Roman" w:ascii="Times New Roman" w:hAnsi="Times New Roman"/>
          <w:sz w:val="24"/>
        </w:rPr>
        <w:t>, as it included</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any service to a consumer for compensation resulting from “negotiating, obtaining or arranging: (i) a short sale of a dwelling [or] (ii) A deed-in-lieu of foreclosure.” [16 CFR §322.2(i)(6).]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6"/>
        </w:rPr>
      </w:pPr>
      <w:r>
        <w:rPr>
          <w:rFonts w:eastAsia="Times New Roman" w:cs="Times New Roman" w:ascii="Times New Roman" w:hAnsi="Times New Roman"/>
          <w:b/>
          <w:sz w:val="26"/>
        </w:rPr>
        <w:t>Applicability of MARS to Real Estate Brokers</w:t>
      </w:r>
    </w:p>
    <w:p>
      <w:pPr>
        <w:pStyle w:val="Normal"/>
        <w:spacing w:lineRule="auto" w:line="242"/>
        <w:ind w:firstLine="720" w:end="0"/>
        <w:jc w:val="both"/>
        <w:rPr/>
      </w:pPr>
      <w:r>
        <w:rPr>
          <w:rFonts w:eastAsia="Times New Roman" w:cs="Times New Roman" w:ascii="Times New Roman" w:hAnsi="Times New Roman"/>
          <w:sz w:val="24"/>
        </w:rPr>
        <w:t xml:space="preserve">The interim version of these Update materials covered in much greater depth the definitions and limitations imposed by the MARS rule, because at that time the Federal Trade Commission’s interpretation was that it applied to real estate brokers assisting consumers in obtaining or arranging a short sale transaction. It was always clear, however, that </w:t>
      </w:r>
      <w:r>
        <w:rPr>
          <w:rFonts w:eastAsia="Times New Roman" w:cs="Times New Roman" w:ascii="Times New Roman" w:hAnsi="Times New Roman"/>
          <w:i/>
          <w:sz w:val="24"/>
        </w:rPr>
        <w:t>MARS does</w:t>
      </w:r>
      <w:r>
        <w:rPr>
          <w:rFonts w:eastAsia="Times New Roman" w:cs="Times New Roman" w:ascii="Times New Roman" w:hAnsi="Times New Roman"/>
          <w:b/>
          <w:i/>
          <w:sz w:val="24"/>
        </w:rPr>
        <w:t xml:space="preserve"> not</w:t>
      </w:r>
      <w:r>
        <w:rPr>
          <w:rFonts w:eastAsia="Times New Roman" w:cs="Times New Roman" w:ascii="Times New Roman" w:hAnsi="Times New Roman"/>
          <w:i/>
          <w:sz w:val="24"/>
        </w:rPr>
        <w:t xml:space="preserve"> apply to commercial property</w:t>
      </w:r>
      <w:r>
        <w:rPr>
          <w:rFonts w:eastAsia="Times New Roman" w:cs="Times New Roman" w:ascii="Times New Roman" w:hAnsi="Times New Roman"/>
          <w:sz w:val="24"/>
        </w:rPr>
        <w:t xml:space="preserve">, since it applies to the short sale of a </w:t>
      </w:r>
      <w:r>
        <w:rPr>
          <w:rFonts w:eastAsia="Times New Roman" w:cs="Times New Roman" w:ascii="Times New Roman" w:hAnsi="Times New Roman"/>
          <w:i/>
          <w:sz w:val="24"/>
        </w:rPr>
        <w:t>dwelling</w:t>
      </w:r>
      <w:r>
        <w:rPr>
          <w:rFonts w:eastAsia="Times New Roman" w:cs="Times New Roman" w:ascii="Times New Roman" w:hAnsi="Times New Roman"/>
          <w:sz w:val="24"/>
        </w:rPr>
        <w:t>, namely a</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residential structure, although not necessarily limited to the owner’s primary residence. The comments clarify that, unlike HAFA, MARS covers second homes and rental properties so long as they are used for residential purposes.</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However, as a result of discussions between the National Association of REALTORS® and the FTC, the FTC issued an opinion on July 15, 2011 regarding its MARS enforcement policy as to real estate brokers. In essence, the FTC indicated that it would forbear enforcing MARS against real estate brokers who:</w:t>
      </w:r>
    </w:p>
    <w:p>
      <w:pPr>
        <w:pStyle w:val="Normal"/>
        <w:numPr>
          <w:ilvl w:val="0"/>
          <w:numId w:val="14"/>
        </w:numPr>
        <w:tabs>
          <w:tab w:val="clear" w:pos="720"/>
          <w:tab w:val="left" w:pos="1092" w:leader="none"/>
        </w:tabs>
        <w:spacing w:lineRule="auto" w:line="271"/>
        <w:ind w:start="720" w:end="0"/>
        <w:rPr>
          <w:rFonts w:ascii="Times New Roman" w:hAnsi="Times New Roman" w:eastAsia="Times New Roman" w:cs="Times New Roman"/>
          <w:sz w:val="24"/>
        </w:rPr>
      </w:pPr>
      <w:r>
        <w:rPr>
          <w:rFonts w:eastAsia="Times New Roman" w:cs="Times New Roman" w:ascii="Times New Roman" w:hAnsi="Times New Roman"/>
          <w:sz w:val="24"/>
        </w:rPr>
        <w:t>are licensed and remain in good standing pursuant to applicable state law requirements;</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1078"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operate in compliance with state laws governing the practices of real estate professionals;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and</w:t>
      </w:r>
    </w:p>
    <w:p>
      <w:pPr>
        <w:pStyle w:val="Normal"/>
        <w:numPr>
          <w:ilvl w:val="0"/>
          <w:numId w:val="15"/>
        </w:numPr>
        <w:tabs>
          <w:tab w:val="clear" w:pos="720"/>
          <w:tab w:val="left" w:pos="982" w:leader="none"/>
        </w:tabs>
        <w:spacing w:lineRule="auto" w:line="271"/>
        <w:ind w:start="720" w:end="0"/>
        <w:rPr>
          <w:rFonts w:ascii="Times New Roman" w:hAnsi="Times New Roman" w:eastAsia="Times New Roman" w:cs="Times New Roman"/>
          <w:sz w:val="24"/>
        </w:rPr>
      </w:pPr>
      <w:r>
        <w:rPr>
          <w:rFonts w:eastAsia="Times New Roman" w:cs="Times New Roman" w:ascii="Times New Roman" w:hAnsi="Times New Roman"/>
          <w:sz w:val="24"/>
        </w:rPr>
        <w:t>assist or attempt to assist a consumer in negotiating, obtaining or arranging a short sale of a dwelling in the course of securing the sale of the consumer’s home.</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pPr>
      <w:r>
        <w:rPr>
          <w:rFonts w:eastAsia="Times New Roman" w:cs="Times New Roman" w:ascii="Times New Roman" w:hAnsi="Times New Roman"/>
          <w:sz w:val="24"/>
        </w:rPr>
        <w:t>The enforcement forbearance applies only to real estate brokers who assist consumers in negotiating or obtaining short sales and meet the above criteria, i.e., those who lawfully engage in and only provide brokerage services. However, the MARS provisions prohibiting 1) unfair and deceptive trade practices in or affecting commerce and 2) misrepresentations still apply to all brokers. If a broker engages in either, then s/he will be subject to all of the provisions of the Act, which include certain required disclosures and a prohibition against receiving any advance fees, among other things. Examples of acts the FTC may consider to be “misrepresentation” include: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940" w:leader="none"/>
        </w:tabs>
        <w:spacing w:lineRule="atLeast" w:line="0"/>
        <w:ind w:hanging="220" w:start="940" w:end="0"/>
        <w:rPr>
          <w:rFonts w:ascii="Arial" w:hAnsi="Arial" w:eastAsia="Arial" w:cs="Arial"/>
          <w:sz w:val="24"/>
        </w:rPr>
      </w:pPr>
      <w:r>
        <w:rPr>
          <w:rFonts w:eastAsia="Times New Roman" w:cs="Times New Roman" w:ascii="Times New Roman" w:hAnsi="Times New Roman"/>
          <w:sz w:val="24"/>
        </w:rPr>
        <w:t>promising the consumer that the broker can obtain a certain price for the short sale, or</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6"/>
        </w:numPr>
        <w:tabs>
          <w:tab w:val="clear" w:pos="720"/>
          <w:tab w:val="left" w:pos="940" w:leader="none"/>
        </w:tabs>
        <w:spacing w:lineRule="atLeast" w:line="0"/>
        <w:ind w:hanging="220" w:start="940" w:end="0"/>
        <w:rPr>
          <w:rFonts w:ascii="Arial" w:hAnsi="Arial" w:eastAsia="Arial" w:cs="Arial"/>
          <w:sz w:val="24"/>
        </w:rPr>
      </w:pPr>
      <w:r>
        <w:rPr>
          <w:rFonts w:eastAsia="Times New Roman" w:cs="Times New Roman" w:ascii="Times New Roman" w:hAnsi="Times New Roman"/>
          <w:sz w:val="24"/>
        </w:rPr>
        <w:t>claiming expertise in short sales when that is not true, or</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-22-</w:t>
      </w:r>
    </w:p>
    <w:p>
      <w:pPr>
        <w:sectPr>
          <w:type w:val="continuous"/>
          <w:pgSz w:w="12240" w:h="15840"/>
          <w:pgMar w:left="1440" w:right="1440" w:gutter="0" w:header="0" w:top="1270" w:footer="0" w:bottom="169"/>
          <w:formProt w:val="false"/>
          <w:textDirection w:val="lrTb"/>
          <w:docGrid w:type="default" w:linePitch="360" w:charSpace="0"/>
        </w:sectPr>
      </w:pPr>
    </w:p>
    <w:p>
      <w:pPr>
        <w:pStyle w:val="Normal"/>
        <w:numPr>
          <w:ilvl w:val="0"/>
          <w:numId w:val="17"/>
        </w:numPr>
        <w:tabs>
          <w:tab w:val="clear" w:pos="720"/>
          <w:tab w:val="left" w:pos="979" w:leader="none"/>
        </w:tabs>
        <w:spacing w:lineRule="auto" w:line="254"/>
        <w:ind w:start="720" w:end="0"/>
        <w:jc w:val="both"/>
        <w:rPr>
          <w:rFonts w:ascii="Arial" w:hAnsi="Arial" w:eastAsia="Arial" w:cs="Arial"/>
          <w:sz w:val="24"/>
        </w:rPr>
      </w:pPr>
      <w:bookmarkStart w:id="25" w:name="page23"/>
      <w:bookmarkEnd w:id="25"/>
      <w:r>
        <w:rPr>
          <w:rFonts w:eastAsia="Times New Roman" w:cs="Times New Roman" w:ascii="Times New Roman" w:hAnsi="Times New Roman"/>
          <w:sz w:val="24"/>
        </w:rPr>
        <w:t>misrepresenting the results the broker may obtain, such as promising the borrower-owner that they will not have any deficiency from the sale when there is no basis for that assertion.</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pPr>
      <w:r>
        <w:rPr>
          <w:rFonts w:eastAsia="Times New Roman" w:cs="Times New Roman" w:ascii="Times New Roman" w:hAnsi="Times New Roman"/>
          <w:sz w:val="24"/>
        </w:rPr>
        <w:t>Prior to the issuance of the FTC’s July 15, 2011 Stay on Enforcement announcement, the the FTC’s Bureau of Consumer Protection issued an article, “Mortgage Assistance Relief Services Rule: A Compliance Guide for Business,” which under the “How does the Rule apply to businesses in the mortgage industry?” stated:</w:t>
      </w:r>
    </w:p>
    <w:p>
      <w:pPr>
        <w:pStyle w:val="Normal"/>
        <w:spacing w:lineRule="auto" w:line="244"/>
        <w:ind w:start="720" w:end="720"/>
        <w:jc w:val="both"/>
        <w:rPr/>
      </w:pPr>
      <w:r>
        <w:rPr>
          <w:rFonts w:eastAsia="Times New Roman" w:cs="Times New Roman" w:ascii="Times New Roman" w:hAnsi="Times New Roman"/>
          <w:sz w:val="24"/>
        </w:rPr>
        <w:t xml:space="preserve">The Rule covers real estate agents who promote their services as a way to help consumers to avoid foreclosure, for example, by getting a lender’s approval for a short sale. However, the Rule doesn’t cover real estate agents who don’t promote their services this way, and </w:t>
      </w:r>
      <w:r>
        <w:rPr>
          <w:rFonts w:eastAsia="Times New Roman" w:cs="Times New Roman" w:ascii="Times New Roman" w:hAnsi="Times New Roman"/>
          <w:i/>
          <w:sz w:val="24"/>
        </w:rPr>
        <w:t>who only provide services to help people in buying or selling homes — like listing homes for sale, showing homes, or finding homes that meet buyers’ needs</w:t>
      </w:r>
      <w:r>
        <w:rPr>
          <w:rFonts w:eastAsia="Times New Roman" w:cs="Times New Roman" w:ascii="Times New Roman" w:hAnsi="Times New Roman"/>
          <w:sz w:val="24"/>
        </w:rPr>
        <w:t>. (Italics added.)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same article noted that:</w:t>
      </w:r>
    </w:p>
    <w:p>
      <w:pPr>
        <w:pStyle w:val="Normal"/>
        <w:spacing w:lineRule="auto" w:line="242"/>
        <w:ind w:start="720" w:end="720"/>
        <w:jc w:val="both"/>
        <w:rPr/>
      </w:pPr>
      <w:r>
        <w:rPr>
          <w:rFonts w:eastAsia="Times New Roman" w:cs="Times New Roman" w:ascii="Times New Roman" w:hAnsi="Times New Roman"/>
          <w:sz w:val="24"/>
        </w:rPr>
        <w:t>It’s illegal to provide “substantial assistance” to someone if you know — or consciously avoid knowing — that they’re violating the Rule. What amounts to substantial assistance depends on the facts. Activities like procuring leads (the contact information of potential customers) for MARS providers, helping a MARS provider with its back-room operations, reviewing customer files, processing customers’ payments, or contacting customers’ servicers are just a few examples. If you work with MARS providers, review their policies, procedures, and operations to make sure they’re complying with the Rule because willful ignorance on your part simply isn’t a defense.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Thus, it would appear that </w:t>
      </w:r>
      <w:r>
        <w:rPr>
          <w:rFonts w:eastAsia="Times New Roman" w:cs="Times New Roman" w:ascii="Times New Roman" w:hAnsi="Times New Roman"/>
          <w:i/>
          <w:sz w:val="24"/>
        </w:rPr>
        <w:t>a broker who merely advertises his/her availability to assist consumers in residential sales transactions in general would not be subject to the Rule so long as the broker primarily provided brokerage services and did not attempt to negotiate acceptable terms with the owner’s servicer or lender</w:t>
      </w:r>
      <w:r>
        <w:rPr>
          <w:rFonts w:eastAsia="Times New Roman" w:cs="Times New Roman" w:ascii="Times New Roman" w:hAnsi="Times New Roman"/>
          <w:sz w:val="24"/>
        </w:rPr>
        <w:t>. (Note that the broker would be free to counsel the</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seller on the merits of various offers and discuss possible terms of counteroffers to buyers, just as in normal residential sales transactions.) A broker may also be able to represent to the public that s/he possesses particular training or expertise in short sale transactions </w:t>
      </w:r>
      <w:r>
        <w:rPr>
          <w:rFonts w:eastAsia="Times New Roman" w:cs="Times New Roman" w:ascii="Times New Roman" w:hAnsi="Times New Roman"/>
          <w:i/>
          <w:sz w:val="24"/>
        </w:rPr>
        <w:t>so long as it is true</w:t>
      </w:r>
      <w:r>
        <w:rPr>
          <w:rFonts w:eastAsia="Times New Roman" w:cs="Times New Roman" w:ascii="Times New Roman" w:hAnsi="Times New Roman"/>
          <w:sz w:val="24"/>
        </w:rPr>
        <w:t xml:space="preserve"> and if the broker limits his services to brokerage services and does not attempt to negotiate terms with the servicer, the broker may not be subject to the MARS rule.</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Could a broker inform the seller of the HAFA program, encourage the seller to apply for consideration, and assist the seller in completing the necessary forms, but have no direct contact with the lender/servicer, without falling within the scope of the Rule? Good question, which again has no assured answer at present. While one might argue that the broker is merely educating his/her client and informing the client of one of several options, one should be cognizant of the comments to the Rule which state that it applies not only to third parties who contact servicers/lenders to obtain mortgage relief, “... but to instances in which a third party markets services to aid consumers who themselves work with lenders or servicers to obtain relief.”</w:t>
      </w:r>
    </w:p>
    <w:p>
      <w:pPr>
        <w:sectPr>
          <w:type w:val="nextPage"/>
          <w:pgSz w:w="12240" w:h="15840"/>
          <w:pgMar w:left="1440" w:right="1440" w:gutter="0" w:header="0" w:top="1272"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-23-</w:t>
      </w:r>
    </w:p>
    <w:p>
      <w:pPr>
        <w:sectPr>
          <w:type w:val="continuous"/>
          <w:pgSz w:w="12240" w:h="15840"/>
          <w:pgMar w:left="1440" w:right="1440" w:gutter="0" w:header="0" w:top="1272" w:footer="0" w:bottom="169"/>
          <w:formProt w:val="false"/>
          <w:textDirection w:val="lrTb"/>
          <w:docGrid w:type="default" w:linePitch="360" w:charSpace="0"/>
        </w:sectPr>
      </w:pPr>
    </w:p>
    <w:p>
      <w:pPr>
        <w:pStyle w:val="Normal"/>
        <w:spacing w:lineRule="auto" w:line="242"/>
        <w:ind w:firstLine="720" w:end="0"/>
        <w:jc w:val="both"/>
        <w:rPr/>
      </w:pPr>
      <w:bookmarkStart w:id="26" w:name="page24"/>
      <w:bookmarkEnd w:id="26"/>
      <w:r>
        <w:rPr>
          <w:rFonts w:eastAsia="Times New Roman" w:cs="Times New Roman" w:ascii="Times New Roman" w:hAnsi="Times New Roman"/>
          <w:sz w:val="24"/>
        </w:rPr>
        <w:t>Clearly, if a real estate broker provides other forms of mortgage assistance relief services, then s/he will be subject to all of the MARS requirements. For example, a broker who offers short sale negotiation services in addition to his/her brokerage services will be subject to and must comply with all of the requirements of the MARS rule. Understand as well that a person who provides “...substantial assistance or support to any mortgage assistance relief service provider when that person knows or consciously avoids knowing that the provider is engaged in any act or practice that violates this rule” also violates the rule even though that person may not fall within the definition of a “provider.”</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Brokers who think they may fall within the scope of the MARS Rule obviously would be well advised to be thoroughly acquainted with its requirements. As of July 21, 2011 enforcement of this Rule transferred from the FTC to the newly created Consumer Financial Protection Bureau (CFPB). Both the CFPB and state Attorneys General have authority to enforce the MARS Rule. There is no private cause of action for consumers under the Rule.</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8"/>
        </w:rPr>
      </w:pPr>
      <w:r>
        <w:rPr>
          <w:rFonts w:eastAsia="Times New Roman" w:cs="Times New Roman" w:ascii="Times New Roman" w:hAnsi="Times New Roman"/>
          <w:b/>
          <w:sz w:val="28"/>
        </w:rPr>
        <w:t>Unauthorized Practice of Law</w:t>
      </w:r>
    </w:p>
    <w:p>
      <w:pPr>
        <w:pStyle w:val="Normal"/>
        <w:spacing w:lineRule="exact" w:line="3"/>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2"/>
        <w:ind w:firstLine="720" w:end="0"/>
        <w:jc w:val="both"/>
        <w:rPr/>
      </w:pPr>
      <w:r>
        <w:rPr>
          <w:rFonts w:eastAsia="Times New Roman" w:cs="Times New Roman" w:ascii="Times New Roman" w:hAnsi="Times New Roman"/>
          <w:sz w:val="24"/>
        </w:rPr>
        <w:t xml:space="preserve">A final factor in determining the services a real estate broker may provide in a short sale situation relates to a State Bar’s position as to what constitutes the unauthorized practice of law. While Commission staff is not aware of any advisory or ethical opinions issued by the North Carolina State Bar related directly to short sale transactions, it may be that attempts to negotiate acceptable terms with servicers/lenders on behalf of the owner might be considered the practice of law. Certainly </w:t>
      </w:r>
      <w:r>
        <w:rPr>
          <w:rFonts w:eastAsia="Times New Roman" w:cs="Times New Roman" w:ascii="Times New Roman" w:hAnsi="Times New Roman"/>
          <w:i/>
          <w:sz w:val="24"/>
        </w:rPr>
        <w:t>to attempt to counsel the owner concerning the legal and tax implications and effects resulting from a short sale would be viewed as legal advice or services that should not be provided by someone who is not properly licensed as an attorney in North Carolina</w:t>
      </w:r>
      <w:r>
        <w:rPr>
          <w:rFonts w:eastAsia="Times New Roman" w:cs="Times New Roman" w:ascii="Times New Roman" w:hAnsi="Times New Roman"/>
          <w:sz w:val="24"/>
        </w:rPr>
        <w:t>. One might</w:t>
      </w:r>
      <w:r>
        <w:rPr>
          <w:rFonts w:eastAsia="Times New Roman" w:cs="Times New Roman" w:ascii="Times New Roman" w:hAnsi="Times New Roman"/>
          <w:i/>
          <w:sz w:val="24"/>
        </w:rPr>
        <w:t xml:space="preserve"> </w:t>
      </w:r>
      <w:r>
        <w:rPr>
          <w:rFonts w:eastAsia="Times New Roman" w:cs="Times New Roman" w:ascii="Times New Roman" w:hAnsi="Times New Roman"/>
          <w:sz w:val="24"/>
        </w:rPr>
        <w:t>consider Authorized Practice Advisory Opinion 2002-1 issued by the State Bar January 24, 2003 as to whether a non-lawyer may handle a residential closing. The list of acts which if performed by a non-lawyer would constitute the unauthorized practice of law include: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998" w:leader="none"/>
        </w:tabs>
        <w:spacing w:lineRule="auto" w:line="249"/>
        <w:ind w:start="720" w:end="0"/>
        <w:jc w:val="both"/>
        <w:rPr>
          <w:rFonts w:ascii="Arial" w:hAnsi="Arial" w:eastAsia="Arial" w:cs="Arial"/>
          <w:sz w:val="24"/>
        </w:rPr>
      </w:pPr>
      <w:r>
        <w:rPr>
          <w:rFonts w:eastAsia="Times New Roman" w:cs="Times New Roman" w:ascii="Times New Roman" w:hAnsi="Times New Roman"/>
          <w:sz w:val="24"/>
        </w:rPr>
        <w:t>provides a legal opinion or advice in response to inquiries by any of the parties regarding legal rights or obligations created by a promissory note, the effect of a pre-payment penalty, the rights of parties under a right of rescission, and the rights of a lender under a deed of trust;</w:t>
      </w:r>
    </w:p>
    <w:p>
      <w:pPr>
        <w:pStyle w:val="Normal"/>
        <w:spacing w:lineRule="exact" w:line="231"/>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967" w:leader="none"/>
        </w:tabs>
        <w:spacing w:lineRule="auto" w:line="268"/>
        <w:ind w:start="720" w:end="0"/>
        <w:rPr>
          <w:rFonts w:ascii="Arial" w:hAnsi="Arial" w:eastAsia="Arial" w:cs="Arial"/>
          <w:sz w:val="24"/>
        </w:rPr>
      </w:pPr>
      <w:r>
        <w:rPr>
          <w:rFonts w:eastAsia="Times New Roman" w:cs="Times New Roman" w:ascii="Times New Roman" w:hAnsi="Times New Roman"/>
          <w:sz w:val="24"/>
        </w:rPr>
        <w:t>attempts to settle or resolve a dispute between the parties to the transaction that will have implications with respect to their respective legal rights or obligations;</w:t>
      </w:r>
    </w:p>
    <w:p>
      <w:pPr>
        <w:pStyle w:val="Normal"/>
        <w:spacing w:lineRule="exact" w:line="205"/>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015" w:leader="none"/>
        </w:tabs>
        <w:spacing w:lineRule="auto" w:line="254"/>
        <w:ind w:start="720" w:end="0"/>
        <w:jc w:val="both"/>
        <w:rPr>
          <w:rFonts w:ascii="Arial" w:hAnsi="Arial" w:eastAsia="Arial" w:cs="Arial"/>
          <w:sz w:val="24"/>
        </w:rPr>
      </w:pPr>
      <w:r>
        <w:rPr>
          <w:rFonts w:eastAsia="Times New Roman" w:cs="Times New Roman" w:ascii="Times New Roman" w:hAnsi="Times New Roman"/>
          <w:sz w:val="24"/>
        </w:rPr>
        <w:t>explains or recommends a course of action to a party to the transaction under circumstances that require the exercise of legal judgment or that have implications with respect to the party’s legal rights or obligations.</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 licensee who engages in the unauthorized practice of law violates Real Estate License Law (G.S. 93A-6(a)(11)) and may be subject to disciplinary action by the Real Estate Commission, in addition to possible criminal prosecution or investigation by the North Carolina State Bar.</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-24-</w:t>
      </w:r>
    </w:p>
    <w:p>
      <w:pPr>
        <w:sectPr>
          <w:type w:val="continuous"/>
          <w:pgSz w:w="12240" w:h="15840"/>
          <w:pgMar w:left="1440" w:right="1440" w:gutter="0" w:header="0" w:top="1270" w:footer="0" w:bottom="169"/>
          <w:formProt w:val="false"/>
          <w:textDirection w:val="lrTb"/>
          <w:docGrid w:type="default" w:linePitch="360" w:charSpace="0"/>
        </w:sectPr>
      </w:pPr>
    </w:p>
    <w:p>
      <w:pPr>
        <w:pStyle w:val="Normal"/>
        <w:spacing w:lineRule="atLeast" w:line="0"/>
        <w:rPr/>
      </w:pPr>
      <w:bookmarkStart w:id="27" w:name="page25"/>
      <w:bookmarkEnd w:id="27"/>
      <w:r>
        <w:rPr>
          <w:rFonts w:eastAsia="Times New Roman" w:cs="Times New Roman" w:ascii="Times New Roman" w:hAnsi="Times New Roman"/>
          <w:b/>
          <w:sz w:val="32"/>
        </w:rPr>
        <w:t>S</w:t>
      </w:r>
      <w:r>
        <w:rPr>
          <w:rFonts w:eastAsia="Times New Roman" w:cs="Times New Roman" w:ascii="Times New Roman" w:hAnsi="Times New Roman"/>
          <w:b/>
          <w:sz w:val="25"/>
        </w:rPr>
        <w:t>HORT</w:t>
      </w:r>
      <w:r>
        <w:rPr>
          <w:rFonts w:eastAsia="Times New Roman" w:cs="Times New Roman" w:ascii="Times New Roman" w:hAnsi="Times New Roman"/>
          <w:b/>
          <w:sz w:val="32"/>
        </w:rPr>
        <w:t xml:space="preserve"> S</w:t>
      </w:r>
      <w:r>
        <w:rPr>
          <w:rFonts w:eastAsia="Times New Roman" w:cs="Times New Roman" w:ascii="Times New Roman" w:hAnsi="Times New Roman"/>
          <w:b/>
          <w:sz w:val="25"/>
        </w:rPr>
        <w:t>ALE</w:t>
      </w:r>
      <w:r>
        <w:rPr>
          <w:rFonts w:eastAsia="Times New Roman" w:cs="Times New Roman" w:ascii="Times New Roman" w:hAnsi="Times New Roman"/>
          <w:b/>
          <w:sz w:val="32"/>
        </w:rPr>
        <w:t xml:space="preserve"> F</w:t>
      </w:r>
      <w:r>
        <w:rPr>
          <w:rFonts w:eastAsia="Times New Roman" w:cs="Times New Roman" w:ascii="Times New Roman" w:hAnsi="Times New Roman"/>
          <w:b/>
          <w:sz w:val="25"/>
        </w:rPr>
        <w:t>RAUD</w:t>
      </w:r>
    </w:p>
    <w:p>
      <w:pPr>
        <w:pStyle w:val="Normal"/>
        <w:spacing w:lineRule="exact" w:line="279"/>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42"/>
        <w:ind w:firstLine="720" w:end="0"/>
        <w:jc w:val="both"/>
        <w:rPr/>
      </w:pPr>
      <w:r>
        <w:rPr>
          <w:rFonts w:eastAsia="Times New Roman" w:cs="Times New Roman" w:ascii="Times New Roman" w:hAnsi="Times New Roman"/>
          <w:sz w:val="24"/>
        </w:rPr>
        <w:t>The two areas most susceptible to fraud in a short sale situation are those in which 1) the owner-borrower has not experienced any particular hardship, but wishes to walk away from the property, despite their ability to make the monthly payments or 2) the prospective buyer engages in a practice known as “flopping.” The first practice is known in the mortgage industry as a strategic default and is neither well received nor explainable. The consequences for one who voluntarily walks away from a mortgage obligation by choice, rather than hardship, may be more severe than one who defaults because of a hardship event and lack of ability. For example, Fannie Mae recently announced that it is not willing to guarantee or purchase a loan for a person who has strategically defaulted on a loan within the preceding seven years, but it will consider guaranteeing or purchasing a loan as early as two or three years after a default arising from some hardship life event.</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The default may be reflected on one’s credit history for up to ten years. Someone with a credit score in the low 700s may fall back into the high 500s after a mortgage default. Not only will the lower credit score make it more difficult to obtain credit, it may also influence future landlords’ willingness to rent and it may impact insurance rates as well, as most automobile insurance policies consider credit scores in setting premiums.</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6"/>
        </w:rPr>
        <w:t>“</w:t>
      </w:r>
      <w:r>
        <w:rPr>
          <w:rFonts w:eastAsia="Times New Roman" w:cs="Times New Roman" w:ascii="Times New Roman" w:hAnsi="Times New Roman"/>
          <w:b/>
          <w:sz w:val="26"/>
        </w:rPr>
        <w:t>Flopping”</w:t>
      </w:r>
    </w:p>
    <w:p>
      <w:pPr>
        <w:pStyle w:val="Normal"/>
        <w:spacing w:lineRule="auto" w:line="242"/>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Flopping” is similar to “flipping,” in that it involves a resale of the property within a few months after the purchaser has acquired title. It occurs when a buyer attempts to purchase property below what s/he believes the true fair market value is with the intent to sell it to another buyer for a higher price. The initial buyer may already have buyer #2 lined up, and the seller may or may not be complicit in the scheme. The problem is that no one tells the lender/servicer about buyer #2 who is willing to pay </w:t>
      </w:r>
      <w:r>
        <w:rPr>
          <w:rFonts w:eastAsia="Times New Roman" w:cs="Times New Roman" w:ascii="Times New Roman" w:hAnsi="Times New Roman"/>
          <w:i/>
          <w:sz w:val="24"/>
        </w:rPr>
        <w:t>x</w:t>
      </w:r>
      <w:r>
        <w:rPr>
          <w:rFonts w:eastAsia="Times New Roman" w:cs="Times New Roman" w:ascii="Times New Roman" w:hAnsi="Times New Roman"/>
          <w:sz w:val="24"/>
        </w:rPr>
        <w:t xml:space="preserve"> dollars more than buyer #1, thereby lessening lender’s loss. Why would any lender approve a contract for </w:t>
      </w:r>
      <w:r>
        <w:rPr>
          <w:rFonts w:eastAsia="Times New Roman" w:cs="Times New Roman" w:ascii="Times New Roman" w:hAnsi="Times New Roman"/>
          <w:i/>
          <w:sz w:val="24"/>
        </w:rPr>
        <w:t>x</w:t>
      </w:r>
      <w:r>
        <w:rPr>
          <w:rFonts w:eastAsia="Times New Roman" w:cs="Times New Roman" w:ascii="Times New Roman" w:hAnsi="Times New Roman"/>
          <w:sz w:val="24"/>
        </w:rPr>
        <w:t xml:space="preserve"> if it was aware that another person was willing to pay </w:t>
      </w:r>
      <w:r>
        <w:rPr>
          <w:rFonts w:eastAsia="Times New Roman" w:cs="Times New Roman" w:ascii="Times New Roman" w:hAnsi="Times New Roman"/>
          <w:i/>
          <w:sz w:val="24"/>
        </w:rPr>
        <w:t>x + y</w:t>
      </w:r>
      <w:r>
        <w:rPr>
          <w:rFonts w:eastAsia="Times New Roman" w:cs="Times New Roman" w:ascii="Times New Roman" w:hAnsi="Times New Roman"/>
          <w:sz w:val="24"/>
        </w:rPr>
        <w:t>? Therein lies the loan fraud. A study released by CoreLogic in the Spring of 2011 estimated that the cost of flopping would exceed $375 million in 2011, up 20% from 2010.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720" w:end="0"/>
        <w:jc w:val="both"/>
        <w:rPr/>
      </w:pPr>
      <w:r>
        <w:rPr>
          <w:rFonts w:eastAsia="Times New Roman" w:cs="Times New Roman" w:ascii="Times New Roman" w:hAnsi="Times New Roman"/>
          <w:i/>
          <w:sz w:val="24"/>
        </w:rPr>
        <w:t>Any broker</w:t>
      </w:r>
      <w:r>
        <w:rPr>
          <w:rFonts w:eastAsia="Times New Roman" w:cs="Times New Roman" w:ascii="Times New Roman" w:hAnsi="Times New Roman"/>
          <w:sz w:val="24"/>
        </w:rPr>
        <w:t xml:space="preserve"> involved in a short sale transaction, whether as listing/seller agent or buyer agent, who becomes aware of such a scheme should exercise extreme caution if s/he attempts to stay in the transaction. All brokers, whether seller or buyer agents, minimally would be expected to alert the lender to the fact that there appears to be another buyer waiting in the wings and what the terms of the secondary contract between buyer#1 and buyer #2 are, if known to the broker. An agent who is approached by a buyer who outlines such a scheme would be wise to refuse to work with such buyer.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32"/>
        </w:rPr>
        <w:t>C</w:t>
      </w:r>
      <w:r>
        <w:rPr>
          <w:rFonts w:eastAsia="Times New Roman" w:cs="Times New Roman" w:ascii="Times New Roman" w:hAnsi="Times New Roman"/>
          <w:b/>
          <w:sz w:val="25"/>
        </w:rPr>
        <w:t>ONCLUSION</w:t>
      </w:r>
    </w:p>
    <w:p>
      <w:pPr>
        <w:pStyle w:val="Normal"/>
        <w:spacing w:lineRule="exact" w:line="276"/>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720" w:end="0"/>
        <w:rPr/>
      </w:pPr>
      <w:r>
        <w:rPr>
          <w:rFonts w:eastAsia="Times New Roman" w:cs="Times New Roman" w:ascii="Times New Roman" w:hAnsi="Times New Roman"/>
          <w:sz w:val="24"/>
        </w:rPr>
        <w:t xml:space="preserve">As noted in an article in the May 2011 </w:t>
      </w:r>
      <w:r>
        <w:rPr>
          <w:rFonts w:eastAsia="Times New Roman" w:cs="Times New Roman" w:ascii="Times New Roman" w:hAnsi="Times New Roman"/>
          <w:i/>
          <w:sz w:val="24"/>
        </w:rPr>
        <w:t>Real Estate Bulletin</w:t>
      </w:r>
      <w:r>
        <w:rPr>
          <w:rFonts w:eastAsia="Times New Roman" w:cs="Times New Roman" w:ascii="Times New Roman" w:hAnsi="Times New Roman"/>
          <w:sz w:val="24"/>
        </w:rPr>
        <w:t xml:space="preserve"> regarding short sales:</w:t>
      </w:r>
    </w:p>
    <w:p>
      <w:pPr>
        <w:sectPr>
          <w:type w:val="nextPage"/>
          <w:pgSz w:w="12240" w:h="15840"/>
          <w:pgMar w:left="1440" w:right="1440" w:gutter="0" w:header="0" w:top="1266"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-25-</w:t>
      </w:r>
    </w:p>
    <w:p>
      <w:pPr>
        <w:sectPr>
          <w:type w:val="continuous"/>
          <w:pgSz w:w="12240" w:h="15840"/>
          <w:pgMar w:left="1440" w:right="1440" w:gutter="0" w:header="0" w:top="1266" w:footer="0" w:bottom="169"/>
          <w:formProt w:val="false"/>
          <w:textDirection w:val="lrTb"/>
          <w:docGrid w:type="default" w:linePitch="360" w:charSpace="0"/>
        </w:sectPr>
      </w:pPr>
    </w:p>
    <w:p>
      <w:pPr>
        <w:pStyle w:val="Normal"/>
        <w:spacing w:lineRule="auto" w:line="244"/>
        <w:ind w:start="720" w:end="720"/>
        <w:jc w:val="both"/>
        <w:rPr>
          <w:rFonts w:ascii="Times New Roman" w:hAnsi="Times New Roman" w:eastAsia="Times New Roman" w:cs="Times New Roman"/>
          <w:sz w:val="24"/>
        </w:rPr>
      </w:pPr>
      <w:bookmarkStart w:id="28" w:name="page26"/>
      <w:bookmarkEnd w:id="28"/>
      <w:r>
        <w:rPr>
          <w:rFonts w:eastAsia="Times New Roman" w:cs="Times New Roman" w:ascii="Times New Roman" w:hAnsi="Times New Roman"/>
          <w:sz w:val="24"/>
        </w:rPr>
        <w:t>In summary, short sales involve significant risk to both sellers and buyers. Sellers may face many financial issues before, during and after the closing. The buyer must understand that not all short sales are bargains, that short sales generally are not short transactions, and just because the parties have signed a contract does not mean that the buyer will get the house. Brokers should be well versed on these types of transactions before engaging in a short sale and should fully disclose all potential issues to their clients.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Again, so long as brokers limit their services to brokerage activity, i.e., assisting the parties, namely, seller and buyer, in arriving at an agreement and acting as a conduit for the transfer of information, but not “negotiating” the terms of an acceptable contract with the seller’s lender, and certainly not attempting to advise the seller on the legal and tax consequences, then the broker most likely will not run afoul either of the North Carolina State Bar nor may that broker be subject to the Federal Trade Commission’s Mortgage Assistance Relief Services rule.</w:t>
      </w:r>
    </w:p>
    <w:p>
      <w:pPr>
        <w:sectPr>
          <w:type w:val="nextPage"/>
          <w:pgSz w:w="12240" w:h="15840"/>
          <w:pgMar w:left="1440" w:right="1440" w:gutter="0" w:header="0" w:top="1270" w:footer="0" w:bottom="16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-26-</w:t>
      </w:r>
    </w:p>
    <w:p>
      <w:pPr>
        <w:sectPr>
          <w:type w:val="continuous"/>
          <w:pgSz w:w="12240" w:h="15840"/>
          <w:pgMar w:left="1440" w:right="1440" w:gutter="0" w:header="0" w:top="1270" w:footer="0" w:bottom="169"/>
          <w:formProt w:val="false"/>
          <w:textDirection w:val="lrTb"/>
          <w:docGrid w:type="default" w:linePitch="360" w:charSpace="0"/>
        </w:sectPr>
      </w:pPr>
    </w:p>
    <w:p>
      <w:pPr>
        <w:pStyle w:val="Normal"/>
        <w:spacing w:lineRule="atLeast" w:line="0"/>
        <w:ind w:end="11"/>
        <w:jc w:val="center"/>
        <w:rPr>
          <w:rFonts w:ascii="Times New Roman" w:hAnsi="Times New Roman" w:eastAsia="Times New Roman" w:cs="Times New Roman"/>
          <w:b/>
        </w:rPr>
      </w:pPr>
      <w:bookmarkStart w:id="29" w:name="page27"/>
      <w:bookmarkEnd w:id="29"/>
      <w:r>
        <w:rPr>
          <w:rFonts w:eastAsia="Times New Roman" w:cs="Times New Roman" w:ascii="Times New Roman" w:hAnsi="Times New Roman"/>
          <w:b/>
        </w:rPr>
        <w:t>SHORT SALE ADDENDUM</w:t>
      </w:r>
    </w:p>
    <w:p>
      <w:pPr>
        <w:pStyle w:val="Normal"/>
        <w:spacing w:lineRule="exact" w:line="3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9" w:end="0"/>
        <w:rPr>
          <w:rFonts w:ascii="Times New Roman" w:hAnsi="Times New Roman" w:eastAsia="Times New Roman" w:cs="Times New Roman"/>
        </w:rPr>
      </w:pPr>
      <w:r>
        <w:rPr>
          <w:rFonts w:eastAsia="Times New Roman" w:cs="Times New Roman" w:ascii="Times New Roman" w:hAnsi="Times New Roman"/>
        </w:rPr>
        <w:t>Property:  ___________________________________________________________________________________________________</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rFonts w:ascii="Times New Roman" w:hAnsi="Times New Roman" w:eastAsia="Times New Roman" w:cs="Times New Roman"/>
        </w:rPr>
      </w:pPr>
      <w:r>
        <w:rPr>
          <w:rFonts w:eastAsia="Times New Roman" w:cs="Times New Roman" w:ascii="Times New Roman" w:hAnsi="Times New Roman"/>
        </w:rPr>
        <w:t>Seller: ______________________________________________________________________________________________________</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rFonts w:ascii="Times New Roman" w:hAnsi="Times New Roman" w:eastAsia="Times New Roman" w:cs="Times New Roman"/>
        </w:rPr>
      </w:pPr>
      <w:r>
        <w:rPr>
          <w:rFonts w:eastAsia="Times New Roman" w:cs="Times New Roman" w:ascii="Times New Roman" w:hAnsi="Times New Roman"/>
        </w:rPr>
        <w:t>Buyer: ______________________________________________________________________________________________________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
            <wp:simplePos x="0" y="0"/>
            <wp:positionH relativeFrom="column">
              <wp:posOffset>1175385</wp:posOffset>
            </wp:positionH>
            <wp:positionV relativeFrom="paragraph">
              <wp:posOffset>184150</wp:posOffset>
            </wp:positionV>
            <wp:extent cx="3916680" cy="6656070"/>
            <wp:effectExtent l="0" t="0" r="0" b="0"/>
            <wp:wrapNone/>
            <wp:docPr id="1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 descr="" title=""/>
                    <pic:cNvPicPr>
                      <a:picLocks noChangeAspect="1" noChangeArrowheads="1"/>
                    </pic:cNvPicPr>
                  </pic:nvPicPr>
                  <pic:blipFill>
                    <a:blip r:embed="rId4"/>
                    <a:srcRect l="-5" t="-3" r="-5" b="-3"/>
                    <a:stretch>
                      <a:fillRect/>
                    </a:stretch>
                  </pic:blipFill>
                  <pic:spPr bwMode="auto">
                    <a:xfrm>
                      <a:off x="0" y="0"/>
                      <a:ext cx="3916680" cy="6656070"/>
                    </a:xfrm>
                    <a:prstGeom prst="rect">
                      <a:avLst/>
                    </a:prstGeom>
                  </pic:spPr>
                </pic:pic>
              </a:graphicData>
            </a:graphic>
          </wp:anchor>
        </w:drawing>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start="9" w:end="0"/>
        <w:rPr/>
      </w:pPr>
      <w:r>
        <w:rPr>
          <w:rFonts w:eastAsia="Times New Roman" w:cs="Times New Roman" w:ascii="Times New Roman" w:hAnsi="Times New Roman"/>
        </w:rPr>
        <w:t>This Addendum is attached to and made a part of the Offer to Purchase and Contract (“Contract”) between Seller and Buyer for the Property.</w:t>
      </w:r>
    </w:p>
    <w:p>
      <w:pPr>
        <w:pStyle w:val="Normal"/>
        <w:spacing w:lineRule="exact" w:line="19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369" w:leader="none"/>
        </w:tabs>
        <w:spacing w:lineRule="auto" w:line="244"/>
        <w:ind w:hanging="9" w:start="9" w:end="0"/>
        <w:jc w:val="both"/>
        <w:rPr>
          <w:rFonts w:ascii="Times New Roman" w:hAnsi="Times New Roman" w:eastAsia="Times New Roman" w:cs="Times New Roman"/>
        </w:rPr>
      </w:pPr>
      <w:r>
        <w:rPr>
          <w:rFonts w:eastAsia="Times New Roman" w:cs="Times New Roman" w:ascii="Times New Roman" w:hAnsi="Times New Roman"/>
          <w:b/>
        </w:rPr>
        <w:t>Short Sale Defined</w:t>
      </w:r>
      <w:r>
        <w:rPr>
          <w:rFonts w:eastAsia="Times New Roman" w:cs="Times New Roman" w:ascii="Times New Roman" w:hAnsi="Times New Roman"/>
        </w:rPr>
        <w:t>: For purposes of this Contract, a “Short Sale” is a sale where: (i) the Purchase Price is or may be insufficient to enable Seller to pay the costs of sale, which include but are not limited to the Seller’s closing costs and payment in full of all loans or debts secured by deeds of trust on the Property due and owing to one or more lender(s) and/or other lienholders (“Lienholders”), (ii) Seller does not have sufficient liquid assets to pay the costs of sale, and (iii) the Lienholders agree to release or discharge their liens upon payment of an amount less than the amount secured by their liens with or without the Seller being released from any further liability.</w:t>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369" w:leader="none"/>
        </w:tabs>
        <w:spacing w:lineRule="auto" w:line="242"/>
        <w:ind w:hanging="9" w:start="9" w:end="0"/>
        <w:jc w:val="both"/>
        <w:rPr/>
      </w:pPr>
      <w:r>
        <w:rPr>
          <w:rFonts w:eastAsia="Times New Roman" w:cs="Times New Roman" w:ascii="Times New Roman" w:hAnsi="Times New Roman"/>
          <w:b/>
        </w:rPr>
        <w:t>Contingency:</w:t>
      </w:r>
      <w:r>
        <w:rPr>
          <w:rFonts w:eastAsia="Times New Roman" w:cs="Times New Roman" w:ascii="Times New Roman" w:hAnsi="Times New Roman"/>
        </w:rPr>
        <w:t xml:space="preserve"> This Contract is contingent upon Seller obtaining Short Sale approval from Lienholders effective through Closing (“Lienholders’ Approval”) in an amount which will enable Seller to close and convey title in accordance with the Contract. Seller shall use best efforts to obtain Lienholders’ Approval and shall reasonably cooperate in the Short Sale process by providing such documentation as may be required. Buyer and Seller understand that Lienholders’ Approval may take several weeks or months to obtain, and neither the Seller nor any real estate agent representing Seller or Buyer can guarantee the timeliness of Lienholders’ review, approval or rejection. If Lienholders reject the Short Sale, then either party may terminate this Contract by written notice to the other party and the Earnest Money Deposit shall be refunded to Buyer.</w:t>
      </w:r>
    </w:p>
    <w:p>
      <w:pPr>
        <w:pStyle w:val="Normal"/>
        <w:spacing w:lineRule="exact" w:line="230"/>
        <w:rPr/>
      </w:pPr>
      <w:r>
        <w:rPr/>
      </w:r>
    </w:p>
    <w:p>
      <w:pPr>
        <w:pStyle w:val="Normal"/>
        <w:numPr>
          <w:ilvl w:val="0"/>
          <w:numId w:val="19"/>
        </w:numPr>
        <w:tabs>
          <w:tab w:val="clear" w:pos="720"/>
          <w:tab w:val="left" w:pos="370" w:leader="none"/>
        </w:tabs>
        <w:spacing w:lineRule="auto" w:line="256"/>
        <w:ind w:hanging="9" w:start="9" w:end="0"/>
        <w:jc w:val="both"/>
        <w:rPr>
          <w:rFonts w:ascii="Times New Roman" w:hAnsi="Times New Roman" w:eastAsia="Times New Roman" w:cs="Times New Roman"/>
        </w:rPr>
      </w:pPr>
      <w:r>
        <w:rPr>
          <w:rFonts w:eastAsia="Times New Roman" w:cs="Times New Roman" w:ascii="Times New Roman" w:hAnsi="Times New Roman"/>
          <w:b/>
        </w:rPr>
        <w:t>Notice of Lienholders’ Approval and Buyer’s Right to Terminate:</w:t>
      </w:r>
      <w:r>
        <w:rPr>
          <w:rFonts w:eastAsia="Times New Roman" w:cs="Times New Roman" w:ascii="Times New Roman" w:hAnsi="Times New Roman"/>
        </w:rPr>
        <w:t xml:space="preserve"> Seller agrees to provide Buyer with written notice of Lienholders’ Approval. Buyer may terminate the Contract at any time prior to receipt of the Lienholders Approval by written notice to Seller, and, in such event the Earnest Money Deposit shall be refunded to Buyer.</w:t>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369" w:leader="none"/>
        </w:tabs>
        <w:spacing w:lineRule="atLeast" w:line="0"/>
        <w:ind w:hanging="369" w:start="369" w:end="0"/>
        <w:rPr>
          <w:rFonts w:ascii="Times New Roman" w:hAnsi="Times New Roman" w:eastAsia="Times New Roman" w:cs="Times New Roman"/>
        </w:rPr>
      </w:pPr>
      <w:r>
        <w:rPr>
          <w:rFonts w:eastAsia="Times New Roman" w:cs="Times New Roman" w:ascii="Times New Roman" w:hAnsi="Times New Roman"/>
          <w:b/>
        </w:rPr>
        <w:t>No Guarantee of Lienholders’ Approval:</w:t>
      </w:r>
      <w:r>
        <w:rPr>
          <w:rFonts w:eastAsia="Times New Roman" w:cs="Times New Roman" w:ascii="Times New Roman" w:hAnsi="Times New Roman"/>
        </w:rPr>
        <w:t xml:space="preserve"> Buyer and Seller understand that:</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9" w:end="0"/>
        <w:rPr>
          <w:rFonts w:ascii="Times New Roman" w:hAnsi="Times New Roman" w:eastAsia="Times New Roman" w:cs="Times New Roman"/>
        </w:rPr>
      </w:pPr>
      <w:r>
        <w:rPr>
          <w:rFonts w:eastAsia="Times New Roman" w:cs="Times New Roman" w:ascii="Times New Roman" w:hAnsi="Times New Roman"/>
        </w:rPr>
        <w:t>No Lienholder is required or obligated to accept a Short Sale</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hanging="55" w:start="769" w:end="0"/>
        <w:rPr>
          <w:rFonts w:ascii="Times New Roman" w:hAnsi="Times New Roman" w:eastAsia="Times New Roman" w:cs="Times New Roman"/>
        </w:rPr>
      </w:pPr>
      <w:r>
        <w:rPr>
          <w:rFonts w:eastAsia="Times New Roman" w:cs="Times New Roman" w:ascii="Times New Roman" w:hAnsi="Times New Roman"/>
        </w:rPr>
        <w:t>Lienholders may require some terms of the Contract be amended in exchange for approval of a Short Sale, including acceleration of the Due Diligence Period and Settlement Date</w:t>
      </w:r>
    </w:p>
    <w:p>
      <w:pPr>
        <w:pStyle w:val="Normal"/>
        <w:spacing w:lineRule="atLeast" w:line="0"/>
        <w:ind w:start="409" w:end="0"/>
        <w:rPr/>
      </w:pPr>
      <w:r>
        <w:rPr>
          <w:rFonts w:eastAsia="Times New Roman" w:cs="Times New Roman" w:ascii="Times New Roman" w:hAnsi="Times New Roman"/>
        </w:rPr>
        <w:t>Buyer and Seller are not obligated to agree to any of Lienholders’ proposed terms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9" w:end="0"/>
        <w:rPr>
          <w:rFonts w:ascii="Times New Roman" w:hAnsi="Times New Roman" w:eastAsia="Times New Roman" w:cs="Times New Roman"/>
          <w:b/>
        </w:rPr>
      </w:pPr>
      <w:r>
        <w:rPr>
          <w:rFonts w:eastAsia="Times New Roman" w:cs="Times New Roman" w:ascii="Times New Roman" w:hAnsi="Times New Roman"/>
          <w:b/>
        </w:rPr>
        <w:t>NEITHER  THE  BUYER,  THE  SELLER,  THE  SETTLEMENT  AGENT  NOR  THE  BROKERS  IN  THIS</w:t>
      </w:r>
    </w:p>
    <w:p>
      <w:pPr>
        <w:pStyle w:val="Normal"/>
        <w:spacing w:lineRule="auto" w:line="276"/>
        <w:ind w:start="769" w:end="0"/>
        <w:rPr/>
      </w:pPr>
      <w:r>
        <w:rPr>
          <w:rFonts w:eastAsia="Times New Roman" w:cs="Times New Roman" w:ascii="Times New Roman" w:hAnsi="Times New Roman"/>
          <w:b/>
        </w:rPr>
        <w:t>TRANSACTION HAVE ANY CONTROL OVER LIENHOLDERS’ APPROVAL, OR ANY ACT, OMISSION OR DECISION BY ANY LIENHOLDERS IN THE SHORT SALE PROCESS.</w:t>
      </w:r>
    </w:p>
    <w:p>
      <w:pPr>
        <w:pStyle w:val="Normal"/>
        <w:spacing w:lineRule="exact" w:line="191"/>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19"/>
        </w:numPr>
        <w:tabs>
          <w:tab w:val="clear" w:pos="720"/>
          <w:tab w:val="left" w:pos="370" w:leader="none"/>
        </w:tabs>
        <w:spacing w:lineRule="auto" w:line="256"/>
        <w:ind w:hanging="9" w:start="9" w:end="0"/>
        <w:jc w:val="both"/>
        <w:rPr>
          <w:rFonts w:ascii="Times New Roman" w:hAnsi="Times New Roman" w:eastAsia="Times New Roman" w:cs="Times New Roman"/>
        </w:rPr>
      </w:pPr>
      <w:r>
        <w:rPr>
          <w:rFonts w:eastAsia="Times New Roman" w:cs="Times New Roman" w:ascii="Times New Roman" w:hAnsi="Times New Roman"/>
          <w:b/>
        </w:rPr>
        <w:t>No Repairs</w:t>
      </w:r>
      <w:r>
        <w:rPr>
          <w:rFonts w:eastAsia="Times New Roman" w:cs="Times New Roman" w:ascii="Times New Roman" w:hAnsi="Times New Roman"/>
        </w:rPr>
        <w:t>: Buyer acknowledges that Seller may not be financially able to make any repairs to the Property that Buyer may request. This acknowledgement shall not affect any rights that Buyer may have under the Contract to terminate the Contract as a result of any election Seller may make not to make repairs.</w:t>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369" w:leader="none"/>
        </w:tabs>
        <w:spacing w:lineRule="auto" w:line="252"/>
        <w:ind w:hanging="9" w:start="9" w:end="0"/>
        <w:jc w:val="both"/>
        <w:rPr>
          <w:rFonts w:ascii="Times New Roman" w:hAnsi="Times New Roman" w:eastAsia="Times New Roman" w:cs="Times New Roman"/>
        </w:rPr>
      </w:pPr>
      <w:r>
        <w:rPr>
          <w:rFonts w:eastAsia="Times New Roman" w:cs="Times New Roman" w:ascii="Times New Roman" w:hAnsi="Times New Roman"/>
          <w:b/>
        </w:rPr>
        <w:t>Other Offers:</w:t>
      </w:r>
      <w:r>
        <w:rPr>
          <w:rFonts w:eastAsia="Times New Roman" w:cs="Times New Roman" w:ascii="Times New Roman" w:hAnsi="Times New Roman"/>
        </w:rPr>
        <w:t xml:space="preserve"> Buyer and Seller understand that additional offers may be received by the Seller’s Agent, which must be presented to the Seller and to Lienholders pursuant to North Carolina law. Such offers may be accepted by the Seller as backup contracts and forwarded to Lienholders for review and approval. Buyer and Seller are advised to seek advice from an attorney to determine their rights and obligations.</w:t>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370" w:leader="none"/>
        </w:tabs>
        <w:spacing w:lineRule="auto" w:line="247"/>
        <w:ind w:hanging="9" w:start="9" w:end="0"/>
        <w:jc w:val="both"/>
        <w:rPr>
          <w:rFonts w:ascii="Times New Roman" w:hAnsi="Times New Roman" w:eastAsia="Times New Roman" w:cs="Times New Roman"/>
        </w:rPr>
      </w:pPr>
      <w:r>
        <w:rPr>
          <w:rFonts w:eastAsia="Times New Roman" w:cs="Times New Roman" w:ascii="Times New Roman" w:hAnsi="Times New Roman"/>
          <w:b/>
        </w:rPr>
        <w:t>Foreclosure:</w:t>
      </w:r>
      <w:r>
        <w:rPr>
          <w:rFonts w:eastAsia="Times New Roman" w:cs="Times New Roman" w:ascii="Times New Roman" w:hAnsi="Times New Roman"/>
        </w:rPr>
        <w:t xml:space="preserve"> Seller represents that to the best of Seller’s knowledge, a foreclosure proceeding</w:t>
      </w:r>
      <w:r>
        <w:rPr>
          <w:rFonts w:eastAsia="Wingdings" w:cs="Wingdings" w:ascii="Wingdings" w:hAnsi="Wingdings"/>
        </w:rPr>
        <w:sym w:font="Wingdings" w:char="20"/>
        <w:sym w:font="Wingdings" w:char="f071"/>
      </w:r>
      <w:r>
        <w:rPr>
          <w:rFonts w:eastAsia="Times New Roman" w:cs="Times New Roman" w:ascii="Times New Roman" w:hAnsi="Times New Roman"/>
        </w:rPr>
        <w:t xml:space="preserve"> has not</w:t>
      </w:r>
      <w:r>
        <w:rPr>
          <w:rFonts w:eastAsia="Wingdings" w:cs="Wingdings" w:ascii="Wingdings" w:hAnsi="Wingdings"/>
        </w:rPr>
        <w:sym w:font="Wingdings" w:char="20"/>
        <w:sym w:font="Wingdings" w:char="f071"/>
      </w:r>
      <w:r>
        <w:rPr>
          <w:rFonts w:eastAsia="Times New Roman" w:cs="Times New Roman" w:ascii="Times New Roman" w:hAnsi="Times New Roman"/>
        </w:rPr>
        <w:t xml:space="preserve"> has been filed with respect to the Property. Further, if during the Short Sale process a foreclosure proceeding is filed, the Seller shall disclose such foreclosure filing to the Buyer. Buyer and Seller understand that if Closing does not occur before the completion of a foreclosure of the Property, Seller will lose all rights and interest in the Property. In such event, the Contract shall be void, and the Earnest Money Deposit shall be refunded to Buyer. Seller and Buyer acknowledge that if a real estate agent involved in the transaction contemplated</w:t>
      </w:r>
    </w:p>
    <w:p>
      <w:pPr>
        <w:pStyle w:val="Normal"/>
        <w:spacing w:lineRule="exact" w:line="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
        <w:jc w:val="center"/>
        <w:rPr>
          <w:rFonts w:ascii="Times New Roman" w:hAnsi="Times New Roman" w:eastAsia="Times New Roman" w:cs="Times New Roman"/>
          <w:sz w:val="22"/>
        </w:rPr>
      </w:pPr>
      <w:r>
        <w:rPr>
          <w:rFonts w:eastAsia="Times New Roman" w:cs="Times New Roman" w:ascii="Times New Roman" w:hAnsi="Times New Roman"/>
          <w:sz w:val="22"/>
        </w:rPr>
        <w:t>Page 1 of 2</w:t>
      </w:r>
    </w:p>
    <w:p>
      <w:pPr>
        <w:pStyle w:val="Normal"/>
        <w:spacing w:lineRule="exact" w:line="345"/>
        <w:rPr>
          <w:rFonts w:ascii="Times New Roman" w:hAnsi="Times New Roman" w:eastAsia="Times New Roman" w:cs="Times New Roman"/>
          <w:sz w:val="22"/>
        </w:rPr>
      </w:pPr>
      <w:r>
        <w:rPr>
          <w:rFonts w:eastAsia="Times New Roman" w:cs="Times New Roman" w:ascii="Times New Roman" w:hAnsi="Times New Roman"/>
          <w:sz w:val="22"/>
        </w:rPr>
      </w:r>
    </w:p>
    <w:tbl>
      <w:tblPr>
        <w:tblW w:w="9700" w:type="dxa"/>
        <w:jc w:val="start"/>
        <w:tblInd w:w="1109" w:type="dxa"/>
        <w:tblLayout w:type="fixed"/>
        <w:tblCellMar>
          <w:top w:w="0" w:type="dxa"/>
          <w:start w:w="0" w:type="dxa"/>
          <w:bottom w:w="0" w:type="dxa"/>
          <w:end w:w="0" w:type="dxa"/>
        </w:tblCellMar>
      </w:tblPr>
      <w:tblGrid>
        <w:gridCol w:w="4680"/>
        <w:gridCol w:w="5020"/>
      </w:tblGrid>
      <w:tr>
        <w:trPr>
          <w:trHeight w:val="230" w:hRule="atLeast"/>
        </w:trPr>
        <w:tc>
          <w:tcPr>
            <w:tcW w:w="4680" w:type="dxa"/>
            <w:tcBorders/>
          </w:tcPr>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This form jointly approved by:</w:t>
            </w:r>
          </w:p>
        </w:tc>
        <w:tc>
          <w:tcPr>
            <w:tcW w:w="5020" w:type="dxa"/>
            <w:tcBorders/>
          </w:tcPr>
          <w:p>
            <w:pPr>
              <w:pStyle w:val="Normal"/>
              <w:spacing w:lineRule="atLeast" w:line="0"/>
              <w:jc w:val="end"/>
              <w:rPr>
                <w:rFonts w:ascii="Times New Roman" w:hAnsi="Times New Roman" w:eastAsia="Times New Roman" w:cs="Times New Roman"/>
                <w:b/>
              </w:rPr>
            </w:pPr>
            <w:r>
              <w:rPr>
                <w:rFonts w:eastAsia="Times New Roman" w:cs="Times New Roman" w:ascii="Times New Roman" w:hAnsi="Times New Roman"/>
                <w:b/>
              </w:rPr>
              <w:t>STANDARD FORM 2A14-T</w:t>
            </w:r>
          </w:p>
        </w:tc>
      </w:tr>
      <w:tr>
        <w:trPr>
          <w:trHeight w:val="230" w:hRule="atLeast"/>
        </w:trPr>
        <w:tc>
          <w:tcPr>
            <w:tcW w:w="4680" w:type="dxa"/>
            <w:tcBorders/>
          </w:tcPr>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North Carolina Bar Association</w:t>
            </w:r>
          </w:p>
        </w:tc>
        <w:tc>
          <w:tcPr>
            <w:tcW w:w="5020" w:type="dxa"/>
            <w:tcBorders/>
          </w:tcPr>
          <w:p>
            <w:pPr>
              <w:pStyle w:val="Normal"/>
              <w:spacing w:lineRule="atLeast" w:line="0"/>
              <w:jc w:val="end"/>
              <w:rPr>
                <w:rFonts w:ascii="Times New Roman" w:hAnsi="Times New Roman" w:eastAsia="Times New Roman" w:cs="Times New Roman"/>
                <w:b/>
              </w:rPr>
            </w:pPr>
            <w:r>
              <w:rPr>
                <w:rFonts w:eastAsia="Times New Roman" w:cs="Times New Roman" w:ascii="Times New Roman" w:hAnsi="Times New Roman"/>
                <w:b/>
              </w:rPr>
              <w:t>Revised 7/2011</w:t>
            </w:r>
          </w:p>
        </w:tc>
      </w:tr>
      <w:tr>
        <w:trPr>
          <w:trHeight w:val="354" w:hRule="atLeast"/>
        </w:trPr>
        <w:tc>
          <w:tcPr>
            <w:tcW w:w="4680" w:type="dxa"/>
            <w:tcBorders/>
          </w:tcPr>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North Carolina Association of REALTORS , Inc.</w:t>
            </w:r>
          </w:p>
        </w:tc>
        <w:tc>
          <w:tcPr>
            <w:tcW w:w="5020" w:type="dxa"/>
            <w:tcBorders/>
          </w:tcPr>
          <w:p>
            <w:pPr>
              <w:pStyle w:val="Normal"/>
              <w:spacing w:lineRule="atLeast" w:line="0"/>
              <w:jc w:val="end"/>
              <w:rPr>
                <w:rFonts w:ascii="Times New Roman" w:hAnsi="Times New Roman" w:eastAsia="Times New Roman" w:cs="Times New Roman"/>
                <w:b/>
              </w:rPr>
            </w:pPr>
            <w:r>
              <w:rPr>
                <w:rFonts w:eastAsia="Times New Roman" w:cs="Times New Roman" w:ascii="Times New Roman" w:hAnsi="Times New Roman"/>
                <w:b/>
              </w:rPr>
              <w:t>© 7/2011</w:t>
            </w:r>
          </w:p>
        </w:tc>
      </w:tr>
      <w:tr>
        <w:trPr>
          <w:trHeight w:val="384" w:hRule="atLeast"/>
        </w:trPr>
        <w:tc>
          <w:tcPr>
            <w:tcW w:w="46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Buyer initials _______  _______ Seller initials _______</w:t>
            </w:r>
          </w:p>
        </w:tc>
        <w:tc>
          <w:tcPr>
            <w:tcW w:w="5020" w:type="dxa"/>
            <w:tcBorders/>
          </w:tcPr>
          <w:p>
            <w:pPr>
              <w:pStyle w:val="Normal"/>
              <w:spacing w:lineRule="atLeast" w:line="0"/>
              <w:ind w:end="4220"/>
              <w:jc w:val="end"/>
              <w:rPr>
                <w:rFonts w:ascii="Times New Roman" w:hAnsi="Times New Roman" w:eastAsia="Times New Roman" w:cs="Times New Roman"/>
              </w:rPr>
            </w:pPr>
            <w:r>
              <w:rPr>
                <w:rFonts w:eastAsia="Times New Roman" w:cs="Times New Roman" w:ascii="Times New Roman" w:hAnsi="Times New Roman"/>
              </w:rPr>
              <w:t>______</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
            <wp:simplePos x="0" y="0"/>
            <wp:positionH relativeFrom="column">
              <wp:posOffset>1905</wp:posOffset>
            </wp:positionH>
            <wp:positionV relativeFrom="paragraph">
              <wp:posOffset>-747395</wp:posOffset>
            </wp:positionV>
            <wp:extent cx="387350" cy="486410"/>
            <wp:effectExtent l="0" t="0" r="0" b="0"/>
            <wp:wrapNone/>
            <wp:docPr id="1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descr="" title=""/>
                    <pic:cNvPicPr>
                      <a:picLocks noChangeAspect="1" noChangeArrowheads="1"/>
                    </pic:cNvPicPr>
                  </pic:nvPicPr>
                  <pic:blipFill>
                    <a:blip r:embed="rId5"/>
                    <a:srcRect l="-47" t="-37" r="-47" b="-37"/>
                    <a:stretch>
                      <a:fillRect/>
                    </a:stretch>
                  </pic:blipFill>
                  <pic:spPr bwMode="auto">
                    <a:xfrm>
                      <a:off x="0" y="0"/>
                      <a:ext cx="387350" cy="486410"/>
                    </a:xfrm>
                    <a:prstGeom prst="rect">
                      <a:avLst/>
                    </a:prstGeom>
                  </pic:spPr>
                </pic:pic>
              </a:graphicData>
            </a:graphic>
          </wp:anchor>
        </w:drawing>
        <w:drawing>
          <wp:anchor behindDoc="1" distT="0" distB="0" distL="114935" distR="114935" simplePos="0" locked="0" layoutInCell="1" allowOverlap="1" relativeHeight="14">
            <wp:simplePos x="0" y="0"/>
            <wp:positionH relativeFrom="column">
              <wp:posOffset>3056890</wp:posOffset>
            </wp:positionH>
            <wp:positionV relativeFrom="paragraph">
              <wp:posOffset>-443865</wp:posOffset>
            </wp:positionV>
            <wp:extent cx="63500" cy="63500"/>
            <wp:effectExtent l="0" t="0" r="0" b="0"/>
            <wp:wrapNone/>
            <wp:docPr id="1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descr="" title=""/>
                    <pic:cNvPicPr>
                      <a:picLocks noChangeAspect="1" noChangeArrowheads="1"/>
                    </pic:cNvPicPr>
                  </pic:nvPicPr>
                  <pic:blipFill>
                    <a:blip r:embed="rId6"/>
                    <a:srcRect l="-291" t="-291" r="-291" b="-291"/>
                    <a:stretch>
                      <a:fillRect/>
                    </a:stretch>
                  </pic:blipFill>
                  <pic:spPr bwMode="auto">
                    <a:xfrm>
                      <a:off x="0" y="0"/>
                      <a:ext cx="63500" cy="63500"/>
                    </a:xfrm>
                    <a:prstGeom prst="rect">
                      <a:avLst/>
                    </a:prstGeom>
                  </pic:spPr>
                </pic:pic>
              </a:graphicData>
            </a:graphic>
          </wp:anchor>
        </w:drawing>
        <w:drawing>
          <wp:anchor behindDoc="1" distT="0" distB="0" distL="114935" distR="114935" simplePos="0" locked="0" layoutInCell="1" allowOverlap="1" relativeHeight="15">
            <wp:simplePos x="0" y="0"/>
            <wp:positionH relativeFrom="column">
              <wp:posOffset>4406900</wp:posOffset>
            </wp:positionH>
            <wp:positionV relativeFrom="paragraph">
              <wp:posOffset>-747395</wp:posOffset>
            </wp:positionV>
            <wp:extent cx="448310" cy="466090"/>
            <wp:effectExtent l="0" t="0" r="0" b="0"/>
            <wp:wrapNone/>
            <wp:docPr id="1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 descr="" title=""/>
                    <pic:cNvPicPr>
                      <a:picLocks noChangeAspect="1" noChangeArrowheads="1"/>
                    </pic:cNvPicPr>
                  </pic:nvPicPr>
                  <pic:blipFill>
                    <a:blip r:embed="rId7"/>
                    <a:srcRect l="-40" t="-39" r="-40" b="-39"/>
                    <a:stretch>
                      <a:fillRect/>
                    </a:stretch>
                  </pic:blipFill>
                  <pic:spPr bwMode="auto">
                    <a:xfrm>
                      <a:off x="0" y="0"/>
                      <a:ext cx="448310" cy="466090"/>
                    </a:xfrm>
                    <a:prstGeom prst="rect">
                      <a:avLst/>
                    </a:prstGeom>
                  </pic:spPr>
                </pic:pic>
              </a:graphicData>
            </a:graphic>
          </wp:anchor>
        </w:drawing>
      </w:r>
    </w:p>
    <w:p>
      <w:pPr>
        <w:sectPr>
          <w:type w:val="nextPage"/>
          <w:pgSz w:w="12240" w:h="15840"/>
          <w:pgMar w:left="711" w:right="720" w:gutter="0" w:header="0" w:top="488" w:footer="0" w:bottom="0"/>
          <w:pgNumType w:fmt="decimal"/>
          <w:formProt w:val="false"/>
          <w:textDirection w:val="lrTb"/>
          <w:docGrid w:type="default" w:linePitch="360" w:charSpace="0"/>
        </w:sectPr>
      </w:pPr>
    </w:p>
    <w:p>
      <w:pPr>
        <w:pStyle w:val="Normal"/>
        <w:spacing w:lineRule="exact" w:line="1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31"/>
        <w:jc w:val="center"/>
        <w:rPr>
          <w:rFonts w:ascii="Times New Roman" w:hAnsi="Times New Roman" w:eastAsia="Times New Roman" w:cs="Times New Roman"/>
          <w:b/>
          <w:sz w:val="24"/>
        </w:rPr>
      </w:pPr>
      <w:r>
        <w:rPr>
          <w:rFonts w:eastAsia="Times New Roman" w:cs="Times New Roman" w:ascii="Times New Roman" w:hAnsi="Times New Roman"/>
          <w:b/>
          <w:sz w:val="24"/>
        </w:rPr>
        <w:t>27</w:t>
      </w:r>
    </w:p>
    <w:p>
      <w:pPr>
        <w:sectPr>
          <w:type w:val="continuous"/>
          <w:pgSz w:w="12240" w:h="15840"/>
          <w:pgMar w:left="711" w:right="720" w:gutter="0" w:header="0" w:top="488" w:footer="0" w:bottom="0"/>
          <w:formProt w:val="false"/>
          <w:textDirection w:val="lrTb"/>
          <w:docGrid w:type="default" w:linePitch="360" w:charSpace="0"/>
        </w:sectPr>
      </w:pPr>
    </w:p>
    <w:p>
      <w:pPr>
        <w:pStyle w:val="Normal"/>
        <w:spacing w:lineRule="auto" w:line="271"/>
        <w:ind w:start="1" w:end="200"/>
        <w:rPr>
          <w:rFonts w:ascii="Times New Roman" w:hAnsi="Times New Roman" w:eastAsia="Times New Roman" w:cs="Times New Roman"/>
        </w:rPr>
      </w:pPr>
      <w:bookmarkStart w:id="30" w:name="page28"/>
      <w:bookmarkEnd w:id="30"/>
      <w:r>
        <w:rPr>
          <w:rFonts w:eastAsia="Times New Roman" w:cs="Times New Roman" w:ascii="Times New Roman" w:hAnsi="Times New Roman"/>
        </w:rPr>
        <w:t>by the Contract knows or reasonably should know that a foreclosure proceeding with respect to the Property has been filed, the agent is required by law to disclose it to the Buyer as a material fact.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6">
            <wp:simplePos x="0" y="0"/>
            <wp:positionH relativeFrom="column">
              <wp:posOffset>1019810</wp:posOffset>
            </wp:positionH>
            <wp:positionV relativeFrom="paragraph">
              <wp:posOffset>-118745</wp:posOffset>
            </wp:positionV>
            <wp:extent cx="3924300" cy="6656070"/>
            <wp:effectExtent l="0" t="0" r="0" b="0"/>
            <wp:wrapNone/>
            <wp:docPr id="1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 title=""/>
                    <pic:cNvPicPr>
                      <a:picLocks noChangeAspect="1" noChangeArrowheads="1"/>
                    </pic:cNvPicPr>
                  </pic:nvPicPr>
                  <pic:blipFill>
                    <a:blip r:embed="rId8"/>
                    <a:srcRect l="-5" t="-3" r="-5" b="-3"/>
                    <a:stretch>
                      <a:fillRect/>
                    </a:stretch>
                  </pic:blipFill>
                  <pic:spPr bwMode="auto">
                    <a:xfrm>
                      <a:off x="0" y="0"/>
                      <a:ext cx="3924300" cy="6656070"/>
                    </a:xfrm>
                    <a:prstGeom prst="rect">
                      <a:avLst/>
                    </a:prstGeom>
                  </pic:spPr>
                </pic:pic>
              </a:graphicData>
            </a:graphic>
          </wp:anchor>
        </w:drawing>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361" w:leader="none"/>
        </w:tabs>
        <w:spacing w:lineRule="auto" w:line="276"/>
        <w:ind w:hanging="1" w:start="1" w:end="200"/>
        <w:rPr>
          <w:rFonts w:ascii="Times New Roman" w:hAnsi="Times New Roman" w:eastAsia="Times New Roman" w:cs="Times New Roman"/>
        </w:rPr>
      </w:pPr>
      <w:r>
        <w:rPr>
          <w:rFonts w:eastAsia="Times New Roman" w:cs="Times New Roman" w:ascii="Times New Roman" w:hAnsi="Times New Roman"/>
          <w:b/>
        </w:rPr>
        <w:t>Tax Consequences and Advice:</w:t>
      </w:r>
      <w:r>
        <w:rPr>
          <w:rFonts w:eastAsia="Times New Roman" w:cs="Times New Roman" w:ascii="Times New Roman" w:hAnsi="Times New Roman"/>
        </w:rPr>
        <w:t xml:space="preserve"> Seller is advised to seek advice from an attorney, a certified public accountant or other professional regarding the credit, legal and tax consequences of a Short Sale.</w:t>
      </w:r>
    </w:p>
    <w:p>
      <w:pPr>
        <w:pStyle w:val="Normal"/>
        <w:spacing w:lineRule="exact" w:line="1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start="1" w:end="200"/>
        <w:jc w:val="both"/>
        <w:rPr>
          <w:rFonts w:ascii="Times New Roman" w:hAnsi="Times New Roman" w:eastAsia="Times New Roman" w:cs="Times New Roman"/>
        </w:rPr>
      </w:pPr>
      <w:r>
        <w:rPr>
          <w:rFonts w:eastAsia="Times New Roman" w:cs="Times New Roman" w:ascii="Times New Roman" w:hAnsi="Times New Roman"/>
        </w:rPr>
        <w:t>IN THE EVENT OF A CONFLICT BETWEEN THIS ADDENDUM AND THE CONTRACT, THIS ADDENDUM SHALL CONTROL, EXCEPT THAT IN THE CASE OF SUCH A CONFLICT AS TO THE DESCRIPTION OF THE PROPERTY OR THE IDENTITY OF THE BUYER OR SELLER, THE CONTRACT SHALL CONTROL.</w:t>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start="1" w:end="200"/>
        <w:jc w:val="both"/>
        <w:rPr>
          <w:rFonts w:ascii="Times New Roman" w:hAnsi="Times New Roman" w:eastAsia="Times New Roman" w:cs="Times New Roman"/>
        </w:rPr>
      </w:pPr>
      <w:r>
        <w:rPr>
          <w:rFonts w:eastAsia="Times New Roman" w:cs="Times New Roman" w:ascii="Times New Roman" w:hAnsi="Times New Roman"/>
        </w:rPr>
        <w:t>THE NORTH CAROLINA ASSOCIATION OF REALTORS , INC. AND THE NORTH CAROLINA BAR ASSOCIATION MAKE NO REPRESENTATION AS TO THE LEGAL VALIDITY OR ADEQUACY OF ANY PROVISION OF THIS FORM IN ANY SPECIFIC TRANSACTION. IF YOU DO NOT UNDERSTAND THIS FORM OR FEEL THAT IT DOES NOT PROVIDE FOR YOUR LEGAL NEEDS, YOU SHOULD CONSULT A NORTH CAROLINA REAL ESTATE ATTORNEY BEFORE YOU SIGN IT.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40" w:leader="none"/>
        </w:tabs>
        <w:spacing w:lineRule="atLeast" w:line="0"/>
        <w:ind w:start="1" w:end="0"/>
        <w:rPr/>
      </w:pPr>
      <w:r>
        <w:rPr>
          <w:rFonts w:eastAsia="Times New Roman" w:cs="Times New Roman" w:ascii="Times New Roman" w:hAnsi="Times New Roman"/>
        </w:rPr>
        <w:t>Date: ______________________________________</w:t>
        <w:tab/>
      </w:r>
      <w:r>
        <w:rPr>
          <w:rFonts w:eastAsia="Times New Roman" w:cs="Times New Roman" w:ascii="Times New Roman" w:hAnsi="Times New Roman"/>
          <w:sz w:val="19"/>
        </w:rPr>
        <w:t>Date: ____________________________________</w:t>
      </w:r>
    </w:p>
    <w:p>
      <w:pPr>
        <w:pStyle w:val="Normal"/>
        <w:spacing w:lineRule="exact" w:line="2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5740" w:leader="none"/>
        </w:tabs>
        <w:spacing w:lineRule="atLeast" w:line="0"/>
        <w:ind w:start="1" w:end="0"/>
        <w:rPr/>
      </w:pPr>
      <w:r>
        <w:rPr>
          <w:rFonts w:eastAsia="Times New Roman" w:cs="Times New Roman" w:ascii="Times New Roman" w:hAnsi="Times New Roman"/>
        </w:rPr>
        <w:t>Buyer _____________________________________ (SEAL)</w:t>
        <w:tab/>
      </w:r>
      <w:r>
        <w:rPr>
          <w:rFonts w:eastAsia="Times New Roman" w:cs="Times New Roman" w:ascii="Times New Roman" w:hAnsi="Times New Roman"/>
          <w:sz w:val="19"/>
        </w:rPr>
        <w:t>Seller ____________________________________ (SEAL)</w:t>
      </w:r>
    </w:p>
    <w:p>
      <w:pPr>
        <w:pStyle w:val="Normal"/>
        <w:spacing w:lineRule="exact" w:line="2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5740" w:leader="none"/>
        </w:tabs>
        <w:spacing w:lineRule="atLeast" w:line="0"/>
        <w:ind w:start="1" w:end="0"/>
        <w:rPr/>
      </w:pPr>
      <w:r>
        <w:rPr>
          <w:rFonts w:eastAsia="Times New Roman" w:cs="Times New Roman" w:ascii="Times New Roman" w:hAnsi="Times New Roman"/>
        </w:rPr>
        <w:t>Date:_______________________________________</w:t>
        <w:tab/>
      </w:r>
      <w:r>
        <w:rPr>
          <w:rFonts w:eastAsia="Times New Roman" w:cs="Times New Roman" w:ascii="Times New Roman" w:hAnsi="Times New Roman"/>
          <w:sz w:val="19"/>
        </w:rPr>
        <w:t>Date: ___________________________________</w:t>
      </w:r>
    </w:p>
    <w:p>
      <w:pPr>
        <w:pStyle w:val="Normal"/>
        <w:spacing w:lineRule="exact" w:line="2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5740" w:leader="none"/>
        </w:tabs>
        <w:spacing w:lineRule="atLeast" w:line="0"/>
        <w:ind w:start="1" w:end="0"/>
        <w:rPr/>
      </w:pPr>
      <w:r>
        <w:rPr>
          <w:rFonts w:eastAsia="Times New Roman" w:cs="Times New Roman" w:ascii="Times New Roman" w:hAnsi="Times New Roman"/>
        </w:rPr>
        <w:t>Buyer _____________________________________ (SEAL)</w:t>
        <w:tab/>
      </w:r>
      <w:r>
        <w:rPr>
          <w:rFonts w:eastAsia="Times New Roman" w:cs="Times New Roman" w:ascii="Times New Roman" w:hAnsi="Times New Roman"/>
          <w:sz w:val="19"/>
        </w:rPr>
        <w:t>Seller ____________________________________ (SEAL)</w:t>
      </w:r>
    </w:p>
    <w:p>
      <w:pPr>
        <w:pStyle w:val="Normal"/>
        <w:spacing w:lineRule="exact" w:line="298"/>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5740" w:leader="none"/>
        </w:tabs>
        <w:spacing w:lineRule="atLeast" w:line="0"/>
        <w:ind w:start="1" w:end="0"/>
        <w:rPr/>
      </w:pPr>
      <w:r>
        <w:rPr>
          <w:rFonts w:eastAsia="Times New Roman" w:cs="Times New Roman" w:ascii="Times New Roman" w:hAnsi="Times New Roman"/>
        </w:rPr>
        <w:t>Date:_______________________________________</w:t>
        <w:tab/>
      </w:r>
      <w:r>
        <w:rPr>
          <w:rFonts w:eastAsia="Times New Roman" w:cs="Times New Roman" w:ascii="Times New Roman" w:hAnsi="Times New Roman"/>
          <w:sz w:val="19"/>
        </w:rPr>
        <w:t>Date: ___________________________________</w:t>
      </w:r>
    </w:p>
    <w:p>
      <w:pPr>
        <w:pStyle w:val="Normal"/>
        <w:spacing w:lineRule="exact" w:line="2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5740" w:leader="none"/>
        </w:tabs>
        <w:spacing w:lineRule="atLeast" w:line="0"/>
        <w:ind w:start="1" w:end="0"/>
        <w:rPr/>
      </w:pPr>
      <w:r>
        <w:rPr>
          <w:rFonts w:eastAsia="Times New Roman" w:cs="Times New Roman" w:ascii="Times New Roman" w:hAnsi="Times New Roman"/>
        </w:rPr>
        <w:t>Buyer _____________________________________ (SEAL)</w:t>
        <w:tab/>
      </w:r>
      <w:r>
        <w:rPr>
          <w:rFonts w:eastAsia="Times New Roman" w:cs="Times New Roman" w:ascii="Times New Roman" w:hAnsi="Times New Roman"/>
          <w:sz w:val="19"/>
        </w:rPr>
        <w:t>Seller ____________________________________ (SEAL)</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9"/>
        <w:jc w:val="center"/>
        <w:rPr>
          <w:rFonts w:ascii="Times New Roman" w:hAnsi="Times New Roman" w:eastAsia="Times New Roman" w:cs="Times New Roman"/>
          <w:sz w:val="22"/>
        </w:rPr>
      </w:pPr>
      <w:r>
        <w:rPr>
          <w:rFonts w:eastAsia="Times New Roman" w:cs="Times New Roman" w:ascii="Times New Roman" w:hAnsi="Times New Roman"/>
          <w:sz w:val="22"/>
        </w:rPr>
        <w:t>Page 2 of 2</w:t>
      </w:r>
    </w:p>
    <w:p>
      <w:pPr>
        <w:pStyle w:val="Normal"/>
        <w:spacing w:lineRule="exact" w:line="3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b/>
        </w:rPr>
      </w:pPr>
      <w:r>
        <w:rPr>
          <w:rFonts w:eastAsia="Times New Roman" w:cs="Times New Roman" w:ascii="Times New Roman" w:hAnsi="Times New Roman"/>
          <w:b/>
        </w:rPr>
        <w:t>STANDARD FORM 2A14-T</w:t>
      </w:r>
    </w:p>
    <w:p>
      <w:pPr>
        <w:pStyle w:val="Normal"/>
        <w:spacing w:lineRule="atLeast" w:line="0"/>
        <w:jc w:val="end"/>
        <w:rPr>
          <w:rFonts w:ascii="Times New Roman" w:hAnsi="Times New Roman" w:eastAsia="Times New Roman" w:cs="Times New Roman"/>
          <w:b/>
        </w:rPr>
      </w:pPr>
      <w:r>
        <w:rPr>
          <w:rFonts w:eastAsia="Times New Roman" w:cs="Times New Roman" w:ascii="Times New Roman" w:hAnsi="Times New Roman"/>
          <w:b/>
        </w:rPr>
        <w:t>Revised 7/2011</w:t>
      </w:r>
    </w:p>
    <w:p>
      <w:pPr>
        <w:pStyle w:val="Normal"/>
        <w:spacing w:lineRule="atLeast" w:line="0"/>
        <w:jc w:val="end"/>
        <w:rPr>
          <w:rFonts w:ascii="Times New Roman" w:hAnsi="Times New Roman" w:eastAsia="Times New Roman" w:cs="Times New Roman"/>
          <w:b/>
        </w:rPr>
      </w:pPr>
      <w:r>
        <w:rPr>
          <w:rFonts w:eastAsia="Times New Roman" w:cs="Times New Roman" w:ascii="Times New Roman" w:hAnsi="Times New Roman"/>
          <w:b/>
        </w:rPr>
        <w:t>© 7/2011</w:t>
      </w:r>
    </w:p>
    <w:p>
      <w:pPr>
        <w:sectPr>
          <w:type w:val="nextPage"/>
          <w:pgSz w:w="12240" w:h="15840"/>
          <w:pgMar w:left="779" w:right="460" w:gutter="0" w:header="0" w:top="583" w:footer="0" w:bottom="0"/>
          <w:pgNumType w:fmt="decimal"/>
          <w:formProt w:val="false"/>
          <w:textDirection w:val="lrTb"/>
          <w:docGrid w:type="default" w:linePitch="360" w:charSpace="0"/>
        </w:sectPr>
      </w:pPr>
    </w:p>
    <w:p>
      <w:pPr>
        <w:pStyle w:val="Normal"/>
        <w:spacing w:lineRule="exact" w:line="8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end="279"/>
        <w:jc w:val="center"/>
        <w:rPr>
          <w:rFonts w:ascii="Times New Roman" w:hAnsi="Times New Roman" w:eastAsia="Times New Roman" w:cs="Times New Roman"/>
          <w:b/>
          <w:sz w:val="24"/>
        </w:rPr>
      </w:pPr>
      <w:r>
        <w:rPr>
          <w:rFonts w:eastAsia="Times New Roman" w:cs="Times New Roman" w:ascii="Times New Roman" w:hAnsi="Times New Roman"/>
          <w:b/>
          <w:sz w:val="24"/>
        </w:rPr>
        <w:t>28</w:t>
      </w:r>
    </w:p>
    <w:p>
      <w:pPr>
        <w:sectPr>
          <w:type w:val="continuous"/>
          <w:pgSz w:w="12240" w:h="15840"/>
          <w:pgMar w:left="779" w:right="460" w:gutter="0" w:header="0" w:top="583" w:footer="0" w:bottom="0"/>
          <w:formProt w:val="false"/>
          <w:textDirection w:val="lrTb"/>
          <w:docGrid w:type="default" w:linePitch="360" w:charSpace="0"/>
        </w:sectPr>
      </w:pPr>
    </w:p>
    <w:p>
      <w:pPr>
        <w:pStyle w:val="Normal"/>
        <w:spacing w:lineRule="atLeast" w:line="0"/>
        <w:ind w:end="60"/>
        <w:jc w:val="center"/>
        <w:rPr>
          <w:rFonts w:ascii="Times New Roman" w:hAnsi="Times New Roman" w:eastAsia="Times New Roman" w:cs="Times New Roman"/>
          <w:b/>
          <w:sz w:val="28"/>
        </w:rPr>
      </w:pPr>
      <w:bookmarkStart w:id="31" w:name="page29"/>
      <w:bookmarkEnd w:id="31"/>
      <w:r>
        <w:rPr>
          <w:rFonts w:eastAsia="Times New Roman" w:cs="Times New Roman" w:ascii="Times New Roman" w:hAnsi="Times New Roman"/>
          <w:b/>
          <w:sz w:val="28"/>
        </w:rPr>
        <w:t>Contact Your Mortgage Company</w:t>
      </w:r>
    </w:p>
    <w:p>
      <w:pPr>
        <w:pStyle w:val="Normal"/>
        <w:spacing w:lineRule="exact" w:line="27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52"/>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Over one hundred mortgage companies have agreed to participate in the Home Affordable Modification Program SM (HAMP SM). Below is a list of companies who are participating and the contact information for submitting an application. In addition, all mortgage companies with loans owned by Fannie Mae and Freddie Mac are required to participate. Visit the Loan Look Up to determine if your loan is held by Fannie Mae or Freddie Mac.</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firstLine="720" w:end="0"/>
        <w:jc w:val="both"/>
        <w:rPr/>
      </w:pPr>
      <w:r>
        <w:rPr>
          <w:rFonts w:eastAsia="Times New Roman" w:cs="Times New Roman" w:ascii="Times New Roman" w:hAnsi="Times New Roman"/>
          <w:sz w:val="22"/>
        </w:rPr>
        <w:t>If you have additional questions about the program, please call the Homeowner’s HOPE™ Hotline at 1-888-995-HOPE (4673). If you need help working with your mortgage company, or believe that you have been wrongfully denied for a modification, please call the hotline and ask for “MHA Help.”</w:t>
      </w:r>
    </w:p>
    <w:p>
      <w:pPr>
        <w:sectPr>
          <w:type w:val="nextPage"/>
          <w:pgSz w:w="12240" w:h="15840"/>
          <w:pgMar w:left="1440" w:right="1440" w:gutter="0" w:header="0" w:top="1281" w:footer="0" w:bottom="4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Allstate Mortgage Loans &amp; Investments</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866-351-0200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1201,</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Crystal River, FL 34423</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352-351-4557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Amarillo National Bank</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1-806-378-8000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410 S. Taylor,</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Amarillo, TX 79101</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1-806-356-1449</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p>
      <w:pPr>
        <w:pStyle w:val="Normal"/>
        <w:spacing w:lineRule="exact" w:line="2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American Eagle Federal Credit Union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800-842-0145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Attention: Loss Mitigation</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 Corporate Drive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Lake Zurich, IL 60047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847-574-7658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American Financial Resources Inc.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1-800-316-9508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 Sylvan Way,</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Parsippany, NJ 07054</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1-973-782-2573</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American Home Mortgage Servicing, Inc.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877-304-3100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HAMP Processing</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1525 S. Belt Line Road</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Coppell, TX 75019</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866-452-1837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AMS Servicing, LLC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866-919-5608</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3374 Walden Avenue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Buffalo, NY 14043</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716-204-3875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Aurora Financial Group, Inc.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1-800-648-0345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 Eves Drive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Marlton, New Jersey 08053</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1-856-355-4765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p>
      <w:pPr>
        <w:pStyle w:val="Normal"/>
        <w:spacing w:lineRule="exact" w:line="2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Aurora Loan Services LLC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800-550-0508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1706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2617 College Park</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Scottsbluff, NE 69363-1706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866-517-7975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FHA-HAMP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1460"/>
        <w:rPr/>
      </w:pPr>
      <w:r>
        <w:rPr>
          <w:rFonts w:eastAsia="Times New Roman" w:cs="Times New Roman" w:ascii="Times New Roman" w:hAnsi="Times New Roman"/>
          <w:b/>
          <w:sz w:val="22"/>
        </w:rPr>
        <w:t xml:space="preserve">Banco Popular de Puerto Rico </w:t>
      </w:r>
      <w:r>
        <w:rPr>
          <w:rFonts w:eastAsia="Times New Roman" w:cs="Times New Roman" w:ascii="Times New Roman" w:hAnsi="Times New Roman"/>
          <w:sz w:val="22"/>
        </w:rPr>
        <w:t>1-787-775-1100</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Calle Angel Buonomo 339,</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San Juan, PR 00918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1-787-706-6121</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 RD-HAMP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Bank of America, N.A.</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MHA Escalations Unit</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940070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Simi Valley, CA</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866-382-0489; 800-720-3758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rPr>
          <w:rFonts w:ascii="Times New Roman" w:hAnsi="Times New Roman" w:eastAsia="Times New Roman" w:cs="Times New Roman"/>
          <w:sz w:val="22"/>
        </w:rPr>
      </w:pPr>
      <w:r>
        <w:rPr>
          <w:rFonts w:eastAsia="Times New Roman" w:cs="Times New Roman" w:ascii="Times New Roman" w:hAnsi="Times New Roman"/>
          <w:sz w:val="22"/>
        </w:rPr>
        <w:t>HAMP; FHA-HAMP; RD-HAMP; 2MP; FHA-2LP</w:t>
      </w:r>
    </w:p>
    <w:p>
      <w:pPr>
        <w:sectPr>
          <w:type w:val="continuous"/>
          <w:pgSz w:w="12240" w:h="15840"/>
          <w:pgMar w:left="1440" w:right="1440" w:gutter="0" w:header="0" w:top="1281" w:footer="0" w:bottom="468"/>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pPr>
      <w:r>
        <w:rPr/>
        <w:t>-29-</w:t>
      </w:r>
    </w:p>
    <w:p>
      <w:pPr>
        <w:sectPr>
          <w:type w:val="continuous"/>
          <w:pgSz w:w="12240" w:h="15840"/>
          <w:pgMar w:left="1440" w:right="1440" w:gutter="0" w:header="0" w:top="1281" w:footer="0" w:bottom="468"/>
          <w:formProt w:val="false"/>
          <w:textDirection w:val="lrTb"/>
          <w:docGrid w:type="default" w:linePitch="360" w:charSpace="0"/>
        </w:sectPr>
      </w:pPr>
    </w:p>
    <w:tbl>
      <w:tblPr>
        <w:tblW w:w="9360" w:type="dxa"/>
        <w:jc w:val="start"/>
        <w:tblInd w:w="0" w:type="dxa"/>
        <w:tblLayout w:type="fixed"/>
        <w:tblCellMar>
          <w:top w:w="0" w:type="dxa"/>
          <w:start w:w="0" w:type="dxa"/>
          <w:bottom w:w="0" w:type="dxa"/>
          <w:end w:w="0" w:type="dxa"/>
        </w:tblCellMar>
      </w:tblPr>
      <w:tblGrid>
        <w:gridCol w:w="4240"/>
        <w:gridCol w:w="5120"/>
      </w:tblGrid>
      <w:tr>
        <w:trPr>
          <w:trHeight w:val="259" w:hRule="atLeast"/>
        </w:trPr>
        <w:tc>
          <w:tcPr>
            <w:tcW w:w="4240" w:type="dxa"/>
            <w:tcBorders/>
          </w:tcPr>
          <w:p>
            <w:pPr>
              <w:pStyle w:val="Normal"/>
              <w:spacing w:lineRule="atLeast" w:line="0"/>
              <w:rPr>
                <w:rFonts w:ascii="Times New Roman" w:hAnsi="Times New Roman" w:eastAsia="Times New Roman" w:cs="Times New Roman"/>
                <w:b/>
                <w:sz w:val="22"/>
              </w:rPr>
            </w:pPr>
            <w:bookmarkStart w:id="32" w:name="page30"/>
            <w:bookmarkEnd w:id="32"/>
            <w:r>
              <w:rPr>
                <w:rFonts w:eastAsia="Times New Roman" w:cs="Times New Roman" w:ascii="Times New Roman" w:hAnsi="Times New Roman"/>
                <w:b/>
                <w:sz w:val="22"/>
              </w:rPr>
              <w:t>Bank United</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Glen Allen, VA 23059</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866-615-0662</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888-777-1631</w:t>
            </w:r>
          </w:p>
        </w:tc>
      </w:tr>
      <w:tr>
        <w:trPr>
          <w:trHeight w:val="264"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Modification Department</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Mail Code: DO4-RESALT-560</w:t>
            </w:r>
          </w:p>
        </w:tc>
        <w:tc>
          <w:tcPr>
            <w:tcW w:w="5120" w:type="dxa"/>
            <w:vMerge w:val="restart"/>
            <w:tcBorders/>
          </w:tcPr>
          <w:p>
            <w:pPr>
              <w:pStyle w:val="Normal"/>
              <w:spacing w:lineRule="atLeast" w:line="0"/>
              <w:ind w:start="800" w:end="0"/>
              <w:rPr>
                <w:rFonts w:ascii="Times New Roman" w:hAnsi="Times New Roman" w:eastAsia="Times New Roman" w:cs="Times New Roman"/>
                <w:b/>
                <w:sz w:val="22"/>
              </w:rPr>
            </w:pPr>
            <w:r>
              <w:rPr>
                <w:rFonts w:eastAsia="Times New Roman" w:cs="Times New Roman" w:ascii="Times New Roman" w:hAnsi="Times New Roman"/>
                <w:b/>
                <w:sz w:val="22"/>
              </w:rPr>
              <w:t>Central  Florida  Educators  Federal  Credit</w:t>
            </w:r>
          </w:p>
        </w:tc>
      </w:tr>
      <w:tr>
        <w:trPr>
          <w:trHeight w:val="255"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7815 N.W. 148th Street</w:t>
            </w:r>
          </w:p>
        </w:tc>
        <w:tc>
          <w:tcPr>
            <w:tcW w:w="51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4"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Miami, FL 33016</w:t>
            </w:r>
          </w:p>
        </w:tc>
        <w:tc>
          <w:tcPr>
            <w:tcW w:w="5120" w:type="dxa"/>
            <w:tcBorders/>
          </w:tcPr>
          <w:p>
            <w:pPr>
              <w:pStyle w:val="Normal"/>
              <w:spacing w:lineRule="atLeast" w:line="0"/>
              <w:ind w:start="800" w:end="0"/>
              <w:rPr>
                <w:rFonts w:ascii="Times New Roman" w:hAnsi="Times New Roman" w:eastAsia="Times New Roman" w:cs="Times New Roman"/>
                <w:b/>
                <w:sz w:val="22"/>
              </w:rPr>
            </w:pPr>
            <w:r>
              <w:rPr>
                <w:rFonts w:eastAsia="Times New Roman" w:cs="Times New Roman" w:ascii="Times New Roman" w:hAnsi="Times New Roman"/>
                <w:b/>
                <w:sz w:val="22"/>
              </w:rPr>
              <w:t>Union</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877-263-8930</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800-771-9411</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P.O. Box 958471</w:t>
            </w:r>
          </w:p>
        </w:tc>
      </w:tr>
      <w:tr>
        <w:trPr>
          <w:trHeight w:val="259" w:hRule="atLeast"/>
        </w:trPr>
        <w:tc>
          <w:tcPr>
            <w:tcW w:w="4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Lake Mary, Florida 32795-9814</w:t>
            </w:r>
          </w:p>
        </w:tc>
      </w:tr>
      <w:tr>
        <w:trPr>
          <w:trHeight w:val="259" w:hRule="atLeast"/>
        </w:trPr>
        <w:tc>
          <w:tcPr>
            <w:tcW w:w="42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Bay Federal Credit Union</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Attn: Real Estate - HAMP Team</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888-422-9333</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407-893-5727</w:t>
            </w:r>
          </w:p>
        </w:tc>
      </w:tr>
      <w:tr>
        <w:trPr>
          <w:trHeight w:val="264"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3333 Clares Street</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Capitola, CA 95010</w:t>
            </w:r>
          </w:p>
        </w:tc>
        <w:tc>
          <w:tcPr>
            <w:tcW w:w="5120" w:type="dxa"/>
            <w:vMerge w:val="restart"/>
            <w:tcBorders/>
          </w:tcPr>
          <w:p>
            <w:pPr>
              <w:pStyle w:val="Normal"/>
              <w:spacing w:lineRule="atLeast" w:line="0"/>
              <w:ind w:start="800" w:end="0"/>
              <w:rPr>
                <w:rFonts w:ascii="Times New Roman" w:hAnsi="Times New Roman" w:eastAsia="Times New Roman" w:cs="Times New Roman"/>
                <w:b/>
                <w:sz w:val="22"/>
              </w:rPr>
            </w:pPr>
            <w:r>
              <w:rPr>
                <w:rFonts w:eastAsia="Times New Roman" w:cs="Times New Roman" w:ascii="Times New Roman" w:hAnsi="Times New Roman"/>
                <w:b/>
                <w:sz w:val="22"/>
              </w:rPr>
              <w:t>Chase Home Finance LLC</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831-479-6027</w:t>
            </w:r>
          </w:p>
        </w:tc>
        <w:tc>
          <w:tcPr>
            <w:tcW w:w="51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866-550-5705</w:t>
            </w:r>
          </w:p>
        </w:tc>
      </w:tr>
      <w:tr>
        <w:trPr>
          <w:trHeight w:val="263" w:hRule="atLeast"/>
        </w:trPr>
        <w:tc>
          <w:tcPr>
            <w:tcW w:w="4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120" w:type="dxa"/>
            <w:tcBorders/>
          </w:tcPr>
          <w:p>
            <w:pPr>
              <w:pStyle w:val="Normal"/>
              <w:spacing w:lineRule="atLeast" w:line="0"/>
              <w:ind w:start="800" w:end="0"/>
              <w:rPr>
                <w:rFonts w:ascii="Times New Roman" w:hAnsi="Times New Roman" w:eastAsia="Times New Roman" w:cs="Times New Roman"/>
                <w:i/>
                <w:i/>
                <w:sz w:val="22"/>
              </w:rPr>
            </w:pPr>
            <w:r>
              <w:rPr>
                <w:rFonts w:eastAsia="Times New Roman" w:cs="Times New Roman" w:ascii="Times New Roman" w:hAnsi="Times New Roman"/>
                <w:i/>
                <w:sz w:val="22"/>
              </w:rPr>
              <w:t>Regular Mail</w:t>
            </w:r>
          </w:p>
        </w:tc>
      </w:tr>
      <w:tr>
        <w:trPr>
          <w:trHeight w:val="259" w:hRule="atLeast"/>
        </w:trPr>
        <w:tc>
          <w:tcPr>
            <w:tcW w:w="42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Bayview Loan Servicing, LLC</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PO Box 469030</w:t>
            </w:r>
          </w:p>
        </w:tc>
      </w:tr>
      <w:tr>
        <w:trPr>
          <w:trHeight w:val="255"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800-457-5105</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Glendale, CO 80246</w:t>
            </w:r>
          </w:p>
        </w:tc>
      </w:tr>
      <w:tr>
        <w:trPr>
          <w:trHeight w:val="263"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Specialized Asset Management</w:t>
            </w:r>
          </w:p>
        </w:tc>
        <w:tc>
          <w:tcPr>
            <w:tcW w:w="5120" w:type="dxa"/>
            <w:tcBorders/>
          </w:tcPr>
          <w:p>
            <w:pPr>
              <w:pStyle w:val="Normal"/>
              <w:spacing w:lineRule="atLeast" w:line="0"/>
              <w:ind w:start="800" w:end="0"/>
              <w:rPr>
                <w:rFonts w:ascii="Times New Roman" w:hAnsi="Times New Roman" w:eastAsia="Times New Roman" w:cs="Times New Roman"/>
                <w:i/>
                <w:i/>
                <w:sz w:val="22"/>
              </w:rPr>
            </w:pPr>
            <w:r>
              <w:rPr>
                <w:rFonts w:eastAsia="Times New Roman" w:cs="Times New Roman" w:ascii="Times New Roman" w:hAnsi="Times New Roman"/>
                <w:i/>
                <w:sz w:val="22"/>
              </w:rPr>
              <w:t>Overnight Mail</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4425 Ponce De Leon Blvd., 5TH Floor</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Attn: Chase Fulfillment Center</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Coral Gables, FL 33146</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4500 Cherry Creek Drive South</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877-360-9593 or 305-646-9943</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Suite 410</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2MP; FHA-2LP</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Glendale, CO 80246</w:t>
            </w:r>
          </w:p>
        </w:tc>
      </w:tr>
      <w:tr>
        <w:trPr>
          <w:trHeight w:val="259" w:hRule="atLeast"/>
        </w:trPr>
        <w:tc>
          <w:tcPr>
            <w:tcW w:w="4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866-989-1356</w:t>
            </w:r>
          </w:p>
        </w:tc>
      </w:tr>
      <w:tr>
        <w:trPr>
          <w:trHeight w:val="258" w:hRule="atLeast"/>
        </w:trPr>
        <w:tc>
          <w:tcPr>
            <w:tcW w:w="42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Bramble Savings Bank</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HAMP; FHA-HAMP; RD-HAMP; 2MP; FHA-</w:t>
            </w:r>
          </w:p>
        </w:tc>
      </w:tr>
      <w:tr>
        <w:trPr>
          <w:trHeight w:val="26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1-513-248-1222</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2LP</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954 State Route 28</w:t>
            </w:r>
          </w:p>
        </w:tc>
        <w:tc>
          <w:tcPr>
            <w:tcW w:w="5120" w:type="dxa"/>
            <w:vMerge w:val="restart"/>
            <w:tcBorders/>
          </w:tcPr>
          <w:p>
            <w:pPr>
              <w:pStyle w:val="Normal"/>
              <w:spacing w:lineRule="atLeast" w:line="0"/>
              <w:ind w:start="800" w:end="0"/>
              <w:rPr>
                <w:rFonts w:ascii="Times New Roman" w:hAnsi="Times New Roman" w:eastAsia="Times New Roman" w:cs="Times New Roman"/>
                <w:b/>
                <w:sz w:val="22"/>
              </w:rPr>
            </w:pPr>
            <w:r>
              <w:rPr>
                <w:rFonts w:eastAsia="Times New Roman" w:cs="Times New Roman" w:ascii="Times New Roman" w:hAnsi="Times New Roman"/>
                <w:b/>
                <w:sz w:val="22"/>
              </w:rPr>
              <w:t>CitiMortgage, Inc.</w:t>
            </w:r>
          </w:p>
        </w:tc>
      </w:tr>
      <w:tr>
        <w:trPr>
          <w:trHeight w:val="254"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Cincinnati, Ohio 45150</w:t>
            </w:r>
          </w:p>
        </w:tc>
        <w:tc>
          <w:tcPr>
            <w:tcW w:w="51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1-513-965-3953</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866-915-9417</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Citi Ham Trial Agreements NTSB 1680,</w:t>
            </w:r>
          </w:p>
        </w:tc>
      </w:tr>
      <w:tr>
        <w:trPr>
          <w:trHeight w:val="259" w:hRule="atLeast"/>
        </w:trPr>
        <w:tc>
          <w:tcPr>
            <w:tcW w:w="4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680 Colwell Blvd</w:t>
            </w:r>
          </w:p>
        </w:tc>
      </w:tr>
      <w:tr>
        <w:trPr>
          <w:trHeight w:val="259" w:hRule="atLeast"/>
        </w:trPr>
        <w:tc>
          <w:tcPr>
            <w:tcW w:w="42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Capital International Financial, Inc.</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Irving, TX 75039</w:t>
            </w:r>
          </w:p>
        </w:tc>
      </w:tr>
      <w:tr>
        <w:trPr>
          <w:trHeight w:val="26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1-305-442-1256</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HAMP;  FHA-HAMP; 2MP; FHA-2LP</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395 Alhembra Circle, Suite 200</w:t>
            </w:r>
          </w:p>
        </w:tc>
        <w:tc>
          <w:tcPr>
            <w:tcW w:w="5120" w:type="dxa"/>
            <w:vMerge w:val="restart"/>
            <w:tcBorders/>
          </w:tcPr>
          <w:p>
            <w:pPr>
              <w:pStyle w:val="Normal"/>
              <w:spacing w:lineRule="atLeast" w:line="0"/>
              <w:ind w:start="800" w:end="0"/>
              <w:rPr>
                <w:rFonts w:ascii="Times New Roman" w:hAnsi="Times New Roman" w:eastAsia="Times New Roman" w:cs="Times New Roman"/>
                <w:b/>
                <w:sz w:val="22"/>
              </w:rPr>
            </w:pPr>
            <w:r>
              <w:rPr>
                <w:rFonts w:eastAsia="Times New Roman" w:cs="Times New Roman" w:ascii="Times New Roman" w:hAnsi="Times New Roman"/>
                <w:b/>
                <w:sz w:val="22"/>
              </w:rPr>
              <w:t>Citizens 1st National Bank</w:t>
            </w:r>
          </w:p>
        </w:tc>
      </w:tr>
      <w:tr>
        <w:trPr>
          <w:trHeight w:val="254"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Coral Gables, FL 33134</w:t>
            </w:r>
          </w:p>
        </w:tc>
        <w:tc>
          <w:tcPr>
            <w:tcW w:w="51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1-305-442-2516</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800-311-7531</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606 S. Main Street</w:t>
            </w:r>
          </w:p>
        </w:tc>
      </w:tr>
      <w:tr>
        <w:trPr>
          <w:trHeight w:val="259" w:hRule="atLeast"/>
        </w:trPr>
        <w:tc>
          <w:tcPr>
            <w:tcW w:w="4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Princeton, IL 61356</w:t>
            </w:r>
          </w:p>
        </w:tc>
      </w:tr>
      <w:tr>
        <w:trPr>
          <w:trHeight w:val="259" w:hRule="atLeast"/>
        </w:trPr>
        <w:tc>
          <w:tcPr>
            <w:tcW w:w="42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Carrington Mortgage Services, LLC</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815-872-0247</w:t>
            </w:r>
          </w:p>
        </w:tc>
      </w:tr>
      <w:tr>
        <w:trPr>
          <w:trHeight w:val="26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888-267-2417</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Attention: Home Retention</w:t>
            </w:r>
          </w:p>
        </w:tc>
        <w:tc>
          <w:tcPr>
            <w:tcW w:w="5120" w:type="dxa"/>
            <w:vMerge w:val="restart"/>
            <w:tcBorders/>
          </w:tcPr>
          <w:p>
            <w:pPr>
              <w:pStyle w:val="Normal"/>
              <w:spacing w:lineRule="atLeast" w:line="0"/>
              <w:ind w:start="800" w:end="0"/>
              <w:rPr>
                <w:rFonts w:ascii="Times New Roman" w:hAnsi="Times New Roman" w:eastAsia="Times New Roman" w:cs="Times New Roman"/>
                <w:b/>
                <w:sz w:val="22"/>
              </w:rPr>
            </w:pPr>
            <w:r>
              <w:rPr>
                <w:rFonts w:eastAsia="Times New Roman" w:cs="Times New Roman" w:ascii="Times New Roman" w:hAnsi="Times New Roman"/>
                <w:b/>
                <w:sz w:val="22"/>
              </w:rPr>
              <w:t>Community Bank &amp; Trust Company</w:t>
            </w:r>
          </w:p>
        </w:tc>
      </w:tr>
      <w:tr>
        <w:trPr>
          <w:trHeight w:val="254"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54285</w:t>
            </w:r>
          </w:p>
        </w:tc>
        <w:tc>
          <w:tcPr>
            <w:tcW w:w="51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Irvine, CA 92619-4285</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125 N. State Street,</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877-267-1331</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Clarks Summit, PA 18411</w:t>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570-586-0177</w:t>
            </w:r>
          </w:p>
        </w:tc>
      </w:tr>
      <w:tr>
        <w:trPr>
          <w:trHeight w:val="285" w:hRule="atLeast"/>
        </w:trPr>
        <w:tc>
          <w:tcPr>
            <w:tcW w:w="424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CCO Mortgage</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43" w:hRule="atLeast"/>
        </w:trPr>
        <w:tc>
          <w:tcPr>
            <w:tcW w:w="42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120" w:type="dxa"/>
            <w:vMerge w:val="restart"/>
            <w:tcBorders/>
          </w:tcPr>
          <w:p>
            <w:pPr>
              <w:pStyle w:val="Normal"/>
              <w:spacing w:lineRule="atLeast" w:line="0"/>
              <w:ind w:start="800" w:end="0"/>
              <w:rPr>
                <w:rFonts w:ascii="Times New Roman" w:hAnsi="Times New Roman" w:eastAsia="Times New Roman" w:cs="Times New Roman"/>
                <w:b/>
                <w:sz w:val="22"/>
              </w:rPr>
            </w:pPr>
            <w:r>
              <w:rPr>
                <w:rFonts w:eastAsia="Times New Roman" w:cs="Times New Roman" w:ascii="Times New Roman" w:hAnsi="Times New Roman"/>
                <w:b/>
                <w:sz w:val="22"/>
              </w:rPr>
              <w:t>Community Credit Union of Florida</w:t>
            </w:r>
          </w:p>
        </w:tc>
      </w:tr>
      <w:tr>
        <w:trPr>
          <w:trHeight w:val="254"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877-745-7366</w:t>
            </w:r>
          </w:p>
        </w:tc>
        <w:tc>
          <w:tcPr>
            <w:tcW w:w="51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2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10561 Telegraph Road</w:t>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1-321-690-2328</w:t>
            </w:r>
          </w:p>
        </w:tc>
      </w:tr>
      <w:tr>
        <w:trPr>
          <w:trHeight w:val="285" w:hRule="atLeast"/>
        </w:trPr>
        <w:tc>
          <w:tcPr>
            <w:tcW w:w="4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20" w:type="dxa"/>
            <w:tcBorders/>
          </w:tcPr>
          <w:p>
            <w:pPr>
              <w:pStyle w:val="Normal"/>
              <w:spacing w:lineRule="atLeast" w:line="0"/>
              <w:ind w:start="800" w:end="0"/>
              <w:rPr>
                <w:rFonts w:ascii="Times New Roman" w:hAnsi="Times New Roman" w:eastAsia="Times New Roman" w:cs="Times New Roman"/>
                <w:sz w:val="22"/>
              </w:rPr>
            </w:pPr>
            <w:r>
              <w:rPr>
                <w:rFonts w:eastAsia="Times New Roman" w:cs="Times New Roman" w:ascii="Times New Roman" w:hAnsi="Times New Roman"/>
                <w:sz w:val="22"/>
              </w:rPr>
              <w:t>1030 South US Highway 1,</w:t>
            </w:r>
          </w:p>
        </w:tc>
      </w:tr>
    </w:tbl>
    <w:p>
      <w:pPr>
        <w:sectPr>
          <w:type w:val="continuous"/>
          <w:pgSz w:w="12240" w:h="15840"/>
          <w:pgMar w:left="1440" w:right="1440" w:gutter="0" w:header="0" w:top="1281" w:footer="0" w:bottom="468"/>
          <w:pgNumType w:fmt="decimal"/>
          <w:formProt w:val="false"/>
          <w:textDirection w:val="lrTb"/>
          <w:docGrid w:type="default" w:linePitch="360" w:charSpace="0"/>
        </w:sectPr>
      </w:pPr>
    </w:p>
    <w:p>
      <w:pPr>
        <w:pStyle w:val="Normal"/>
        <w:spacing w:lineRule="exact" w:line="2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0"/>
        <w:jc w:val="center"/>
        <w:rPr/>
      </w:pPr>
      <w:r>
        <w:rPr/>
        <w:t>-30-</w:t>
      </w:r>
    </w:p>
    <w:p>
      <w:pPr>
        <w:sectPr>
          <w:type w:val="continuous"/>
          <w:pgSz w:w="12240" w:h="15840"/>
          <w:pgMar w:left="1440" w:right="1440" w:gutter="0" w:header="0" w:top="1285" w:footer="0" w:bottom="468"/>
          <w:formProt w:val="false"/>
          <w:textDirection w:val="lrTb"/>
          <w:docGrid w:type="default" w:linePitch="360" w:charSpace="0"/>
        </w:sectPr>
      </w:pPr>
    </w:p>
    <w:tbl>
      <w:tblPr>
        <w:tblW w:w="8480" w:type="dxa"/>
        <w:jc w:val="start"/>
        <w:tblInd w:w="0" w:type="dxa"/>
        <w:tblLayout w:type="fixed"/>
        <w:tblCellMar>
          <w:top w:w="0" w:type="dxa"/>
          <w:start w:w="0" w:type="dxa"/>
          <w:bottom w:w="0" w:type="dxa"/>
          <w:end w:w="0" w:type="dxa"/>
        </w:tblCellMar>
      </w:tblPr>
      <w:tblGrid>
        <w:gridCol w:w="4680"/>
        <w:gridCol w:w="3800"/>
      </w:tblGrid>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bookmarkStart w:id="33" w:name="page31"/>
            <w:bookmarkEnd w:id="33"/>
            <w:r>
              <w:rPr>
                <w:rFonts w:eastAsia="Times New Roman" w:cs="Times New Roman" w:ascii="Times New Roman" w:hAnsi="Times New Roman"/>
                <w:sz w:val="22"/>
              </w:rPr>
              <w:t>Rockledge, FL 32955</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917-849-2677</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1-321-636-3121</w:t>
            </w:r>
          </w:p>
        </w:tc>
        <w:tc>
          <w:tcPr>
            <w:tcW w:w="3800" w:type="dxa"/>
            <w:tcBorders/>
          </w:tcPr>
          <w:p>
            <w:pPr>
              <w:pStyle w:val="Normal"/>
              <w:spacing w:lineRule="atLeast" w:line="0"/>
              <w:ind w:start="360" w:end="0"/>
              <w:rPr>
                <w:rFonts w:ascii="Times New Roman" w:hAnsi="Times New Roman" w:eastAsia="Times New Roman" w:cs="Times New Roman"/>
                <w:w w:val="99"/>
                <w:sz w:val="22"/>
              </w:rPr>
            </w:pPr>
            <w:r>
              <w:rPr>
                <w:rFonts w:eastAsia="Times New Roman" w:cs="Times New Roman" w:ascii="Times New Roman" w:hAnsi="Times New Roman"/>
                <w:w w:val="99"/>
                <w:sz w:val="22"/>
              </w:rPr>
              <w:t>HAMP; FHA-HAMP; 2MP; FHA-2LP</w:t>
            </w:r>
          </w:p>
        </w:tc>
      </w:tr>
      <w:tr>
        <w:trPr>
          <w:trHeight w:val="285"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2MP</w:t>
            </w:r>
          </w:p>
        </w:tc>
        <w:tc>
          <w:tcPr>
            <w:tcW w:w="3800" w:type="dxa"/>
            <w:vMerge w:val="restart"/>
            <w:tcBorders/>
          </w:tcPr>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Farmers State Bank</w:t>
            </w:r>
          </w:p>
        </w:tc>
      </w:tr>
      <w:tr>
        <w:trPr>
          <w:trHeight w:val="238" w:hRule="atLeast"/>
        </w:trPr>
        <w:tc>
          <w:tcPr>
            <w:tcW w:w="468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Countrywide Home Loans Servicing LP</w:t>
            </w:r>
          </w:p>
        </w:tc>
        <w:tc>
          <w:tcPr>
            <w:tcW w:w="3800" w:type="dxa"/>
            <w:vMerge w:val="continue"/>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9" w:hRule="atLeast"/>
        </w:trPr>
        <w:tc>
          <w:tcPr>
            <w:tcW w:w="46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800-350-2844</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800-720-3758</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11 S. Main St., P.O.Box 801,</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940070,</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West Salem, OH 44287</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Simi Valley, CA. 93094-0070</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419-853-4730</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866-382-0489</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FHA-HAMP; RD-HAMP; 2MP; FHA-</w:t>
            </w:r>
          </w:p>
        </w:tc>
        <w:tc>
          <w:tcPr>
            <w:tcW w:w="3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4"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2LP</w:t>
            </w:r>
          </w:p>
        </w:tc>
        <w:tc>
          <w:tcPr>
            <w:tcW w:w="3800" w:type="dxa"/>
            <w:tcBorders/>
          </w:tcPr>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Fay Servicing, LLC</w:t>
            </w:r>
          </w:p>
        </w:tc>
      </w:tr>
      <w:tr>
        <w:trPr>
          <w:trHeight w:val="259" w:hRule="atLeast"/>
        </w:trPr>
        <w:tc>
          <w:tcPr>
            <w:tcW w:w="468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CU Mortgage Services, Inc.</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1-800-495-7166</w:t>
            </w:r>
          </w:p>
        </w:tc>
      </w:tr>
      <w:tr>
        <w:trPr>
          <w:trHeight w:val="259" w:hRule="atLeast"/>
        </w:trPr>
        <w:tc>
          <w:tcPr>
            <w:tcW w:w="46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939 W. North Avenue</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1-651-631-3111</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Chicago, IL 60642</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500 Main Street,</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1-312-278-2540</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New Brighton, MN 55112</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1-651-787-9536</w:t>
            </w:r>
          </w:p>
        </w:tc>
        <w:tc>
          <w:tcPr>
            <w:tcW w:w="3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4"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tc>
        <w:tc>
          <w:tcPr>
            <w:tcW w:w="3800" w:type="dxa"/>
            <w:tcBorders/>
          </w:tcPr>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Fidelity Homestead Savings Bank</w:t>
            </w:r>
          </w:p>
        </w:tc>
      </w:tr>
      <w:tr>
        <w:trPr>
          <w:trHeight w:val="259" w:hRule="atLeast"/>
        </w:trPr>
        <w:tc>
          <w:tcPr>
            <w:tcW w:w="468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CUC Mortgage Corporation</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504-569-3490</w:t>
            </w:r>
          </w:p>
        </w:tc>
      </w:tr>
      <w:tr>
        <w:trPr>
          <w:trHeight w:val="259" w:hRule="atLeast"/>
        </w:trPr>
        <w:tc>
          <w:tcPr>
            <w:tcW w:w="46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201 St. Charles Ave, 20th Floor</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800-342-4998</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New Orleans, LA 70170</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12670</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504-569-3537</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Albany, NY 12212</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85"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3800" w:type="dxa"/>
            <w:vMerge w:val="restart"/>
            <w:tcBorders/>
          </w:tcPr>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First Bank</w:t>
            </w:r>
          </w:p>
        </w:tc>
      </w:tr>
      <w:tr>
        <w:trPr>
          <w:trHeight w:val="237" w:hRule="atLeast"/>
        </w:trPr>
        <w:tc>
          <w:tcPr>
            <w:tcW w:w="468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DuPage Credit Union</w:t>
            </w:r>
          </w:p>
        </w:tc>
        <w:tc>
          <w:tcPr>
            <w:tcW w:w="3800" w:type="dxa"/>
            <w:vMerge w:val="continue"/>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9" w:hRule="atLeast"/>
        </w:trPr>
        <w:tc>
          <w:tcPr>
            <w:tcW w:w="46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800-760-2265</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800-323-2611</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 First Missouri Center</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Alternative Loan Solutions</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St. Louis, MO 63141</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 O Box 3930</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314-264-0220</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Naperville, IL 60567</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630-305-6030</w:t>
            </w:r>
          </w:p>
        </w:tc>
        <w:tc>
          <w:tcPr>
            <w:tcW w:w="3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4"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3800" w:type="dxa"/>
            <w:tcBorders/>
          </w:tcPr>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First Federal Bank of Florida</w:t>
            </w:r>
          </w:p>
        </w:tc>
      </w:tr>
      <w:tr>
        <w:trPr>
          <w:trHeight w:val="259" w:hRule="atLeast"/>
        </w:trPr>
        <w:tc>
          <w:tcPr>
            <w:tcW w:w="468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Eaton National Bank &amp; Trust Co</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1-386-754-0090</w:t>
            </w:r>
          </w:p>
        </w:tc>
      </w:tr>
      <w:tr>
        <w:trPr>
          <w:trHeight w:val="259" w:hRule="atLeast"/>
        </w:trPr>
        <w:tc>
          <w:tcPr>
            <w:tcW w:w="46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4705 West US Hwy 90,</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937-456-5544</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Lake City, FL 32056</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110 West Main Street,</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1-386-754-7161</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Eaton, OH 45320</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FHA-HAMP</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937-456-6847</w:t>
            </w:r>
          </w:p>
        </w:tc>
        <w:tc>
          <w:tcPr>
            <w:tcW w:w="3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4"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3800" w:type="dxa"/>
            <w:tcBorders/>
          </w:tcPr>
          <w:p>
            <w:pPr>
              <w:pStyle w:val="Normal"/>
              <w:spacing w:lineRule="atLeast" w:line="0"/>
              <w:ind w:start="360" w:end="0"/>
              <w:rPr/>
            </w:pPr>
            <w:r>
              <w:rPr>
                <w:rFonts w:eastAsia="Times New Roman" w:cs="Times New Roman" w:ascii="Times New Roman" w:hAnsi="Times New Roman"/>
                <w:b/>
                <w:sz w:val="22"/>
              </w:rPr>
              <w:t>First Financial Bank, N.A</w:t>
            </w:r>
            <w:r>
              <w:rPr>
                <w:rFonts w:eastAsia="Times New Roman" w:cs="Times New Roman" w:ascii="Times New Roman" w:hAnsi="Times New Roman"/>
                <w:sz w:val="22"/>
              </w:rPr>
              <w:t>.</w:t>
            </w:r>
          </w:p>
        </w:tc>
      </w:tr>
      <w:tr>
        <w:trPr>
          <w:trHeight w:val="259" w:hRule="atLeast"/>
        </w:trPr>
        <w:tc>
          <w:tcPr>
            <w:tcW w:w="468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EMC Mortgage Corporation</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1-812-238-6311</w:t>
            </w:r>
          </w:p>
        </w:tc>
      </w:tr>
      <w:tr>
        <w:trPr>
          <w:trHeight w:val="259" w:hRule="atLeast"/>
        </w:trPr>
        <w:tc>
          <w:tcPr>
            <w:tcW w:w="46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 First Financial Plaza</w:t>
            </w:r>
          </w:p>
        </w:tc>
      </w:tr>
      <w:tr>
        <w:trPr>
          <w:trHeight w:val="255"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800-723-3004</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Terre Haute, Indiana 47807</w:t>
            </w:r>
          </w:p>
        </w:tc>
      </w:tr>
      <w:tr>
        <w:trPr>
          <w:trHeight w:val="263" w:hRule="atLeast"/>
        </w:trPr>
        <w:tc>
          <w:tcPr>
            <w:tcW w:w="468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Regular Mail</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1-812-238-6137</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Chase/EMC Fulfillment Center</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293150</w:t>
            </w:r>
          </w:p>
        </w:tc>
        <w:tc>
          <w:tcPr>
            <w:tcW w:w="3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Lewisville, TX 75029</w:t>
            </w:r>
          </w:p>
        </w:tc>
        <w:tc>
          <w:tcPr>
            <w:tcW w:w="3800" w:type="dxa"/>
            <w:tcBorders/>
          </w:tcPr>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First Keystone Bank</w:t>
            </w:r>
          </w:p>
        </w:tc>
      </w:tr>
      <w:tr>
        <w:trPr>
          <w:trHeight w:val="263" w:hRule="atLeast"/>
        </w:trPr>
        <w:tc>
          <w:tcPr>
            <w:tcW w:w="468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Overnight Mail</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610-565-6210</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Chase/EMC Fulfillment Center</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22 West State Street</w:t>
            </w:r>
          </w:p>
        </w:tc>
      </w:tr>
      <w:tr>
        <w:trPr>
          <w:trHeight w:val="259"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2780 Lake Vista Drive</w:t>
            </w:r>
          </w:p>
        </w:tc>
        <w:tc>
          <w:tcPr>
            <w:tcW w:w="380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Media, PA 19063</w:t>
            </w:r>
          </w:p>
        </w:tc>
      </w:tr>
      <w:tr>
        <w:trPr>
          <w:trHeight w:val="285" w:hRule="atLeast"/>
        </w:trPr>
        <w:tc>
          <w:tcPr>
            <w:tcW w:w="46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Lewisville, TX 75067</w:t>
            </w:r>
          </w:p>
        </w:tc>
        <w:tc>
          <w:tcPr>
            <w:tcW w:w="3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1285" w:footer="0" w:bottom="468"/>
          <w:pgNumType w:fmt="decimal"/>
          <w:formProt w:val="false"/>
          <w:textDirection w:val="lrTb"/>
          <w:docGrid w:type="default" w:linePitch="360" w:charSpace="0"/>
        </w:sectPr>
      </w:pP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-31-</w:t>
      </w:r>
    </w:p>
    <w:p>
      <w:pPr>
        <w:sectPr>
          <w:type w:val="continuous"/>
          <w:pgSz w:w="12240" w:h="15840"/>
          <w:pgMar w:left="1440" w:right="1440" w:gutter="0" w:header="0" w:top="1285" w:footer="0" w:bottom="468"/>
          <w:formProt w:val="false"/>
          <w:textDirection w:val="lrTb"/>
          <w:docGrid w:type="default" w:linePitch="360" w:charSpace="0"/>
        </w:sectPr>
      </w:pPr>
    </w:p>
    <w:p>
      <w:pPr>
        <w:pStyle w:val="Normal"/>
        <w:spacing w:lineRule="atLeast" w:line="0"/>
        <w:rPr>
          <w:rFonts w:ascii="Times New Roman" w:hAnsi="Times New Roman" w:eastAsia="Times New Roman" w:cs="Times New Roman"/>
          <w:sz w:val="22"/>
        </w:rPr>
      </w:pPr>
      <w:bookmarkStart w:id="34" w:name="page32"/>
      <w:bookmarkEnd w:id="34"/>
      <w:r>
        <w:rPr>
          <w:rFonts w:eastAsia="Times New Roman" w:cs="Times New Roman" w:ascii="Times New Roman" w:hAnsi="Times New Roman"/>
          <w:sz w:val="22"/>
        </w:rPr>
        <w:t>610-892-5122</w:t>
      </w:r>
    </w:p>
    <w:p>
      <w:pPr>
        <w:pStyle w:val="Normal"/>
        <w:spacing w:lineRule="exact" w:line="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1740"/>
        <w:rPr/>
      </w:pPr>
      <w:r>
        <w:rPr>
          <w:rFonts w:eastAsia="Times New Roman" w:cs="Times New Roman" w:ascii="Times New Roman" w:hAnsi="Times New Roman"/>
          <w:b/>
          <w:sz w:val="22"/>
        </w:rPr>
        <w:t xml:space="preserve">First Mortgage Coporation </w:t>
      </w:r>
      <w:r>
        <w:rPr>
          <w:rFonts w:eastAsia="Times New Roman" w:cs="Times New Roman" w:ascii="Times New Roman" w:hAnsi="Times New Roman"/>
          <w:sz w:val="22"/>
        </w:rPr>
        <w:t>1-800-395-4778</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3230 Fallow Field Drive,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Diamond Bar, CA 91765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1-909-869-6685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Flagstar</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1-800-968-7700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5151 Corporate Drive,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Troy, MI 48098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1-888-705-1596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FHA-2LP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Franklin Credit Management Corporation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800-255-5897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Loss Mitigation</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101 Hudson Street 25th Floor</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Jersey City, NJ 07302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201-839-4545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Franklin Savings</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1-513-469-8000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4750 Ashwood Dr.,</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Cincinnati, OH 45241</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1-513-469-5360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FHA-HAMP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Fresno County Federal Credit Union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800-613-2328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4979 E. University Ave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Fresno, CA 93727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559-451-2496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Gateway Mortgage Group, LLC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1-918-712-9000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6910 E. 14th Street,</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Tulsa, OK 74112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1-918-858-8354</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Glass City Federal Credit Union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800-837-3595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1340 Arrowhead Drive</w:t>
      </w:r>
    </w:p>
    <w:p>
      <w:pPr>
        <w:pStyle w:val="Normal"/>
        <w:spacing w:lineRule="atLeast" w:line="0"/>
        <w:rPr>
          <w:rFonts w:ascii="Times New Roman" w:hAnsi="Times New Roman" w:eastAsia="Times New Roman" w:cs="Times New Roman"/>
          <w:sz w:val="22"/>
        </w:rPr>
      </w:pPr>
      <w:r>
        <w:br w:type="column"/>
      </w:r>
      <w:r>
        <w:rPr>
          <w:rFonts w:eastAsia="Times New Roman" w:cs="Times New Roman" w:ascii="Times New Roman" w:hAnsi="Times New Roman"/>
          <w:sz w:val="22"/>
        </w:rPr>
        <w:t>Maumee, OH 43537</w:t>
      </w:r>
    </w:p>
    <w:p>
      <w:pPr>
        <w:pStyle w:val="Normal"/>
        <w:spacing w:lineRule="exact" w:line="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419-887-1099  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GMAC Mortgage LLC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800-766-4622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200"/>
        <w:rPr>
          <w:rFonts w:ascii="Times New Roman" w:hAnsi="Times New Roman" w:eastAsia="Times New Roman" w:cs="Times New Roman"/>
          <w:sz w:val="22"/>
        </w:rPr>
      </w:pPr>
      <w:r>
        <w:rPr>
          <w:rFonts w:eastAsia="Times New Roman" w:cs="Times New Roman" w:ascii="Times New Roman" w:hAnsi="Times New Roman"/>
          <w:sz w:val="22"/>
        </w:rPr>
        <w:t>2711 North Haskell Ave, Suite 900 Dallas, TX 75204 866-709-4744</w:t>
      </w:r>
    </w:p>
    <w:p>
      <w:pPr>
        <w:pStyle w:val="Normal"/>
        <w:spacing w:lineRule="exact" w:line="24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HAMP; FHA-HAMP; 2MP; FHA-2LP</w:t>
      </w:r>
    </w:p>
    <w:p>
      <w:pPr>
        <w:pStyle w:val="Normal"/>
        <w:spacing w:lineRule="exact" w:line="25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Grafton Suburban Credit Union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508-839-5493</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 Worcester Street,</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North Grafton, MA 01536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508-839-5750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Great Lakes Credit Union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800-442-3488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end="1000"/>
        <w:rPr/>
      </w:pPr>
      <w:r>
        <w:rPr>
          <w:rFonts w:eastAsia="Times New Roman" w:cs="Times New Roman" w:ascii="Times New Roman" w:hAnsi="Times New Roman"/>
          <w:b/>
          <w:sz w:val="22"/>
        </w:rPr>
        <w:t xml:space="preserve">Greater Nevada Mortgage Services </w:t>
      </w:r>
      <w:r>
        <w:rPr>
          <w:rFonts w:eastAsia="Times New Roman" w:cs="Times New Roman" w:ascii="Times New Roman" w:hAnsi="Times New Roman"/>
          <w:sz w:val="22"/>
        </w:rPr>
        <w:t>800-421-6674</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4070 Silver Sage Drive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Carson City, NV 89701</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775-884-7041</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Green Tree Servicing LLC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800-643-0202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7360 S Kyrene Road T214</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Tempe, AZ 85283</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877-265-9717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HAMP; FHA-HAMP; 2MP; FHA-2LP</w:t>
      </w:r>
    </w:p>
    <w:p>
      <w:pPr>
        <w:pStyle w:val="Normal"/>
        <w:spacing w:lineRule="exact" w:line="25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Guaranty Bank</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1-800-235-4636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345 Saint Peter Street,</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Saint Paul, MN 55102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1-414-410-1400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Hartford Savings Bank</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800-844-3812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1400 Schauer Drive,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Hartford,WI 53027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262-673-0459</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sectPr>
          <w:type w:val="nextPage"/>
          <w:pgSz w:w="12240" w:h="15840"/>
          <w:pgMar w:left="1440" w:right="1440" w:gutter="0" w:header="0" w:top="1285" w:footer="0" w:bottom="468"/>
          <w:pgNumType w:fmt="decimal"/>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pPr>
      <w:r>
        <w:rPr/>
        <w:t>-32-</w:t>
      </w:r>
    </w:p>
    <w:p>
      <w:pPr>
        <w:sectPr>
          <w:type w:val="continuous"/>
          <w:pgSz w:w="12240" w:h="15840"/>
          <w:pgMar w:left="1440" w:right="1440" w:gutter="0" w:header="0" w:top="1285" w:footer="0" w:bottom="468"/>
          <w:formProt w:val="false"/>
          <w:textDirection w:val="lrTb"/>
          <w:docGrid w:type="default" w:linePitch="360" w:charSpace="0"/>
        </w:sectPr>
      </w:pPr>
    </w:p>
    <w:tbl>
      <w:tblPr>
        <w:tblW w:w="9360" w:type="dxa"/>
        <w:jc w:val="start"/>
        <w:tblInd w:w="0" w:type="dxa"/>
        <w:tblLayout w:type="fixed"/>
        <w:tblCellMar>
          <w:top w:w="0" w:type="dxa"/>
          <w:start w:w="0" w:type="dxa"/>
          <w:bottom w:w="0" w:type="dxa"/>
          <w:end w:w="0" w:type="dxa"/>
        </w:tblCellMar>
      </w:tblPr>
      <w:tblGrid>
        <w:gridCol w:w="4380"/>
        <w:gridCol w:w="4980"/>
      </w:tblGrid>
      <w:tr>
        <w:trPr>
          <w:trHeight w:val="259" w:hRule="atLeast"/>
        </w:trPr>
        <w:tc>
          <w:tcPr>
            <w:tcW w:w="4380" w:type="dxa"/>
            <w:tcBorders/>
          </w:tcPr>
          <w:p>
            <w:pPr>
              <w:pStyle w:val="Normal"/>
              <w:spacing w:lineRule="atLeast" w:line="0"/>
              <w:rPr>
                <w:rFonts w:ascii="Times New Roman" w:hAnsi="Times New Roman" w:eastAsia="Times New Roman" w:cs="Times New Roman"/>
                <w:b/>
                <w:sz w:val="22"/>
              </w:rPr>
            </w:pPr>
            <w:bookmarkStart w:id="35" w:name="page33"/>
            <w:bookmarkEnd w:id="35"/>
            <w:r>
              <w:rPr>
                <w:rFonts w:eastAsia="Times New Roman" w:cs="Times New Roman" w:ascii="Times New Roman" w:hAnsi="Times New Roman"/>
                <w:b/>
                <w:sz w:val="22"/>
              </w:rPr>
              <w:t>Hillsdale County National Bank</w:t>
            </w:r>
          </w:p>
        </w:tc>
        <w:tc>
          <w:tcPr>
            <w:tcW w:w="4980" w:type="dxa"/>
            <w:tcBorders/>
          </w:tcPr>
          <w:p>
            <w:pPr>
              <w:pStyle w:val="Normal"/>
              <w:spacing w:lineRule="atLeast" w:line="0"/>
              <w:ind w:start="660" w:end="0"/>
              <w:rPr>
                <w:rFonts w:ascii="Times New Roman" w:hAnsi="Times New Roman" w:eastAsia="Times New Roman" w:cs="Times New Roman"/>
                <w:b/>
                <w:sz w:val="22"/>
              </w:rPr>
            </w:pPr>
            <w:r>
              <w:rPr>
                <w:rFonts w:eastAsia="Times New Roman" w:cs="Times New Roman" w:ascii="Times New Roman" w:hAnsi="Times New Roman"/>
                <w:b/>
                <w:sz w:val="22"/>
              </w:rPr>
              <w:t>IBM  Lender  Business  Processing  Services</w:t>
            </w:r>
          </w:p>
        </w:tc>
      </w:tr>
      <w:tr>
        <w:trPr>
          <w:trHeight w:val="264"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517-439-6121</w:t>
            </w:r>
          </w:p>
        </w:tc>
        <w:tc>
          <w:tcPr>
            <w:tcW w:w="4980" w:type="dxa"/>
            <w:tcBorders/>
          </w:tcPr>
          <w:p>
            <w:pPr>
              <w:pStyle w:val="Normal"/>
              <w:spacing w:lineRule="atLeast" w:line="0"/>
              <w:ind w:start="660" w:end="0"/>
              <w:rPr>
                <w:rFonts w:ascii="Times New Roman" w:hAnsi="Times New Roman" w:eastAsia="Times New Roman" w:cs="Times New Roman"/>
                <w:b/>
                <w:sz w:val="22"/>
              </w:rPr>
            </w:pPr>
            <w:r>
              <w:rPr>
                <w:rFonts w:eastAsia="Times New Roman" w:cs="Times New Roman" w:ascii="Times New Roman" w:hAnsi="Times New Roman"/>
                <w:b/>
                <w:sz w:val="22"/>
              </w:rPr>
              <w:t>(LBPS)</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One South Howell Street</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866-570-5277</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Hillsdale, MI 49242</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PO Box 4121</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517-437-3151</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Beaverton, OR  97076-4121</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877-649-0743</w:t>
            </w:r>
          </w:p>
        </w:tc>
      </w:tr>
      <w:tr>
        <w:trPr>
          <w:trHeight w:val="285" w:hRule="atLeast"/>
        </w:trPr>
        <w:tc>
          <w:tcPr>
            <w:tcW w:w="438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Home Loan Services, Inc.</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38" w:hRule="atLeast"/>
        </w:trPr>
        <w:tc>
          <w:tcPr>
            <w:tcW w:w="43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vMerge w:val="restart"/>
            <w:tcBorders/>
          </w:tcPr>
          <w:p>
            <w:pPr>
              <w:pStyle w:val="Normal"/>
              <w:spacing w:lineRule="atLeast" w:line="0"/>
              <w:ind w:start="660" w:end="0"/>
              <w:rPr>
                <w:rFonts w:ascii="Times New Roman" w:hAnsi="Times New Roman" w:eastAsia="Times New Roman" w:cs="Times New Roman"/>
                <w:b/>
                <w:sz w:val="22"/>
              </w:rPr>
            </w:pPr>
            <w:r>
              <w:rPr>
                <w:rFonts w:eastAsia="Times New Roman" w:cs="Times New Roman" w:ascii="Times New Roman" w:hAnsi="Times New Roman"/>
                <w:b/>
                <w:sz w:val="22"/>
              </w:rPr>
              <w:t>IBM  Southeast  Employees'  Federal  Credit</w:t>
            </w:r>
          </w:p>
        </w:tc>
      </w:tr>
      <w:tr>
        <w:trPr>
          <w:trHeight w:val="255"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800-622-5035</w:t>
            </w:r>
          </w:p>
        </w:tc>
        <w:tc>
          <w:tcPr>
            <w:tcW w:w="49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4"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Loan Services P.O. Box 1838</w:t>
            </w:r>
          </w:p>
        </w:tc>
        <w:tc>
          <w:tcPr>
            <w:tcW w:w="4980" w:type="dxa"/>
            <w:tcBorders/>
          </w:tcPr>
          <w:p>
            <w:pPr>
              <w:pStyle w:val="Normal"/>
              <w:spacing w:lineRule="atLeast" w:line="0"/>
              <w:ind w:start="660" w:end="0"/>
              <w:rPr>
                <w:rFonts w:ascii="Times New Roman" w:hAnsi="Times New Roman" w:eastAsia="Times New Roman" w:cs="Times New Roman"/>
                <w:b/>
                <w:sz w:val="22"/>
              </w:rPr>
            </w:pPr>
            <w:r>
              <w:rPr>
                <w:rFonts w:eastAsia="Times New Roman" w:cs="Times New Roman" w:ascii="Times New Roman" w:hAnsi="Times New Roman"/>
                <w:b/>
                <w:sz w:val="22"/>
              </w:rPr>
              <w:t>Union</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Pittsburgh, PA 15230-1838</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1-800-873-5100</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412-499-3400</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1000 NW 17th Ave.</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FHA-2LP</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Delray Beach, FL 33445</w:t>
            </w:r>
          </w:p>
        </w:tc>
      </w:tr>
      <w:tr>
        <w:trPr>
          <w:trHeight w:val="259" w:hRule="atLeast"/>
        </w:trPr>
        <w:tc>
          <w:tcPr>
            <w:tcW w:w="4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1-561-982-7713</w:t>
            </w:r>
          </w:p>
        </w:tc>
      </w:tr>
      <w:tr>
        <w:trPr>
          <w:trHeight w:val="264" w:hRule="atLeast"/>
        </w:trPr>
        <w:tc>
          <w:tcPr>
            <w:tcW w:w="438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HomEq Servicing</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877-867-7378</w:t>
            </w:r>
          </w:p>
        </w:tc>
        <w:tc>
          <w:tcPr>
            <w:tcW w:w="4980" w:type="dxa"/>
            <w:vMerge w:val="restart"/>
            <w:tcBorders/>
          </w:tcPr>
          <w:p>
            <w:pPr>
              <w:pStyle w:val="Normal"/>
              <w:spacing w:lineRule="atLeast" w:line="0"/>
              <w:ind w:start="660" w:end="0"/>
              <w:rPr>
                <w:rFonts w:ascii="Times New Roman" w:hAnsi="Times New Roman" w:eastAsia="Times New Roman" w:cs="Times New Roman"/>
                <w:b/>
                <w:sz w:val="22"/>
              </w:rPr>
            </w:pPr>
            <w:r>
              <w:rPr>
                <w:rFonts w:eastAsia="Times New Roman" w:cs="Times New Roman" w:ascii="Times New Roman" w:hAnsi="Times New Roman"/>
                <w:b/>
                <w:sz w:val="22"/>
              </w:rPr>
              <w:t>IC Federal Credit Union</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160248</w:t>
            </w:r>
          </w:p>
        </w:tc>
        <w:tc>
          <w:tcPr>
            <w:tcW w:w="49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Sacramento, CA 95816-0248</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1-800-262-1001</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866- 554-5325</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300 Bemis Road</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Fitchburg, MA 01420</w:t>
            </w:r>
          </w:p>
        </w:tc>
      </w:tr>
      <w:tr>
        <w:trPr>
          <w:trHeight w:val="259" w:hRule="atLeast"/>
        </w:trPr>
        <w:tc>
          <w:tcPr>
            <w:tcW w:w="4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1-978-353-1375</w:t>
            </w:r>
          </w:p>
        </w:tc>
      </w:tr>
      <w:tr>
        <w:trPr>
          <w:trHeight w:val="264" w:hRule="atLeast"/>
        </w:trPr>
        <w:tc>
          <w:tcPr>
            <w:tcW w:w="438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HomeStar Bank and Financial Services</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815-468-2265</w:t>
            </w:r>
          </w:p>
        </w:tc>
        <w:tc>
          <w:tcPr>
            <w:tcW w:w="4980" w:type="dxa"/>
            <w:vMerge w:val="restart"/>
            <w:tcBorders/>
          </w:tcPr>
          <w:p>
            <w:pPr>
              <w:pStyle w:val="Normal"/>
              <w:spacing w:lineRule="atLeast" w:line="0"/>
              <w:ind w:start="660" w:end="0"/>
              <w:rPr>
                <w:rFonts w:ascii="Times New Roman" w:hAnsi="Times New Roman" w:eastAsia="Times New Roman" w:cs="Times New Roman"/>
                <w:b/>
                <w:sz w:val="22"/>
              </w:rPr>
            </w:pPr>
            <w:r>
              <w:rPr>
                <w:rFonts w:eastAsia="Times New Roman" w:cs="Times New Roman" w:ascii="Times New Roman" w:hAnsi="Times New Roman"/>
                <w:b/>
                <w:sz w:val="22"/>
              </w:rPr>
              <w:t>Idaho Housing and Finance Association</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 Diversatech Dr.,</w:t>
            </w:r>
          </w:p>
        </w:tc>
        <w:tc>
          <w:tcPr>
            <w:tcW w:w="49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8"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Manteno, IL 60950</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1-208-331-4726</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815-468-2378</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565 W. Myrtle Street</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Boise, ID 83702</w:t>
            </w:r>
          </w:p>
        </w:tc>
      </w:tr>
      <w:tr>
        <w:trPr>
          <w:trHeight w:val="259" w:hRule="atLeast"/>
        </w:trPr>
        <w:tc>
          <w:tcPr>
            <w:tcW w:w="4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1-208-331-4801</w:t>
            </w:r>
          </w:p>
        </w:tc>
      </w:tr>
      <w:tr>
        <w:trPr>
          <w:trHeight w:val="264" w:hRule="atLeast"/>
        </w:trPr>
        <w:tc>
          <w:tcPr>
            <w:tcW w:w="438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Horicon Bank</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920-485-3080 ext.7310</w:t>
            </w:r>
          </w:p>
        </w:tc>
        <w:tc>
          <w:tcPr>
            <w:tcW w:w="4980" w:type="dxa"/>
            <w:vMerge w:val="restart"/>
            <w:tcBorders/>
          </w:tcPr>
          <w:p>
            <w:pPr>
              <w:pStyle w:val="Normal"/>
              <w:spacing w:lineRule="atLeast" w:line="0"/>
              <w:ind w:start="660" w:end="0"/>
              <w:rPr>
                <w:rFonts w:ascii="Times New Roman" w:hAnsi="Times New Roman" w:eastAsia="Times New Roman" w:cs="Times New Roman"/>
                <w:b/>
                <w:sz w:val="22"/>
              </w:rPr>
            </w:pPr>
            <w:r>
              <w:rPr>
                <w:rFonts w:eastAsia="Times New Roman" w:cs="Times New Roman" w:ascii="Times New Roman" w:hAnsi="Times New Roman"/>
                <w:b/>
                <w:sz w:val="22"/>
              </w:rPr>
              <w:t>iServe Residential Lending, LLC</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326 E Lake Street, PO 126</w:t>
            </w:r>
          </w:p>
        </w:tc>
        <w:tc>
          <w:tcPr>
            <w:tcW w:w="49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Horicon, WI 53032</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1-888-875-8326</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920-485-3059</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13520 Evening Creek Drive Suite 400</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RD-HAMP</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San Diego, CA 92128</w:t>
            </w:r>
          </w:p>
        </w:tc>
      </w:tr>
      <w:tr>
        <w:trPr>
          <w:trHeight w:val="259" w:hRule="atLeast"/>
        </w:trPr>
        <w:tc>
          <w:tcPr>
            <w:tcW w:w="4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1-480-614-6710</w:t>
            </w:r>
          </w:p>
        </w:tc>
      </w:tr>
      <w:tr>
        <w:trPr>
          <w:trHeight w:val="264" w:hRule="atLeast"/>
        </w:trPr>
        <w:tc>
          <w:tcPr>
            <w:tcW w:w="438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Horizon Bank, NA</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HAMP; 2MP; FHA-HAMP</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888-873-2640</w:t>
            </w:r>
          </w:p>
        </w:tc>
        <w:tc>
          <w:tcPr>
            <w:tcW w:w="4980" w:type="dxa"/>
            <w:vMerge w:val="restart"/>
            <w:tcBorders/>
          </w:tcPr>
          <w:p>
            <w:pPr>
              <w:pStyle w:val="Normal"/>
              <w:spacing w:lineRule="atLeast" w:line="0"/>
              <w:ind w:start="660" w:end="0"/>
              <w:rPr>
                <w:rFonts w:ascii="Times New Roman" w:hAnsi="Times New Roman" w:eastAsia="Times New Roman" w:cs="Times New Roman"/>
                <w:b/>
                <w:sz w:val="22"/>
              </w:rPr>
            </w:pPr>
            <w:r>
              <w:rPr>
                <w:rFonts w:eastAsia="Times New Roman" w:cs="Times New Roman" w:ascii="Times New Roman" w:hAnsi="Times New Roman"/>
                <w:b/>
                <w:sz w:val="22"/>
              </w:rPr>
              <w:t>iServe Servicing, Inc.</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515 Franklin Square</w:t>
            </w:r>
          </w:p>
        </w:tc>
        <w:tc>
          <w:tcPr>
            <w:tcW w:w="49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Michigan City, IN 46360</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1-888-858-7378</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219-874-9374</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222 W. Las Colinas Blvd. Ste. 1252E</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Irving, TX 75039</w:t>
            </w:r>
          </w:p>
        </w:tc>
      </w:tr>
      <w:tr>
        <w:trPr>
          <w:trHeight w:val="259" w:hRule="atLeast"/>
        </w:trPr>
        <w:tc>
          <w:tcPr>
            <w:tcW w:w="4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1-214-496-9501</w:t>
            </w:r>
          </w:p>
        </w:tc>
      </w:tr>
      <w:tr>
        <w:trPr>
          <w:trHeight w:val="264" w:hRule="atLeast"/>
        </w:trPr>
        <w:tc>
          <w:tcPr>
            <w:tcW w:w="438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Iberiabank</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HAMP; 2MP; FHA-HAMP</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800-968-0801</w:t>
            </w:r>
          </w:p>
        </w:tc>
        <w:tc>
          <w:tcPr>
            <w:tcW w:w="4980" w:type="dxa"/>
            <w:vMerge w:val="restart"/>
            <w:tcBorders/>
          </w:tcPr>
          <w:p>
            <w:pPr>
              <w:pStyle w:val="Normal"/>
              <w:spacing w:lineRule="atLeast" w:line="0"/>
              <w:ind w:start="660" w:end="0"/>
              <w:rPr>
                <w:rFonts w:ascii="Times New Roman" w:hAnsi="Times New Roman" w:eastAsia="Times New Roman" w:cs="Times New Roman"/>
                <w:b/>
                <w:sz w:val="22"/>
              </w:rPr>
            </w:pPr>
            <w:r>
              <w:rPr>
                <w:rFonts w:eastAsia="Times New Roman" w:cs="Times New Roman" w:ascii="Times New Roman" w:hAnsi="Times New Roman"/>
                <w:b/>
                <w:sz w:val="22"/>
              </w:rPr>
              <w:t>J.P. Morgan Chase Bank, NA</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1680 Fruitville Rd.</w:t>
            </w:r>
          </w:p>
        </w:tc>
        <w:tc>
          <w:tcPr>
            <w:tcW w:w="49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Sarasota, FL 34236</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866-550-5705</w:t>
            </w:r>
          </w:p>
        </w:tc>
      </w:tr>
      <w:tr>
        <w:trPr>
          <w:trHeight w:val="263"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941-556-5821</w:t>
            </w:r>
          </w:p>
        </w:tc>
        <w:tc>
          <w:tcPr>
            <w:tcW w:w="4980" w:type="dxa"/>
            <w:tcBorders/>
          </w:tcPr>
          <w:p>
            <w:pPr>
              <w:pStyle w:val="Normal"/>
              <w:spacing w:lineRule="atLeast" w:line="0"/>
              <w:ind w:start="660" w:end="0"/>
              <w:rPr>
                <w:rFonts w:ascii="Times New Roman" w:hAnsi="Times New Roman" w:eastAsia="Times New Roman" w:cs="Times New Roman"/>
                <w:i/>
                <w:i/>
                <w:sz w:val="22"/>
              </w:rPr>
            </w:pPr>
            <w:r>
              <w:rPr>
                <w:rFonts w:eastAsia="Times New Roman" w:cs="Times New Roman" w:ascii="Times New Roman" w:hAnsi="Times New Roman"/>
                <w:i/>
                <w:sz w:val="22"/>
              </w:rPr>
              <w:t>Regular Mail</w:t>
            </w:r>
          </w:p>
        </w:tc>
      </w:tr>
      <w:tr>
        <w:trPr>
          <w:trHeight w:val="259" w:hRule="atLeast"/>
        </w:trPr>
        <w:tc>
          <w:tcPr>
            <w:tcW w:w="43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PO Box 469030</w:t>
            </w:r>
          </w:p>
        </w:tc>
      </w:tr>
      <w:tr>
        <w:trPr>
          <w:trHeight w:val="285" w:hRule="atLeast"/>
        </w:trPr>
        <w:tc>
          <w:tcPr>
            <w:tcW w:w="4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80" w:type="dxa"/>
            <w:tcBorders/>
          </w:tcPr>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Glendale, CO 80246</w:t>
            </w:r>
          </w:p>
        </w:tc>
      </w:tr>
    </w:tbl>
    <w:p>
      <w:pPr>
        <w:sectPr>
          <w:type w:val="continuous"/>
          <w:pgSz w:w="12240" w:h="15840"/>
          <w:pgMar w:left="1440" w:right="1440" w:gutter="0" w:header="0" w:top="1285" w:footer="0" w:bottom="4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-33-</w:t>
      </w:r>
    </w:p>
    <w:p>
      <w:pPr>
        <w:sectPr>
          <w:type w:val="continuous"/>
          <w:pgSz w:w="12240" w:h="15840"/>
          <w:pgMar w:left="1440" w:right="1440" w:gutter="0" w:header="0" w:top="1285" w:footer="0" w:bottom="468"/>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 w:name="page34"/>
      <w:bookmarkEnd w:id="36"/>
      <w:r>
        <w:rPr>
          <w:rFonts w:eastAsia="Times New Roman" w:cs="Times New Roman" w:ascii="Times New Roman" w:hAnsi="Times New Roman"/>
          <w:i/>
          <w:sz w:val="22"/>
        </w:rPr>
        <w:t>Overnight Mail</w:t>
      </w:r>
    </w:p>
    <w:p>
      <w:pPr>
        <w:pStyle w:val="Normal"/>
        <w:spacing w:lineRule="exact" w:line="3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Chase Fulfillment Center</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4500 Cherry Creek Drive South</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Suite 410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Glendale, CO 80246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866-989-1356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300"/>
        <w:rPr>
          <w:rFonts w:ascii="Times New Roman" w:hAnsi="Times New Roman" w:eastAsia="Times New Roman" w:cs="Times New Roman"/>
          <w:sz w:val="22"/>
        </w:rPr>
      </w:pPr>
      <w:r>
        <w:rPr>
          <w:rFonts w:eastAsia="Times New Roman" w:cs="Times New Roman" w:ascii="Times New Roman" w:hAnsi="Times New Roman"/>
          <w:sz w:val="22"/>
        </w:rPr>
        <w:t>HAMP; FHA-HAMP; RD-HAMP 2MP; FHA-2LP</w:t>
      </w:r>
    </w:p>
    <w:p>
      <w:pPr>
        <w:pStyle w:val="Normal"/>
        <w:spacing w:lineRule="exact" w:line="2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James B. Nutter &amp; Company</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1-800-798-3946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4153 Broadway</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Kansas City, MO 64111</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1-816-751-6971</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Lake City Bank</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888-522-2265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Candy Little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1387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Warsaw, IN 46581-1387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574-267-9128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Lake National Bank</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440-205-8100</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1048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Mentor, Ohio</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44061-1048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1740"/>
        <w:rPr/>
      </w:pPr>
      <w:r>
        <w:rPr>
          <w:rFonts w:eastAsia="Times New Roman" w:cs="Times New Roman" w:ascii="Times New Roman" w:hAnsi="Times New Roman"/>
          <w:b/>
          <w:sz w:val="22"/>
        </w:rPr>
        <w:t xml:space="preserve">Liberty Bank and Trust Co </w:t>
      </w:r>
      <w:r>
        <w:rPr>
          <w:rFonts w:eastAsia="Times New Roman" w:cs="Times New Roman" w:ascii="Times New Roman" w:hAnsi="Times New Roman"/>
          <w:sz w:val="22"/>
        </w:rPr>
        <w:t>1-800-883-3943 6600 Plaza Drive,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Suite 601, New Orleans, LA 70127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1-504-241-7433</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Litton Loan Servicing</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800-247-9727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4828 Loop Central Drive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Houston, TX 77081</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713-793-4923</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Los Alamos National Bank</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800-684-5262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60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Los Alamos NM 87544</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rPr/>
      </w:pPr>
      <w:r>
        <w:rPr>
          <w:rFonts w:eastAsia="Times New Roman" w:cs="Times New Roman" w:ascii="Times New Roman" w:hAnsi="Times New Roman"/>
          <w:sz w:val="22"/>
        </w:rPr>
        <w:t>505-663-4053</w:t>
        <w:tab/>
        <w:t>HAMP</w:t>
      </w:r>
    </w:p>
    <w:p>
      <w:pPr>
        <w:pStyle w:val="Normal"/>
        <w:spacing w:lineRule="exact" w:line="5"/>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M&amp;T Bank</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1-888-395-1010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1100 Wehrie Drive,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Buffalo, NY 14221</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1-716-848-7930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Magna Bank</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1-800-553-0558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6655 Poplar Ave #201,</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Germantown, TN 38138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1-901-309-6705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RD-HAMP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Marix Servicing, LLC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866-406-2749</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1925 W. Pinnacle Peak Road</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Phoeniz, AZ 85027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623-249-2070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HAMP; FHA-HAMP; RD-HAMP</w:t>
      </w:r>
    </w:p>
    <w:p>
      <w:pPr>
        <w:pStyle w:val="Normal"/>
        <w:spacing w:lineRule="exact" w:line="25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Marsh Associates, Inc.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1-800-686-3600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2448 Park Road,</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Charlotte, NC 28203</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1-704-347-5754</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Midland Mortgage Company</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1-800-552-3000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999 NW Grand Blvd,</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Oklahoma City, OK</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1-405-767-5500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HAMP; FHA-HAMP; RD-HAMP</w:t>
      </w:r>
    </w:p>
    <w:p>
      <w:pPr>
        <w:pStyle w:val="Normal"/>
        <w:spacing w:lineRule="exact" w:line="25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Midwest Bank and Trust Co.</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708-456-4700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1606 N. Harlem Avenue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Elmwood Park, IL</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708-456-9437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Midwest Community Bank</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1-815-235-6137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510 Polk Crest Drive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Freeport, IL 61032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1-815-235-1855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sectPr>
          <w:type w:val="nextPage"/>
          <w:pgSz w:w="12240" w:h="15840"/>
          <w:pgMar w:left="1440" w:right="1440" w:gutter="0" w:header="0" w:top="1281" w:footer="0" w:bottom="468"/>
          <w:pgNumType w:fmt="decimal"/>
          <w:cols w:num="2" w:space="720" w:equalWidth="true" w:sep="false"/>
          <w:formProt w:val="false"/>
          <w:textDirection w:val="lrTb"/>
          <w:docGrid w:type="default" w:linePitch="360" w:charSpace="0"/>
        </w:sectPr>
      </w:pPr>
    </w:p>
    <w:p>
      <w:pPr>
        <w:pStyle w:val="Normal"/>
        <w:spacing w:lineRule="exact" w:line="2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0"/>
        <w:jc w:val="center"/>
        <w:rPr/>
      </w:pPr>
      <w:r>
        <w:rPr/>
        <w:t>-34-</w:t>
      </w:r>
    </w:p>
    <w:p>
      <w:pPr>
        <w:sectPr>
          <w:type w:val="continuous"/>
          <w:pgSz w:w="12240" w:h="15840"/>
          <w:pgMar w:left="1440" w:right="1440" w:gutter="0" w:header="0" w:top="1281" w:footer="0" w:bottom="468"/>
          <w:formProt w:val="false"/>
          <w:textDirection w:val="lrTb"/>
          <w:docGrid w:type="default" w:linePitch="360" w:charSpace="0"/>
        </w:sectPr>
      </w:pPr>
    </w:p>
    <w:tbl>
      <w:tblPr>
        <w:tblW w:w="8440" w:type="dxa"/>
        <w:jc w:val="start"/>
        <w:tblInd w:w="0" w:type="dxa"/>
        <w:tblLayout w:type="fixed"/>
        <w:tblCellMar>
          <w:top w:w="0" w:type="dxa"/>
          <w:start w:w="0" w:type="dxa"/>
          <w:bottom w:w="0" w:type="dxa"/>
          <w:end w:w="0" w:type="dxa"/>
        </w:tblCellMar>
      </w:tblPr>
      <w:tblGrid>
        <w:gridCol w:w="4280"/>
        <w:gridCol w:w="4160"/>
      </w:tblGrid>
      <w:tr>
        <w:trPr>
          <w:trHeight w:val="259" w:hRule="atLeast"/>
        </w:trPr>
        <w:tc>
          <w:tcPr>
            <w:tcW w:w="4280" w:type="dxa"/>
            <w:tcBorders/>
          </w:tcPr>
          <w:p>
            <w:pPr>
              <w:pStyle w:val="Normal"/>
              <w:spacing w:lineRule="atLeast" w:line="0"/>
              <w:rPr>
                <w:rFonts w:ascii="Times New Roman" w:hAnsi="Times New Roman" w:eastAsia="Times New Roman" w:cs="Times New Roman"/>
                <w:b/>
                <w:sz w:val="22"/>
              </w:rPr>
            </w:pPr>
            <w:bookmarkStart w:id="37" w:name="page35"/>
            <w:bookmarkEnd w:id="37"/>
            <w:r>
              <w:rPr>
                <w:rFonts w:eastAsia="Times New Roman" w:cs="Times New Roman" w:ascii="Times New Roman" w:hAnsi="Times New Roman"/>
                <w:b/>
                <w:sz w:val="22"/>
              </w:rPr>
              <w:t>Mission Federal Credit Union</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250 Frank H. Ogawa Plaza Suite 6301</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800-500-6328 x2074</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Oakland , CA 94612</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Loss Mitigation</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510-238-5227</w:t>
            </w:r>
          </w:p>
        </w:tc>
      </w:tr>
      <w:tr>
        <w:trPr>
          <w:trHeight w:val="264"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919023</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San Diego, CA 92121</w:t>
            </w:r>
          </w:p>
        </w:tc>
        <w:tc>
          <w:tcPr>
            <w:tcW w:w="4160" w:type="dxa"/>
            <w:vMerge w:val="restart"/>
            <w:tcBorders/>
          </w:tcPr>
          <w:p>
            <w:pPr>
              <w:pStyle w:val="Normal"/>
              <w:spacing w:lineRule="atLeast" w:line="0"/>
              <w:ind w:start="760" w:end="0"/>
              <w:rPr>
                <w:rFonts w:ascii="Times New Roman" w:hAnsi="Times New Roman" w:eastAsia="Times New Roman" w:cs="Times New Roman"/>
                <w:b/>
                <w:sz w:val="22"/>
              </w:rPr>
            </w:pPr>
            <w:r>
              <w:rPr>
                <w:rFonts w:eastAsia="Times New Roman" w:cs="Times New Roman" w:ascii="Times New Roman" w:hAnsi="Times New Roman"/>
                <w:b/>
                <w:sz w:val="22"/>
              </w:rPr>
              <w:t>Ocwen Financial Corporation, Inc.</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858-546-2058</w:t>
            </w:r>
          </w:p>
        </w:tc>
        <w:tc>
          <w:tcPr>
            <w:tcW w:w="41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800-746-2936</w:t>
            </w:r>
          </w:p>
        </w:tc>
      </w:tr>
      <w:tr>
        <w:trPr>
          <w:trHeight w:val="259" w:hRule="atLeast"/>
        </w:trPr>
        <w:tc>
          <w:tcPr>
            <w:tcW w:w="4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1661 Worthington Rd Ste 100</w:t>
            </w:r>
          </w:p>
        </w:tc>
      </w:tr>
      <w:tr>
        <w:trPr>
          <w:trHeight w:val="259" w:hRule="atLeast"/>
        </w:trPr>
        <w:tc>
          <w:tcPr>
            <w:tcW w:w="428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MorEquity, Inc.</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West Palm Beach, FL 33409</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800-441-3805</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407-737-6174</w:t>
            </w:r>
          </w:p>
        </w:tc>
      </w:tr>
      <w:tr>
        <w:trPr>
          <w:trHeight w:val="264"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 PO Box 3788</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HAMP; FHA-HAMP</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Evansville IN 47736-9984</w:t>
            </w:r>
          </w:p>
        </w:tc>
        <w:tc>
          <w:tcPr>
            <w:tcW w:w="4160" w:type="dxa"/>
            <w:vMerge w:val="restart"/>
            <w:tcBorders/>
          </w:tcPr>
          <w:p>
            <w:pPr>
              <w:pStyle w:val="Normal"/>
              <w:spacing w:lineRule="atLeast" w:line="0"/>
              <w:ind w:start="760" w:end="0"/>
              <w:rPr>
                <w:rFonts w:ascii="Times New Roman" w:hAnsi="Times New Roman" w:eastAsia="Times New Roman" w:cs="Times New Roman"/>
                <w:b/>
                <w:sz w:val="22"/>
              </w:rPr>
            </w:pPr>
            <w:r>
              <w:rPr>
                <w:rFonts w:eastAsia="Times New Roman" w:cs="Times New Roman" w:ascii="Times New Roman" w:hAnsi="Times New Roman"/>
                <w:b/>
                <w:sz w:val="22"/>
              </w:rPr>
              <w:t>OneWest Bank</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 601 NW Second Street,</w:t>
            </w:r>
          </w:p>
        </w:tc>
        <w:tc>
          <w:tcPr>
            <w:tcW w:w="41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Evansville IN 47708</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800-781-7399</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812-475-7074</w:t>
            </w:r>
          </w:p>
        </w:tc>
        <w:tc>
          <w:tcPr>
            <w:tcW w:w="4160" w:type="dxa"/>
            <w:tcBorders/>
          </w:tcPr>
          <w:p>
            <w:pPr>
              <w:pStyle w:val="Normal"/>
              <w:spacing w:lineRule="atLeast" w:line="0"/>
              <w:ind w:start="760" w:end="0"/>
              <w:rPr>
                <w:rFonts w:ascii="Times New Roman" w:hAnsi="Times New Roman" w:eastAsia="Times New Roman" w:cs="Times New Roman"/>
                <w:w w:val="99"/>
                <w:sz w:val="22"/>
              </w:rPr>
            </w:pPr>
            <w:r>
              <w:rPr>
                <w:rFonts w:eastAsia="Times New Roman" w:cs="Times New Roman" w:ascii="Times New Roman" w:hAnsi="Times New Roman"/>
                <w:w w:val="99"/>
                <w:sz w:val="22"/>
              </w:rPr>
              <w:t>Indymac - 1, 2900 Esperanza Crossing</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Austin, TX 78758</w:t>
            </w:r>
          </w:p>
        </w:tc>
      </w:tr>
      <w:tr>
        <w:trPr>
          <w:trHeight w:val="259" w:hRule="atLeast"/>
        </w:trPr>
        <w:tc>
          <w:tcPr>
            <w:tcW w:w="4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866-235-2366</w:t>
            </w:r>
          </w:p>
        </w:tc>
      </w:tr>
      <w:tr>
        <w:trPr>
          <w:trHeight w:val="264" w:hRule="atLeast"/>
        </w:trPr>
        <w:tc>
          <w:tcPr>
            <w:tcW w:w="428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Mortgage Center, LLC</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HAMP; 2MP</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866-856-3750</w:t>
            </w:r>
          </w:p>
        </w:tc>
        <w:tc>
          <w:tcPr>
            <w:tcW w:w="4160" w:type="dxa"/>
            <w:vMerge w:val="restart"/>
            <w:tcBorders/>
          </w:tcPr>
          <w:p>
            <w:pPr>
              <w:pStyle w:val="Normal"/>
              <w:spacing w:lineRule="atLeast" w:line="0"/>
              <w:ind w:start="760" w:end="0"/>
              <w:rPr>
                <w:rFonts w:ascii="Times New Roman" w:hAnsi="Times New Roman" w:eastAsia="Times New Roman" w:cs="Times New Roman"/>
                <w:b/>
                <w:sz w:val="22"/>
              </w:rPr>
            </w:pPr>
            <w:r>
              <w:rPr>
                <w:rFonts w:eastAsia="Times New Roman" w:cs="Times New Roman" w:ascii="Times New Roman" w:hAnsi="Times New Roman"/>
                <w:b/>
                <w:sz w:val="22"/>
              </w:rPr>
              <w:t>ORNL Federal Credit Union</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20300 Civic Center Dr, # 403</w:t>
            </w:r>
          </w:p>
        </w:tc>
        <w:tc>
          <w:tcPr>
            <w:tcW w:w="41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Southfield, MI 48076</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800-676-5328</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248-799-8556</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Attn: Mortgage Modification Dept</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221 S. Rutgers Avenue</w:t>
            </w:r>
          </w:p>
        </w:tc>
      </w:tr>
      <w:tr>
        <w:trPr>
          <w:trHeight w:val="259" w:hRule="atLeast"/>
        </w:trPr>
        <w:tc>
          <w:tcPr>
            <w:tcW w:w="4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Oak Ridge, TN 37830</w:t>
            </w:r>
          </w:p>
        </w:tc>
      </w:tr>
      <w:tr>
        <w:trPr>
          <w:trHeight w:val="258" w:hRule="atLeast"/>
        </w:trPr>
        <w:tc>
          <w:tcPr>
            <w:tcW w:w="428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National City Bank</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865-481-5810</w:t>
            </w:r>
          </w:p>
        </w:tc>
      </w:tr>
      <w:tr>
        <w:trPr>
          <w:trHeight w:val="264"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800-523-8654</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3232 Newmark Drive</w:t>
            </w:r>
          </w:p>
        </w:tc>
        <w:tc>
          <w:tcPr>
            <w:tcW w:w="4160" w:type="dxa"/>
            <w:vMerge w:val="restart"/>
            <w:tcBorders/>
          </w:tcPr>
          <w:p>
            <w:pPr>
              <w:pStyle w:val="Normal"/>
              <w:spacing w:lineRule="atLeast" w:line="0"/>
              <w:ind w:start="760" w:end="0"/>
              <w:rPr>
                <w:rFonts w:ascii="Times New Roman" w:hAnsi="Times New Roman" w:eastAsia="Times New Roman" w:cs="Times New Roman"/>
                <w:b/>
                <w:sz w:val="22"/>
              </w:rPr>
            </w:pPr>
            <w:r>
              <w:rPr>
                <w:rFonts w:eastAsia="Times New Roman" w:cs="Times New Roman" w:ascii="Times New Roman" w:hAnsi="Times New Roman"/>
                <w:b/>
                <w:sz w:val="22"/>
              </w:rPr>
              <w:t>Park View Federal Savings Bank</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Miamisburg, OH 45342</w:t>
            </w:r>
          </w:p>
        </w:tc>
        <w:tc>
          <w:tcPr>
            <w:tcW w:w="41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937-910-4009</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440-914-3900</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FHA-HAMP; 2MP; FHA-2LP</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30000 Aurora Road</w:t>
            </w:r>
          </w:p>
        </w:tc>
      </w:tr>
      <w:tr>
        <w:trPr>
          <w:trHeight w:val="259" w:hRule="atLeast"/>
        </w:trPr>
        <w:tc>
          <w:tcPr>
            <w:tcW w:w="4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Solon, OH 44139</w:t>
            </w:r>
          </w:p>
        </w:tc>
      </w:tr>
      <w:tr>
        <w:trPr>
          <w:trHeight w:val="259" w:hRule="atLeast"/>
        </w:trPr>
        <w:tc>
          <w:tcPr>
            <w:tcW w:w="428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Nationstar Mortgage LLC</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440-914-3656</w:t>
            </w:r>
          </w:p>
        </w:tc>
      </w:tr>
      <w:tr>
        <w:trPr>
          <w:trHeight w:val="264"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888-850-9398</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HAMP</w:t>
            </w:r>
          </w:p>
        </w:tc>
        <w:tc>
          <w:tcPr>
            <w:tcW w:w="4160" w:type="dxa"/>
            <w:vMerge w:val="restart"/>
            <w:tcBorders/>
          </w:tcPr>
          <w:p>
            <w:pPr>
              <w:pStyle w:val="Normal"/>
              <w:spacing w:lineRule="atLeast" w:line="0"/>
              <w:ind w:start="760" w:end="0"/>
              <w:rPr>
                <w:rFonts w:ascii="Times New Roman" w:hAnsi="Times New Roman" w:eastAsia="Times New Roman" w:cs="Times New Roman"/>
                <w:b/>
                <w:sz w:val="22"/>
              </w:rPr>
            </w:pPr>
            <w:r>
              <w:rPr>
                <w:rFonts w:eastAsia="Times New Roman" w:cs="Times New Roman" w:ascii="Times New Roman" w:hAnsi="Times New Roman"/>
                <w:b/>
                <w:sz w:val="22"/>
              </w:rPr>
              <w:t>Pathfinder Bank</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350 Highland Drive</w:t>
            </w:r>
          </w:p>
        </w:tc>
        <w:tc>
          <w:tcPr>
            <w:tcW w:w="41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Lewisville, TX 75067</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1-315-343-0057</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214-488-1993</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214 West First Street</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FHA-HAMP; 2MP; FHA-2LP;</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Oswego, NY 13126</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RD-HAMP</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1-315-207-8035</w:t>
            </w:r>
          </w:p>
        </w:tc>
      </w:tr>
      <w:tr>
        <w:trPr>
          <w:trHeight w:val="285" w:hRule="atLeast"/>
        </w:trPr>
        <w:tc>
          <w:tcPr>
            <w:tcW w:w="428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Navy Federal Credit Union</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38" w:hRule="atLeast"/>
        </w:trPr>
        <w:tc>
          <w:tcPr>
            <w:tcW w:w="42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60" w:type="dxa"/>
            <w:vMerge w:val="restart"/>
            <w:tcBorders/>
          </w:tcPr>
          <w:p>
            <w:pPr>
              <w:pStyle w:val="Normal"/>
              <w:spacing w:lineRule="atLeast" w:line="0"/>
              <w:ind w:start="760" w:end="0"/>
              <w:rPr>
                <w:rFonts w:ascii="Times New Roman" w:hAnsi="Times New Roman" w:eastAsia="Times New Roman" w:cs="Times New Roman"/>
                <w:b/>
                <w:sz w:val="22"/>
              </w:rPr>
            </w:pPr>
            <w:r>
              <w:rPr>
                <w:rFonts w:eastAsia="Times New Roman" w:cs="Times New Roman" w:ascii="Times New Roman" w:hAnsi="Times New Roman"/>
                <w:b/>
                <w:sz w:val="22"/>
              </w:rPr>
              <w:t>PennyMac Loan Services, LLC</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1-888-842-6328</w:t>
            </w:r>
          </w:p>
        </w:tc>
        <w:tc>
          <w:tcPr>
            <w:tcW w:w="41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3820 Follin Lane S.E</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866-545-9070</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Vienna, VA 22180</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Attn: Karen Denton</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703-255-7947</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27001 Aguora Road, Suite 350</w:t>
            </w:r>
          </w:p>
        </w:tc>
      </w:tr>
      <w:tr>
        <w:trPr>
          <w:trHeight w:val="259"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Calabasas, CA 91301</w:t>
            </w:r>
          </w:p>
        </w:tc>
      </w:tr>
      <w:tr>
        <w:trPr>
          <w:trHeight w:val="259" w:hRule="atLeast"/>
        </w:trPr>
        <w:tc>
          <w:tcPr>
            <w:tcW w:w="4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818-224-7510</w:t>
            </w:r>
          </w:p>
        </w:tc>
      </w:tr>
      <w:tr>
        <w:trPr>
          <w:trHeight w:val="264" w:hRule="atLeast"/>
        </w:trPr>
        <w:tc>
          <w:tcPr>
            <w:tcW w:w="428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Oakland Municipal Credit Union</w:t>
            </w:r>
          </w:p>
        </w:tc>
        <w:tc>
          <w:tcPr>
            <w:tcW w:w="4160" w:type="dxa"/>
            <w:tcBorders/>
          </w:tcPr>
          <w:p>
            <w:pPr>
              <w:pStyle w:val="Normal"/>
              <w:spacing w:lineRule="atLeast" w:line="0"/>
              <w:ind w:start="760" w:end="0"/>
              <w:rPr>
                <w:rFonts w:ascii="Times New Roman" w:hAnsi="Times New Roman" w:eastAsia="Times New Roman" w:cs="Times New Roman"/>
                <w:sz w:val="22"/>
              </w:rPr>
            </w:pPr>
            <w:r>
              <w:rPr>
                <w:rFonts w:eastAsia="Times New Roman" w:cs="Times New Roman" w:ascii="Times New Roman" w:hAnsi="Times New Roman"/>
                <w:sz w:val="22"/>
              </w:rPr>
              <w:t>HAMP; FHA-HAMP; 2MP</w:t>
            </w:r>
          </w:p>
        </w:tc>
      </w:tr>
      <w:tr>
        <w:trPr>
          <w:trHeight w:val="285" w:hRule="atLeast"/>
        </w:trPr>
        <w:tc>
          <w:tcPr>
            <w:tcW w:w="42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510-637-6600</w:t>
            </w:r>
          </w:p>
        </w:tc>
        <w:tc>
          <w:tcPr>
            <w:tcW w:w="4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1281" w:footer="0" w:bottom="4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-35-</w:t>
      </w:r>
    </w:p>
    <w:p>
      <w:pPr>
        <w:sectPr>
          <w:type w:val="continuous"/>
          <w:pgSz w:w="12240" w:h="15840"/>
          <w:pgMar w:left="1440" w:right="1440" w:gutter="0" w:header="0" w:top="1285" w:footer="0" w:bottom="468"/>
          <w:formProt w:val="false"/>
          <w:textDirection w:val="lrTb"/>
          <w:docGrid w:type="default" w:linePitch="360" w:charSpace="0"/>
        </w:sectPr>
      </w:pPr>
    </w:p>
    <w:p>
      <w:pPr>
        <w:pStyle w:val="Normal"/>
        <w:tabs>
          <w:tab w:val="clear" w:pos="720"/>
          <w:tab w:val="left" w:pos="5020" w:leader="none"/>
        </w:tabs>
        <w:spacing w:lineRule="atLeast" w:line="0"/>
        <w:rPr/>
      </w:pPr>
      <w:bookmarkStart w:id="38" w:name="page36"/>
      <w:bookmarkEnd w:id="38"/>
      <w:r>
        <w:rPr>
          <w:rFonts w:eastAsia="Times New Roman" w:cs="Times New Roman" w:ascii="Times New Roman" w:hAnsi="Times New Roman"/>
          <w:b/>
          <w:sz w:val="22"/>
        </w:rPr>
        <w:t>PNC Bank, National Association</w:t>
      </w:r>
      <w:r>
        <w:rPr>
          <w:rFonts w:eastAsia="Times New Roman" w:cs="Times New Roman" w:ascii="Times New Roman" w:hAnsi="Times New Roman"/>
        </w:rPr>
        <w:tab/>
      </w:r>
      <w:r>
        <w:rPr>
          <w:rFonts w:eastAsia="Times New Roman" w:cs="Times New Roman" w:ascii="Times New Roman" w:hAnsi="Times New Roman"/>
          <w:b/>
          <w:sz w:val="22"/>
        </w:rPr>
        <w:t>RoundPoint Mortgage Servicing Corp.</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020" w:leader="none"/>
        </w:tabs>
        <w:spacing w:lineRule="atLeast" w:line="0"/>
        <w:rPr/>
      </w:pPr>
      <w:r>
        <w:rPr>
          <w:rFonts w:eastAsia="Times New Roman" w:cs="Times New Roman" w:ascii="Times New Roman" w:hAnsi="Times New Roman"/>
          <w:sz w:val="22"/>
        </w:rPr>
        <w:t>800-523-8654</w:t>
      </w:r>
      <w:r>
        <w:rPr>
          <w:rFonts w:eastAsia="Times New Roman" w:cs="Times New Roman" w:ascii="Times New Roman" w:hAnsi="Times New Roman"/>
        </w:rPr>
        <w:tab/>
      </w:r>
      <w:r>
        <w:rPr>
          <w:rFonts w:eastAsia="Times New Roman" w:cs="Times New Roman" w:ascii="Times New Roman" w:hAnsi="Times New Roman"/>
          <w:sz w:val="21"/>
        </w:rPr>
        <w:t>877-426-8805</w:t>
      </w: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5020" w:leader="none"/>
        </w:tabs>
        <w:spacing w:lineRule="atLeast" w:line="0"/>
        <w:rPr/>
      </w:pPr>
      <w:r>
        <w:rPr>
          <w:rFonts w:eastAsia="Times New Roman" w:cs="Times New Roman" w:ascii="Times New Roman" w:hAnsi="Times New Roman"/>
          <w:sz w:val="22"/>
        </w:rPr>
        <w:t>3232 Newmark Drive</w:t>
      </w:r>
      <w:r>
        <w:rPr>
          <w:rFonts w:eastAsia="Times New Roman" w:cs="Times New Roman" w:ascii="Times New Roman" w:hAnsi="Times New Roman"/>
        </w:rPr>
        <w:tab/>
      </w:r>
      <w:r>
        <w:rPr>
          <w:rFonts w:eastAsia="Times New Roman" w:cs="Times New Roman" w:ascii="Times New Roman" w:hAnsi="Times New Roman"/>
          <w:sz w:val="22"/>
        </w:rPr>
        <w:t>P.O. Box 19409</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imes New Roman" w:cs="Times New Roman" w:ascii="Times New Roman" w:hAnsi="Times New Roman"/>
          <w:sz w:val="22"/>
        </w:rPr>
        <w:t>Miamisburg, OH 45342</w:t>
      </w:r>
      <w:r>
        <w:rPr>
          <w:rFonts w:eastAsia="Times New Roman" w:cs="Times New Roman" w:ascii="Times New Roman" w:hAnsi="Times New Roman"/>
        </w:rPr>
        <w:tab/>
      </w:r>
      <w:r>
        <w:rPr>
          <w:rFonts w:eastAsia="Times New Roman" w:cs="Times New Roman" w:ascii="Times New Roman" w:hAnsi="Times New Roman"/>
          <w:sz w:val="22"/>
        </w:rPr>
        <w:t>Charlotte, NC 28219-9409</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imes New Roman" w:cs="Times New Roman" w:ascii="Times New Roman" w:hAnsi="Times New Roman"/>
          <w:sz w:val="22"/>
        </w:rPr>
        <w:t>937-910-4009</w:t>
      </w:r>
      <w:r>
        <w:rPr>
          <w:rFonts w:eastAsia="Times New Roman" w:cs="Times New Roman" w:ascii="Times New Roman" w:hAnsi="Times New Roman"/>
        </w:rPr>
        <w:tab/>
      </w:r>
      <w:r>
        <w:rPr>
          <w:rFonts w:eastAsia="Times New Roman" w:cs="Times New Roman" w:ascii="Times New Roman" w:hAnsi="Times New Roman"/>
          <w:sz w:val="21"/>
        </w:rPr>
        <w:t>888-364-5558</w:t>
      </w: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5020" w:leader="none"/>
        </w:tabs>
        <w:spacing w:lineRule="atLeast" w:line="0"/>
        <w:rPr/>
      </w:pPr>
      <w:r>
        <w:rPr>
          <w:rFonts w:eastAsia="Times New Roman" w:cs="Times New Roman" w:ascii="Times New Roman" w:hAnsi="Times New Roman"/>
          <w:sz w:val="22"/>
        </w:rPr>
        <w:t>HAMP; 2MP; FHA-2LP</w:t>
      </w:r>
      <w:r>
        <w:rPr>
          <w:rFonts w:eastAsia="Times New Roman" w:cs="Times New Roman" w:ascii="Times New Roman" w:hAnsi="Times New Roman"/>
        </w:rPr>
        <w:tab/>
      </w: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tbl>
      <w:tblPr>
        <w:tblW w:w="9360" w:type="dxa"/>
        <w:jc w:val="start"/>
        <w:tblInd w:w="0" w:type="dxa"/>
        <w:tblLayout w:type="fixed"/>
        <w:tblCellMar>
          <w:top w:w="0" w:type="dxa"/>
          <w:start w:w="0" w:type="dxa"/>
          <w:bottom w:w="0" w:type="dxa"/>
          <w:end w:w="0" w:type="dxa"/>
        </w:tblCellMar>
      </w:tblPr>
      <w:tblGrid>
        <w:gridCol w:w="4440"/>
        <w:gridCol w:w="4920"/>
      </w:tblGrid>
      <w:tr>
        <w:trPr>
          <w:trHeight w:val="264" w:hRule="atLeast"/>
        </w:trPr>
        <w:tc>
          <w:tcPr>
            <w:tcW w:w="44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Purdue Employees Federal Credit Union</w:t>
            </w:r>
          </w:p>
        </w:tc>
        <w:tc>
          <w:tcPr>
            <w:tcW w:w="4920" w:type="dxa"/>
            <w:tcBorders/>
          </w:tcPr>
          <w:p>
            <w:pPr>
              <w:pStyle w:val="Normal"/>
              <w:spacing w:lineRule="atLeast" w:line="0"/>
              <w:ind w:start="600" w:end="0"/>
              <w:rPr>
                <w:rFonts w:ascii="Times New Roman" w:hAnsi="Times New Roman" w:eastAsia="Times New Roman" w:cs="Times New Roman"/>
                <w:b/>
                <w:sz w:val="22"/>
              </w:rPr>
            </w:pPr>
            <w:r>
              <w:rPr>
                <w:rFonts w:eastAsia="Times New Roman" w:cs="Times New Roman" w:ascii="Times New Roman" w:hAnsi="Times New Roman"/>
                <w:b/>
                <w:sz w:val="22"/>
              </w:rPr>
              <w:t>Saxon Mortgage Services</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800-627-3328</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800-594-8422</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1950</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Attn:Home  Preservation  HMP  Documentation</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West Layette IN 47996-1950</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4708 Mercantile Drive</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765-497-7477</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North Fort Worth, TX 76137</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888-240-1885</w:t>
            </w:r>
          </w:p>
        </w:tc>
      </w:tr>
      <w:tr>
        <w:trPr>
          <w:trHeight w:val="285" w:hRule="atLeast"/>
        </w:trPr>
        <w:tc>
          <w:tcPr>
            <w:tcW w:w="444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Q Lending, Inc.</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HAMP; FHA-HAMP; FHA-2LP</w:t>
            </w:r>
          </w:p>
        </w:tc>
      </w:tr>
      <w:tr>
        <w:trPr>
          <w:trHeight w:val="238" w:hRule="atLeast"/>
        </w:trPr>
        <w:tc>
          <w:tcPr>
            <w:tcW w:w="44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20" w:type="dxa"/>
            <w:vMerge w:val="restart"/>
            <w:tcBorders/>
          </w:tcPr>
          <w:p>
            <w:pPr>
              <w:pStyle w:val="Normal"/>
              <w:spacing w:lineRule="atLeast" w:line="0"/>
              <w:ind w:start="600" w:end="0"/>
              <w:rPr>
                <w:rFonts w:ascii="Times New Roman" w:hAnsi="Times New Roman" w:eastAsia="Times New Roman" w:cs="Times New Roman"/>
                <w:b/>
                <w:sz w:val="22"/>
              </w:rPr>
            </w:pPr>
            <w:r>
              <w:rPr>
                <w:rFonts w:eastAsia="Times New Roman" w:cs="Times New Roman" w:ascii="Times New Roman" w:hAnsi="Times New Roman"/>
                <w:b/>
                <w:sz w:val="22"/>
              </w:rPr>
              <w:t>Schmidt Mortgage Company</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517-439-6121</w:t>
            </w:r>
          </w:p>
        </w:tc>
        <w:tc>
          <w:tcPr>
            <w:tcW w:w="49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 Corporate Drive, Suite 360</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1-800-686-3600</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Lake Zurich, IL 60047</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20545 Center Ridge Rd. 250,</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847-574-7658</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Rocky River, OH 44116</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1-440-895-2181</w:t>
            </w:r>
          </w:p>
        </w:tc>
      </w:tr>
      <w:tr>
        <w:trPr>
          <w:trHeight w:val="285" w:hRule="atLeast"/>
        </w:trPr>
        <w:tc>
          <w:tcPr>
            <w:tcW w:w="444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Quantum Servicing Corporation</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FHA-HAMP</w:t>
            </w:r>
          </w:p>
        </w:tc>
      </w:tr>
      <w:tr>
        <w:trPr>
          <w:trHeight w:val="238" w:hRule="atLeast"/>
        </w:trPr>
        <w:tc>
          <w:tcPr>
            <w:tcW w:w="44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20" w:type="dxa"/>
            <w:vMerge w:val="restart"/>
            <w:tcBorders/>
          </w:tcPr>
          <w:p>
            <w:pPr>
              <w:pStyle w:val="Normal"/>
              <w:spacing w:lineRule="atLeast" w:line="0"/>
              <w:ind w:start="600" w:end="0"/>
              <w:rPr>
                <w:rFonts w:ascii="Times New Roman" w:hAnsi="Times New Roman" w:eastAsia="Times New Roman" w:cs="Times New Roman"/>
                <w:b/>
                <w:sz w:val="22"/>
              </w:rPr>
            </w:pPr>
            <w:r>
              <w:rPr>
                <w:rFonts w:eastAsia="Times New Roman" w:cs="Times New Roman" w:ascii="Times New Roman" w:hAnsi="Times New Roman"/>
                <w:b/>
                <w:sz w:val="22"/>
              </w:rPr>
              <w:t>Schools Financial Credit Union</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813-371-0270</w:t>
            </w:r>
          </w:p>
        </w:tc>
        <w:tc>
          <w:tcPr>
            <w:tcW w:w="49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6302 E. MLK Blvd., Suite 300</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800-962-0990</w:t>
            </w:r>
          </w:p>
        </w:tc>
      </w:tr>
      <w:tr>
        <w:trPr>
          <w:trHeight w:val="258"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Tampa, FL 33619</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C/O Real Estate Department</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1485 Response Rd Suite 126</w:t>
            </w:r>
          </w:p>
        </w:tc>
      </w:tr>
      <w:tr>
        <w:trPr>
          <w:trHeight w:val="259" w:hRule="atLeast"/>
        </w:trPr>
        <w:tc>
          <w:tcPr>
            <w:tcW w:w="4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Sacramento CA, 95815</w:t>
            </w:r>
          </w:p>
        </w:tc>
      </w:tr>
      <w:tr>
        <w:trPr>
          <w:trHeight w:val="259" w:hRule="atLeast"/>
        </w:trPr>
        <w:tc>
          <w:tcPr>
            <w:tcW w:w="44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RBC Bank (USA)</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916-569-2047</w:t>
            </w:r>
          </w:p>
        </w:tc>
      </w:tr>
      <w:tr>
        <w:trPr>
          <w:trHeight w:val="264"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1-866-777-2179</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3201 Beechleaf Court</w:t>
            </w:r>
          </w:p>
        </w:tc>
        <w:tc>
          <w:tcPr>
            <w:tcW w:w="4920" w:type="dxa"/>
            <w:vMerge w:val="restart"/>
            <w:tcBorders/>
          </w:tcPr>
          <w:p>
            <w:pPr>
              <w:pStyle w:val="Normal"/>
              <w:spacing w:lineRule="atLeast" w:line="0"/>
              <w:ind w:start="600" w:end="0"/>
              <w:rPr>
                <w:rFonts w:ascii="Times New Roman" w:hAnsi="Times New Roman" w:eastAsia="Times New Roman" w:cs="Times New Roman"/>
                <w:b/>
                <w:sz w:val="22"/>
              </w:rPr>
            </w:pPr>
            <w:r>
              <w:rPr>
                <w:rFonts w:eastAsia="Times New Roman" w:cs="Times New Roman" w:ascii="Times New Roman" w:hAnsi="Times New Roman"/>
                <w:b/>
                <w:sz w:val="22"/>
              </w:rPr>
              <w:t>SEFCU</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Raleigh, NC 27604</w:t>
            </w:r>
          </w:p>
        </w:tc>
        <w:tc>
          <w:tcPr>
            <w:tcW w:w="49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1-877-530-0765</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866-733-2880</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700 Patroon Creek Blvd</w:t>
            </w:r>
          </w:p>
        </w:tc>
      </w:tr>
      <w:tr>
        <w:trPr>
          <w:trHeight w:val="259" w:hRule="atLeast"/>
        </w:trPr>
        <w:tc>
          <w:tcPr>
            <w:tcW w:w="4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Albany, NY 12206</w:t>
            </w:r>
          </w:p>
        </w:tc>
      </w:tr>
      <w:tr>
        <w:trPr>
          <w:trHeight w:val="259" w:hRule="atLeast"/>
        </w:trPr>
        <w:tc>
          <w:tcPr>
            <w:tcW w:w="44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Residential Credit Solutions</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518-464-5213</w:t>
            </w:r>
          </w:p>
        </w:tc>
      </w:tr>
      <w:tr>
        <w:trPr>
          <w:trHeight w:val="264"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800-737-1192</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4282 North Freeway</w:t>
            </w:r>
          </w:p>
        </w:tc>
        <w:tc>
          <w:tcPr>
            <w:tcW w:w="4920" w:type="dxa"/>
            <w:vMerge w:val="restart"/>
            <w:tcBorders/>
          </w:tcPr>
          <w:p>
            <w:pPr>
              <w:pStyle w:val="Normal"/>
              <w:spacing w:lineRule="atLeast" w:line="0"/>
              <w:ind w:start="600" w:end="0"/>
              <w:rPr>
                <w:rFonts w:ascii="Times New Roman" w:hAnsi="Times New Roman" w:eastAsia="Times New Roman" w:cs="Times New Roman"/>
                <w:b/>
                <w:sz w:val="22"/>
              </w:rPr>
            </w:pPr>
            <w:r>
              <w:rPr>
                <w:rFonts w:eastAsia="Times New Roman" w:cs="Times New Roman" w:ascii="Times New Roman" w:hAnsi="Times New Roman"/>
                <w:b/>
                <w:sz w:val="22"/>
              </w:rPr>
              <w:t>Select Portfolio Servicing</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Fort Worth TX 76137</w:t>
            </w:r>
          </w:p>
        </w:tc>
        <w:tc>
          <w:tcPr>
            <w:tcW w:w="49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888-775-7250</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888-818-6032</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FHA-HAMP; 2MP; FHA-2LP</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PO BOX:65250</w:t>
            </w:r>
          </w:p>
        </w:tc>
      </w:tr>
      <w:tr>
        <w:trPr>
          <w:trHeight w:val="259" w:hRule="atLeast"/>
        </w:trPr>
        <w:tc>
          <w:tcPr>
            <w:tcW w:w="4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Salt Lake City, UT 84165-0250</w:t>
            </w:r>
          </w:p>
        </w:tc>
      </w:tr>
      <w:tr>
        <w:trPr>
          <w:trHeight w:val="259" w:hRule="atLeast"/>
        </w:trPr>
        <w:tc>
          <w:tcPr>
            <w:tcW w:w="44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RG Mortgage Corporation</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3815 S. West Temple</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888-264-4674</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Salt Lake City, UT 84107</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362394</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801-293-3936</w:t>
            </w:r>
          </w:p>
        </w:tc>
      </w:tr>
      <w:tr>
        <w:trPr>
          <w:trHeight w:val="264"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San Juan, PR. 00936-2394</w:t>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HAMP; FHA-HAMP; FHA-2LP</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787-756-2845</w:t>
            </w:r>
          </w:p>
        </w:tc>
        <w:tc>
          <w:tcPr>
            <w:tcW w:w="4920" w:type="dxa"/>
            <w:vMerge w:val="restart"/>
            <w:tcBorders/>
          </w:tcPr>
          <w:p>
            <w:pPr>
              <w:pStyle w:val="Normal"/>
              <w:spacing w:lineRule="atLeast" w:line="0"/>
              <w:ind w:start="600" w:end="0"/>
              <w:rPr>
                <w:rFonts w:ascii="Times New Roman" w:hAnsi="Times New Roman" w:eastAsia="Times New Roman" w:cs="Times New Roman"/>
                <w:b/>
                <w:sz w:val="22"/>
              </w:rPr>
            </w:pPr>
            <w:r>
              <w:rPr>
                <w:rFonts w:eastAsia="Times New Roman" w:cs="Times New Roman" w:ascii="Times New Roman" w:hAnsi="Times New Roman"/>
                <w:b/>
                <w:sz w:val="22"/>
              </w:rPr>
              <w:t>Servis One Inc.,dba BSI Financial Services</w:t>
            </w:r>
          </w:p>
        </w:tc>
      </w:tr>
      <w:tr>
        <w:trPr>
          <w:trHeight w:val="259" w:hRule="atLeast"/>
        </w:trPr>
        <w:tc>
          <w:tcPr>
            <w:tcW w:w="4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9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866-209-4178</w:t>
            </w:r>
          </w:p>
        </w:tc>
      </w:tr>
      <w:tr>
        <w:trPr>
          <w:trHeight w:val="285" w:hRule="atLeast"/>
        </w:trPr>
        <w:tc>
          <w:tcPr>
            <w:tcW w:w="4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tcBorders/>
          </w:tcPr>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Attn: HAMP Department</w:t>
            </w:r>
          </w:p>
        </w:tc>
      </w:tr>
    </w:tbl>
    <w:p>
      <w:pPr>
        <w:sectPr>
          <w:type w:val="nextPage"/>
          <w:pgSz w:w="12240" w:h="15840"/>
          <w:pgMar w:left="1440" w:right="1440" w:gutter="0" w:header="0" w:top="1285" w:footer="0" w:bottom="4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pPr>
      <w:r>
        <w:rPr/>
        <w:t>-36-</w:t>
      </w:r>
    </w:p>
    <w:p>
      <w:pPr>
        <w:sectPr>
          <w:type w:val="continuous"/>
          <w:pgSz w:w="12240" w:h="15840"/>
          <w:pgMar w:left="1440" w:right="1440" w:gutter="0" w:header="0" w:top="1285" w:footer="0" w:bottom="468"/>
          <w:formProt w:val="false"/>
          <w:textDirection w:val="lrTb"/>
          <w:docGrid w:type="default" w:linePitch="360" w:charSpace="0"/>
        </w:sectPr>
      </w:pPr>
    </w:p>
    <w:tbl>
      <w:tblPr>
        <w:tblW w:w="8500" w:type="dxa"/>
        <w:jc w:val="start"/>
        <w:tblInd w:w="0" w:type="dxa"/>
        <w:tblLayout w:type="fixed"/>
        <w:tblCellMar>
          <w:top w:w="0" w:type="dxa"/>
          <w:start w:w="0" w:type="dxa"/>
          <w:bottom w:w="0" w:type="dxa"/>
          <w:end w:w="0" w:type="dxa"/>
        </w:tblCellMar>
      </w:tblPr>
      <w:tblGrid>
        <w:gridCol w:w="4400"/>
        <w:gridCol w:w="4100"/>
      </w:tblGrid>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bookmarkStart w:id="39" w:name="page37"/>
            <w:bookmarkEnd w:id="39"/>
            <w:r>
              <w:rPr>
                <w:rFonts w:eastAsia="Times New Roman" w:cs="Times New Roman" w:ascii="Times New Roman" w:hAnsi="Times New Roman"/>
                <w:sz w:val="22"/>
              </w:rPr>
              <w:t>P.O. Box 517, 314 S. Franklin Street,</w:t>
            </w:r>
          </w:p>
        </w:tc>
        <w:tc>
          <w:tcPr>
            <w:tcW w:w="4100" w:type="dxa"/>
            <w:tcBorders/>
          </w:tcPr>
          <w:p>
            <w:pPr>
              <w:pStyle w:val="Normal"/>
              <w:spacing w:lineRule="atLeast" w:line="0"/>
              <w:ind w:start="640" w:end="0"/>
              <w:rPr>
                <w:rFonts w:ascii="Times New Roman" w:hAnsi="Times New Roman" w:eastAsia="Times New Roman" w:cs="Times New Roman"/>
                <w:b/>
                <w:sz w:val="22"/>
              </w:rPr>
            </w:pPr>
            <w:r>
              <w:rPr>
                <w:rFonts w:eastAsia="Times New Roman" w:cs="Times New Roman" w:ascii="Times New Roman" w:hAnsi="Times New Roman"/>
                <w:b/>
                <w:sz w:val="22"/>
              </w:rPr>
              <w:t>Technology Credit Union</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Titusville, PA 16354</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800-553-0880</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814-217-1366</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Attn: LAD</w:t>
            </w:r>
          </w:p>
        </w:tc>
      </w:tr>
      <w:tr>
        <w:trPr>
          <w:trHeight w:val="264"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FHA-HAMP; 2MP</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2010 N First Street</w:t>
            </w:r>
          </w:p>
        </w:tc>
      </w:tr>
      <w:tr>
        <w:trPr>
          <w:trHeight w:val="259" w:hRule="atLeast"/>
        </w:trPr>
        <w:tc>
          <w:tcPr>
            <w:tcW w:w="440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ShoreBank</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San Jose, CA 95131</w:t>
            </w:r>
          </w:p>
        </w:tc>
      </w:tr>
      <w:tr>
        <w:trPr>
          <w:trHeight w:val="259" w:hRule="atLeast"/>
        </w:trPr>
        <w:tc>
          <w:tcPr>
            <w:tcW w:w="44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408-453-8742</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800-905-7725</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Kenisha Davis</w:t>
            </w:r>
          </w:p>
        </w:tc>
        <w:tc>
          <w:tcPr>
            <w:tcW w:w="4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3401 South King Drive,</w:t>
            </w:r>
          </w:p>
        </w:tc>
        <w:tc>
          <w:tcPr>
            <w:tcW w:w="4100" w:type="dxa"/>
            <w:tcBorders/>
          </w:tcPr>
          <w:p>
            <w:pPr>
              <w:pStyle w:val="Normal"/>
              <w:spacing w:lineRule="atLeast" w:line="0"/>
              <w:ind w:start="640" w:end="0"/>
              <w:rPr>
                <w:rFonts w:ascii="Times New Roman" w:hAnsi="Times New Roman" w:eastAsia="Times New Roman" w:cs="Times New Roman"/>
                <w:b/>
                <w:sz w:val="22"/>
              </w:rPr>
            </w:pPr>
            <w:r>
              <w:rPr>
                <w:rFonts w:eastAsia="Times New Roman" w:cs="Times New Roman" w:ascii="Times New Roman" w:hAnsi="Times New Roman"/>
                <w:b/>
                <w:sz w:val="22"/>
              </w:rPr>
              <w:t>The Golden 1 Credit Union</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Chicago, IL 60466</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800-553-0880</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773-420-4501</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8945 Cal Center Drive</w:t>
            </w:r>
          </w:p>
        </w:tc>
      </w:tr>
      <w:tr>
        <w:trPr>
          <w:trHeight w:val="264"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Sacramento, CA 95826</w:t>
            </w:r>
          </w:p>
        </w:tc>
      </w:tr>
      <w:tr>
        <w:trPr>
          <w:trHeight w:val="259" w:hRule="atLeast"/>
        </w:trPr>
        <w:tc>
          <w:tcPr>
            <w:tcW w:w="440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Silver State Schools Credit Union</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847-574-7658</w:t>
            </w:r>
          </w:p>
        </w:tc>
      </w:tr>
      <w:tr>
        <w:trPr>
          <w:trHeight w:val="259" w:hRule="atLeast"/>
        </w:trPr>
        <w:tc>
          <w:tcPr>
            <w:tcW w:w="44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800-357-9654</w:t>
            </w:r>
          </w:p>
        </w:tc>
        <w:tc>
          <w:tcPr>
            <w:tcW w:w="4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 Corporate Drive Suite 360</w:t>
            </w:r>
          </w:p>
        </w:tc>
        <w:tc>
          <w:tcPr>
            <w:tcW w:w="4100" w:type="dxa"/>
            <w:tcBorders/>
          </w:tcPr>
          <w:p>
            <w:pPr>
              <w:pStyle w:val="Normal"/>
              <w:spacing w:lineRule="atLeast" w:line="0"/>
              <w:ind w:start="640" w:end="0"/>
              <w:rPr>
                <w:rFonts w:ascii="Times New Roman" w:hAnsi="Times New Roman" w:eastAsia="Times New Roman" w:cs="Times New Roman"/>
                <w:b/>
                <w:sz w:val="22"/>
              </w:rPr>
            </w:pPr>
            <w:r>
              <w:rPr>
                <w:rFonts w:eastAsia="Times New Roman" w:cs="Times New Roman" w:ascii="Times New Roman" w:hAnsi="Times New Roman"/>
                <w:b/>
                <w:sz w:val="22"/>
              </w:rPr>
              <w:t>U.S. Bank National Association</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Lake Zurich, IL 60047</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866-932-0462</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847-574-7658</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P.O. BOX 20005</w:t>
            </w:r>
          </w:p>
        </w:tc>
      </w:tr>
      <w:tr>
        <w:trPr>
          <w:trHeight w:val="264"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Owensboro, KY  42304-0005</w:t>
            </w:r>
          </w:p>
        </w:tc>
      </w:tr>
      <w:tr>
        <w:trPr>
          <w:trHeight w:val="285" w:hRule="atLeast"/>
        </w:trPr>
        <w:tc>
          <w:tcPr>
            <w:tcW w:w="440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Specialized Loan Servicing, LLC</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33" w:hRule="atLeast"/>
        </w:trPr>
        <w:tc>
          <w:tcPr>
            <w:tcW w:w="44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800-315-4757</w:t>
            </w:r>
          </w:p>
        </w:tc>
        <w:tc>
          <w:tcPr>
            <w:tcW w:w="4100" w:type="dxa"/>
            <w:tcBorders/>
          </w:tcPr>
          <w:p>
            <w:pPr>
              <w:pStyle w:val="Normal"/>
              <w:spacing w:lineRule="atLeast" w:line="0"/>
              <w:ind w:start="640" w:end="0"/>
              <w:rPr>
                <w:rFonts w:ascii="Times New Roman" w:hAnsi="Times New Roman" w:eastAsia="Times New Roman" w:cs="Times New Roman"/>
                <w:b/>
                <w:sz w:val="22"/>
              </w:rPr>
            </w:pPr>
            <w:r>
              <w:rPr>
                <w:rFonts w:eastAsia="Times New Roman" w:cs="Times New Roman" w:ascii="Times New Roman" w:hAnsi="Times New Roman"/>
                <w:b/>
                <w:sz w:val="22"/>
              </w:rPr>
              <w:t>United Bank</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8742 Lucent Blvd., Suite 300</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1-715-835-6865</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Highlands Ranch, CO 80129</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3625 Gateway Dr.</w:t>
            </w:r>
          </w:p>
        </w:tc>
      </w:tr>
      <w:tr>
        <w:trPr>
          <w:trHeight w:val="258"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720-241-7526</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Eau Claire, WI 54701</w:t>
            </w:r>
          </w:p>
        </w:tc>
      </w:tr>
      <w:tr>
        <w:trPr>
          <w:trHeight w:val="264"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715-835-6870</w:t>
            </w:r>
          </w:p>
        </w:tc>
      </w:tr>
      <w:tr>
        <w:trPr>
          <w:trHeight w:val="285" w:hRule="atLeast"/>
        </w:trPr>
        <w:tc>
          <w:tcPr>
            <w:tcW w:w="440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Sterling Savings Bank</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33" w:hRule="atLeast"/>
        </w:trPr>
        <w:tc>
          <w:tcPr>
            <w:tcW w:w="44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800-772-7791</w:t>
            </w:r>
          </w:p>
        </w:tc>
        <w:tc>
          <w:tcPr>
            <w:tcW w:w="4100" w:type="dxa"/>
            <w:tcBorders/>
          </w:tcPr>
          <w:p>
            <w:pPr>
              <w:pStyle w:val="Normal"/>
              <w:spacing w:lineRule="atLeast" w:line="0"/>
              <w:ind w:start="640" w:end="0"/>
              <w:rPr>
                <w:rFonts w:ascii="Times New Roman" w:hAnsi="Times New Roman" w:eastAsia="Times New Roman" w:cs="Times New Roman"/>
                <w:b/>
                <w:sz w:val="22"/>
              </w:rPr>
            </w:pPr>
            <w:r>
              <w:rPr>
                <w:rFonts w:eastAsia="Times New Roman" w:cs="Times New Roman" w:ascii="Times New Roman" w:hAnsi="Times New Roman"/>
                <w:b/>
                <w:sz w:val="22"/>
              </w:rPr>
              <w:t>United Bank Mortgage Corporation</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Attn: Tram Le</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800-968-1990</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111 N. Wall</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900 East Paris SE</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Spokane, WA 99201</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Grand Rapids MI 49546</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509-624-8038</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616-559-4631</w:t>
            </w:r>
          </w:p>
        </w:tc>
      </w:tr>
      <w:tr>
        <w:trPr>
          <w:trHeight w:val="290"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492" w:hRule="atLeast"/>
        </w:trPr>
        <w:tc>
          <w:tcPr>
            <w:tcW w:w="440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Stockman Bank of Montana</w:t>
            </w:r>
          </w:p>
        </w:tc>
        <w:tc>
          <w:tcPr>
            <w:tcW w:w="4100" w:type="dxa"/>
            <w:tcBorders/>
          </w:tcPr>
          <w:p>
            <w:pPr>
              <w:pStyle w:val="Normal"/>
              <w:spacing w:lineRule="atLeast" w:line="0"/>
              <w:ind w:start="640" w:end="0"/>
              <w:rPr>
                <w:rFonts w:ascii="Times New Roman" w:hAnsi="Times New Roman" w:eastAsia="Times New Roman" w:cs="Times New Roman"/>
                <w:b/>
                <w:sz w:val="22"/>
              </w:rPr>
            </w:pPr>
            <w:r>
              <w:rPr>
                <w:rFonts w:eastAsia="Times New Roman" w:cs="Times New Roman" w:ascii="Times New Roman" w:hAnsi="Times New Roman"/>
                <w:b/>
                <w:sz w:val="22"/>
              </w:rPr>
              <w:t>Vantium Capital, Inc.</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1-406-234-8420</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866-660-5804</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700 Main Street</w:t>
            </w:r>
          </w:p>
        </w:tc>
        <w:tc>
          <w:tcPr>
            <w:tcW w:w="4100" w:type="dxa"/>
            <w:tcBorders/>
          </w:tcPr>
          <w:p>
            <w:pPr>
              <w:pStyle w:val="Normal"/>
              <w:spacing w:lineRule="atLeast" w:line="0"/>
              <w:ind w:start="640" w:end="0"/>
              <w:rPr>
                <w:rFonts w:ascii="Times New Roman" w:hAnsi="Times New Roman" w:eastAsia="Times New Roman" w:cs="Times New Roman"/>
                <w:w w:val="99"/>
                <w:sz w:val="22"/>
              </w:rPr>
            </w:pPr>
            <w:r>
              <w:rPr>
                <w:rFonts w:eastAsia="Times New Roman" w:cs="Times New Roman" w:ascii="Times New Roman" w:hAnsi="Times New Roman"/>
                <w:w w:val="99"/>
                <w:sz w:val="22"/>
              </w:rPr>
              <w:t>6500 International Parkway Suite 1500</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Miles City, MT  59301</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Plano, TX 75093</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1-406-234-8419</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972-444-3356</w:t>
            </w:r>
          </w:p>
        </w:tc>
      </w:tr>
      <w:tr>
        <w:trPr>
          <w:trHeight w:val="290"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492" w:hRule="atLeast"/>
        </w:trPr>
        <w:tc>
          <w:tcPr>
            <w:tcW w:w="440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Suburban Mortgage Co. of New Mexico</w:t>
            </w:r>
          </w:p>
        </w:tc>
        <w:tc>
          <w:tcPr>
            <w:tcW w:w="4100" w:type="dxa"/>
            <w:tcBorders/>
          </w:tcPr>
          <w:p>
            <w:pPr>
              <w:pStyle w:val="Normal"/>
              <w:spacing w:lineRule="atLeast" w:line="0"/>
              <w:ind w:start="640" w:end="0"/>
              <w:rPr>
                <w:rFonts w:ascii="Times New Roman" w:hAnsi="Times New Roman" w:eastAsia="Times New Roman" w:cs="Times New Roman"/>
                <w:b/>
                <w:sz w:val="22"/>
              </w:rPr>
            </w:pPr>
            <w:r>
              <w:rPr>
                <w:rFonts w:eastAsia="Times New Roman" w:cs="Times New Roman" w:ascii="Times New Roman" w:hAnsi="Times New Roman"/>
                <w:b/>
                <w:sz w:val="22"/>
              </w:rPr>
              <w:t>Visit Financial Corp.</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1-505-298-7456</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1240 Broadcasting Rd.</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3707 Eubank Blvd. N./E.</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Wyomissing, PA 19605</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Albuquerque, NM</w:t>
            </w:r>
          </w:p>
        </w:tc>
        <w:tc>
          <w:tcPr>
            <w:tcW w:w="4100" w:type="dxa"/>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HAMP</w:t>
            </w:r>
          </w:p>
        </w:tc>
      </w:tr>
      <w:tr>
        <w:trPr>
          <w:trHeight w:val="259"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1-505-292-4915</w:t>
            </w:r>
          </w:p>
        </w:tc>
        <w:tc>
          <w:tcPr>
            <w:tcW w:w="4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5" w:hRule="atLeast"/>
        </w:trPr>
        <w:tc>
          <w:tcPr>
            <w:tcW w:w="4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tc>
        <w:tc>
          <w:tcPr>
            <w:tcW w:w="4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1285" w:footer="0" w:bottom="4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-37-</w:t>
      </w:r>
    </w:p>
    <w:p>
      <w:pPr>
        <w:sectPr>
          <w:type w:val="continuous"/>
          <w:pgSz w:w="12240" w:h="15840"/>
          <w:pgMar w:left="1440" w:right="1440" w:gutter="0" w:header="0" w:top="1285" w:footer="0" w:bottom="468"/>
          <w:formProt w:val="false"/>
          <w:textDirection w:val="lrTb"/>
          <w:docGrid w:type="default" w:linePitch="360" w:charSpace="0"/>
        </w:sectPr>
      </w:pPr>
    </w:p>
    <w:p>
      <w:pPr>
        <w:pStyle w:val="Normal"/>
        <w:tabs>
          <w:tab w:val="clear" w:pos="720"/>
          <w:tab w:val="left" w:pos="5020" w:leader="none"/>
        </w:tabs>
        <w:spacing w:lineRule="atLeast" w:line="0"/>
        <w:rPr/>
      </w:pPr>
      <w:bookmarkStart w:id="40" w:name="page38"/>
      <w:bookmarkEnd w:id="40"/>
      <w:r>
        <w:rPr>
          <w:rFonts w:eastAsia="Times New Roman" w:cs="Times New Roman" w:ascii="Times New Roman" w:hAnsi="Times New Roman"/>
          <w:b/>
          <w:sz w:val="22"/>
        </w:rPr>
        <w:t>Wachovia Bank, NA</w:t>
      </w:r>
      <w:r>
        <w:rPr>
          <w:rFonts w:eastAsia="Times New Roman" w:cs="Times New Roman" w:ascii="Times New Roman" w:hAnsi="Times New Roman"/>
        </w:rPr>
        <w:tab/>
      </w:r>
      <w:r>
        <w:rPr>
          <w:rFonts w:eastAsia="Times New Roman" w:cs="Times New Roman" w:ascii="Times New Roman" w:hAnsi="Times New Roman"/>
          <w:b/>
          <w:sz w:val="22"/>
        </w:rPr>
        <w:t>Wilshire Credit Corporation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020" w:leader="none"/>
        </w:tabs>
        <w:spacing w:lineRule="atLeast" w:line="0"/>
        <w:rPr/>
      </w:pPr>
      <w:r>
        <w:rPr>
          <w:rFonts w:eastAsia="Times New Roman" w:cs="Times New Roman" w:ascii="Times New Roman" w:hAnsi="Times New Roman"/>
          <w:sz w:val="22"/>
        </w:rPr>
        <w:t>800-922-4684</w:t>
      </w:r>
      <w:r>
        <w:rPr>
          <w:rFonts w:eastAsia="Times New Roman" w:cs="Times New Roman" w:ascii="Times New Roman" w:hAnsi="Times New Roman"/>
        </w:rPr>
        <w:tab/>
      </w:r>
      <w:r>
        <w:rPr>
          <w:rFonts w:eastAsia="Times New Roman" w:cs="Times New Roman" w:ascii="Times New Roman" w:hAnsi="Times New Roman"/>
          <w:sz w:val="21"/>
        </w:rPr>
        <w:t>800-720-3758</w:t>
      </w: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5020" w:leader="none"/>
        </w:tabs>
        <w:spacing w:lineRule="atLeast" w:line="0"/>
        <w:rPr/>
      </w:pPr>
      <w:r>
        <w:rPr>
          <w:rFonts w:eastAsia="Times New Roman" w:cs="Times New Roman" w:ascii="Times New Roman" w:hAnsi="Times New Roman"/>
          <w:sz w:val="22"/>
        </w:rPr>
        <w:t>1000 Blue Gentian Road,  Suite 300</w:t>
      </w:r>
      <w:r>
        <w:rPr>
          <w:rFonts w:eastAsia="Times New Roman" w:cs="Times New Roman" w:ascii="Times New Roman" w:hAnsi="Times New Roman"/>
        </w:rPr>
        <w:tab/>
      </w:r>
      <w:r>
        <w:rPr>
          <w:rFonts w:eastAsia="Times New Roman" w:cs="Times New Roman" w:ascii="Times New Roman" w:hAnsi="Times New Roman"/>
          <w:sz w:val="22"/>
        </w:rPr>
        <w:t>PO Box 8517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imes New Roman" w:cs="Times New Roman" w:ascii="Times New Roman" w:hAnsi="Times New Roman"/>
          <w:sz w:val="22"/>
        </w:rPr>
        <w:t>Eagan, MN  55121</w:t>
      </w:r>
      <w:r>
        <w:rPr>
          <w:rFonts w:eastAsia="Times New Roman" w:cs="Times New Roman" w:ascii="Times New Roman" w:hAnsi="Times New Roman"/>
        </w:rPr>
        <w:tab/>
      </w:r>
      <w:r>
        <w:rPr>
          <w:rFonts w:eastAsia="Times New Roman" w:cs="Times New Roman" w:ascii="Times New Roman" w:hAnsi="Times New Roman"/>
          <w:sz w:val="22"/>
        </w:rPr>
        <w:t>Portland, OR 97207-8517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imes New Roman" w:cs="Times New Roman" w:ascii="Times New Roman" w:hAnsi="Times New Roman"/>
          <w:sz w:val="22"/>
        </w:rPr>
        <w:t>866-359-7363</w:t>
      </w:r>
      <w:r>
        <w:rPr>
          <w:rFonts w:eastAsia="Times New Roman" w:cs="Times New Roman" w:ascii="Times New Roman" w:hAnsi="Times New Roman"/>
        </w:rPr>
        <w:tab/>
      </w:r>
      <w:r>
        <w:rPr>
          <w:rFonts w:eastAsia="Times New Roman" w:cs="Times New Roman" w:ascii="Times New Roman" w:hAnsi="Times New Roman"/>
          <w:sz w:val="21"/>
        </w:rPr>
        <w:t>866-382-0489</w:t>
      </w: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5020" w:leader="none"/>
        </w:tabs>
        <w:spacing w:lineRule="atLeast" w:line="0"/>
        <w:rPr/>
      </w:pPr>
      <w:r>
        <w:rPr>
          <w:rFonts w:eastAsia="Times New Roman" w:cs="Times New Roman" w:ascii="Times New Roman" w:hAnsi="Times New Roman"/>
          <w:sz w:val="22"/>
        </w:rPr>
        <w:t>HAMP</w:t>
      </w:r>
      <w:r>
        <w:rPr>
          <w:rFonts w:eastAsia="Times New Roman" w:cs="Times New Roman" w:ascii="Times New Roman" w:hAnsi="Times New Roman"/>
        </w:rPr>
        <w:tab/>
      </w: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imes New Roman" w:cs="Times New Roman" w:ascii="Times New Roman" w:hAnsi="Times New Roman"/>
          <w:b/>
          <w:sz w:val="22"/>
        </w:rPr>
        <w:t>Wachovia Mortgage, FSB</w:t>
      </w:r>
      <w:r>
        <w:rPr>
          <w:rFonts w:eastAsia="Times New Roman" w:cs="Times New Roman" w:ascii="Times New Roman" w:hAnsi="Times New Roman"/>
        </w:rPr>
        <w:tab/>
      </w:r>
      <w:r>
        <w:rPr>
          <w:rFonts w:eastAsia="Times New Roman" w:cs="Times New Roman" w:ascii="Times New Roman" w:hAnsi="Times New Roman"/>
          <w:b/>
          <w:sz w:val="22"/>
        </w:rPr>
        <w:t>Yadkin Valley Bank</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020" w:leader="none"/>
        </w:tabs>
        <w:spacing w:lineRule="atLeast" w:line="0"/>
        <w:rPr/>
      </w:pPr>
      <w:r>
        <w:rPr>
          <w:rFonts w:eastAsia="Times New Roman" w:cs="Times New Roman" w:ascii="Times New Roman" w:hAnsi="Times New Roman"/>
          <w:sz w:val="22"/>
        </w:rPr>
        <w:t>800-922-4684</w:t>
      </w:r>
      <w:r>
        <w:rPr>
          <w:rFonts w:eastAsia="Times New Roman" w:cs="Times New Roman" w:ascii="Times New Roman" w:hAnsi="Times New Roman"/>
        </w:rPr>
        <w:tab/>
      </w:r>
      <w:r>
        <w:rPr>
          <w:rFonts w:eastAsia="Times New Roman" w:cs="Times New Roman" w:ascii="Times New Roman" w:hAnsi="Times New Roman"/>
          <w:sz w:val="21"/>
        </w:rPr>
        <w:t>336-258-6252</w:t>
      </w: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5020" w:leader="none"/>
        </w:tabs>
        <w:spacing w:lineRule="atLeast" w:line="0"/>
        <w:rPr/>
      </w:pPr>
      <w:r>
        <w:rPr>
          <w:rFonts w:eastAsia="Times New Roman" w:cs="Times New Roman" w:ascii="Times New Roman" w:hAnsi="Times New Roman"/>
          <w:sz w:val="22"/>
        </w:rPr>
        <w:t>866-359-7363</w:t>
      </w:r>
      <w:r>
        <w:rPr>
          <w:rFonts w:eastAsia="Times New Roman" w:cs="Times New Roman" w:ascii="Times New Roman" w:hAnsi="Times New Roman"/>
        </w:rPr>
        <w:tab/>
      </w:r>
      <w:r>
        <w:rPr>
          <w:rFonts w:eastAsia="Times New Roman" w:cs="Times New Roman" w:ascii="Times New Roman" w:hAnsi="Times New Roman"/>
          <w:sz w:val="22"/>
        </w:rPr>
        <w:t>PO Box 96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imes New Roman" w:cs="Times New Roman" w:ascii="Times New Roman" w:hAnsi="Times New Roman"/>
          <w:sz w:val="22"/>
        </w:rPr>
        <w:t>HAMP</w:t>
      </w:r>
      <w:r>
        <w:rPr>
          <w:rFonts w:eastAsia="Times New Roman" w:cs="Times New Roman" w:ascii="Times New Roman" w:hAnsi="Times New Roman"/>
        </w:rPr>
        <w:tab/>
      </w:r>
      <w:r>
        <w:rPr>
          <w:rFonts w:eastAsia="Times New Roman" w:cs="Times New Roman" w:ascii="Times New Roman" w:hAnsi="Times New Roman"/>
          <w:sz w:val="22"/>
        </w:rPr>
        <w:t>Pfafftown, NC 27040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336-258-6252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rPr/>
      </w:pPr>
      <w:r>
        <w:rPr>
          <w:rFonts w:eastAsia="Times New Roman" w:cs="Times New Roman" w:ascii="Times New Roman" w:hAnsi="Times New Roman"/>
          <w:b/>
          <w:sz w:val="22"/>
        </w:rPr>
        <w:t>Wealthbridge Mortgage Corp</w:t>
      </w: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HAMP</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866-702-4865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15455 NW Greenbrier Pkwy, Ste 111, Beaverton,</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OR 97006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503-597-7518</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Wells Fargo Bank, NA</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800-678-7986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Application Documents</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1000 Blue Gentian Road</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Suite 300 X9999-01N</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Eagan, MN  55121</w:t>
      </w:r>
    </w:p>
    <w:p>
      <w:pPr>
        <w:pStyle w:val="Normal"/>
        <w:spacing w:lineRule="exact" w:line="2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Customer Service Correspondence</w:t>
      </w:r>
    </w:p>
    <w:p>
      <w:pPr>
        <w:pStyle w:val="Normal"/>
        <w:spacing w:lineRule="exact" w:line="3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10335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MAC: X2302-017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Des Moines, IA 50306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866-359-7363</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 FHA-HAMP; RD-HAMP; 2MP;</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FHA-2LP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Wescom Central Credit Union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888-493-7266</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5601 E. La Palma Avenue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Anaheim, CA 92807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626-535-1357</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HAMP</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Weststar Mortgage, Inc.</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1-703-497-3995</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3350 Commission Ct</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Woodbridge, VA 22192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1-703-643-1002</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FHA-HAMP</w:t>
      </w:r>
    </w:p>
    <w:p>
      <w:pPr>
        <w:sectPr>
          <w:type w:val="nextPage"/>
          <w:pgSz w:w="12240" w:h="15840"/>
          <w:pgMar w:left="1440" w:right="1440" w:gutter="0" w:header="0" w:top="1285" w:footer="0" w:bottom="4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-38-</w:t>
      </w:r>
    </w:p>
    <w:sectPr>
      <w:type w:val="continuous"/>
      <w:pgSz w:w="12240" w:h="15840"/>
      <w:pgMar w:left="1440" w:right="1440" w:gutter="0" w:header="0" w:top="1285" w:footer="0" w:bottom="46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bullet"/>
      <w:lvlText w:val="*"/>
      <w:lvlJc w:val="start"/>
      <w:pPr>
        <w:tabs>
          <w:tab w:val="num" w:pos="0"/>
        </w:tabs>
        <w:ind w:start="0" w:hanging="0"/>
      </w:pPr>
      <w:rPr>
        <w:rFonts w:ascii="OpenSymbol" w:hAnsi="OpenSymbol" w:cs="OpenSymbol" w:hint="default"/>
      </w:rPr>
    </w:lvl>
  </w:abstractNum>
  <w:abstractNum w:abstractNumId="12">
    <w:lvl w:ilvl="0">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decimal"/>
      <w:lvlText w:val="%1)"/>
      <w:lvlJc w:val="start"/>
      <w:pPr>
        <w:tabs>
          <w:tab w:val="num" w:pos="0"/>
        </w:tabs>
        <w:ind w:start="0" w:hanging="0"/>
      </w:pPr>
    </w:lvl>
  </w:abstractNum>
  <w:abstractNum w:abstractNumId="15">
    <w:lvl w:ilvl="0">
      <w:start w:val="3"/>
      <w:numFmt w:val="decimal"/>
      <w:lvlText w:val="%1)"/>
      <w:lvlJc w:val="start"/>
      <w:pPr>
        <w:tabs>
          <w:tab w:val="num" w:pos="0"/>
        </w:tabs>
        <w:ind w:start="0" w:hanging="0"/>
      </w:pPr>
    </w:lvl>
  </w:abstractNum>
  <w:abstractNum w:abstractNumId="16">
    <w:lvl w:ilvl="0">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bullet"/>
      <w:lvlText w:val=""/>
      <w:lvlJc w:val="start"/>
      <w:pPr>
        <w:tabs>
          <w:tab w:val="num" w:pos="0"/>
        </w:tabs>
        <w:ind w:start="0" w:hanging="0"/>
      </w:pPr>
      <w:rPr>
        <w:rFonts w:ascii="Symbol" w:hAnsi="Symbol" w:cs="Symbol" w:hint="default"/>
      </w:rPr>
    </w:lvl>
  </w:abstractNum>
  <w:abstractNum w:abstractNumId="18">
    <w:lvl w:ilvl="0">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decimal"/>
      <w:lvlText w:val="%1."/>
      <w:lvlJc w:val="start"/>
      <w:pPr>
        <w:tabs>
          <w:tab w:val="num" w:pos="0"/>
        </w:tabs>
        <w:ind w:start="0" w:hanging="0"/>
      </w:pPr>
    </w:lvl>
  </w:abstractNum>
  <w:abstractNum w:abstractNumId="20">
    <w:lvl w:ilvl="0">
      <w:start w:val="8"/>
      <w:numFmt w:val="decimal"/>
      <w:lvlText w:val="%1."/>
      <w:lvlJc w:val="start"/>
      <w:pPr>
        <w:tabs>
          <w:tab w:val="num" w:pos="0"/>
        </w:tabs>
        <w:ind w:start="0" w:hanging="0"/>
      </w:pPr>
    </w:lvl>
  </w:abstractNum>
  <w:abstractNum w:abstractNumId="2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hafahelp.info/" TargetMode="External"/><Relationship Id="rId3" Type="http://schemas.openxmlformats.org/officeDocument/2006/relationships/hyperlink" Target="http://www.hafaprogram.com/" TargetMode="Externa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38</Pages>
  <Words>16751</Words>
  <Characters>88701</Characters>
  <CharactersWithSpaces>104352</CharactersWithSpaces>
  <Paragraphs>1076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