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sz w:val="24"/>
          <w:u w:val="single"/>
        </w:rPr>
      </w:pPr>
      <w:bookmarkStart w:id="0" w:name="page1"/>
      <w:bookmarkEnd w:id="0"/>
      <w:r>
        <w:rPr>
          <w:rFonts w:eastAsia="Times New Roman" w:cs="Times New Roman" w:ascii="Times New Roman" w:hAnsi="Times New Roman"/>
          <w:sz w:val="24"/>
          <w:u w:val="single"/>
        </w:rPr>
        <w:t>Foreclosure Prevention</w:t>
      </w:r>
    </w:p>
    <w:p>
      <w:pPr>
        <w:pStyle w:val="Normal"/>
        <w:spacing w:lineRule="exact" w:line="27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68"/>
        <w:ind w:end="200"/>
        <w:rPr>
          <w:rFonts w:ascii="Times New Roman" w:hAnsi="Times New Roman" w:eastAsia="Times New Roman" w:cs="Times New Roman"/>
          <w:sz w:val="24"/>
        </w:rPr>
      </w:pPr>
      <w:r>
        <w:rPr>
          <w:rFonts w:eastAsia="Times New Roman" w:cs="Times New Roman" w:ascii="Times New Roman" w:hAnsi="Times New Roman"/>
          <w:sz w:val="24"/>
        </w:rPr>
        <w:t>If you are facing a foreclosure, please review the steps below to learn about actions you may be able to take to avoid foreclosure.</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60" w:leader="none"/>
        </w:tabs>
        <w:spacing w:lineRule="auto" w:line="268"/>
        <w:ind w:end="500"/>
        <w:rPr>
          <w:rFonts w:ascii="Times New Roman" w:hAnsi="Times New Roman" w:eastAsia="Times New Roman" w:cs="Times New Roman"/>
          <w:sz w:val="24"/>
        </w:rPr>
      </w:pPr>
      <w:r>
        <w:rPr>
          <w:rFonts w:eastAsia="Times New Roman" w:cs="Times New Roman" w:ascii="Times New Roman" w:hAnsi="Times New Roman"/>
          <w:sz w:val="24"/>
        </w:rPr>
        <w:t>Contact a housing counselor at 208-343-4065 (Boise Neighborhood Housing Services) or 877-888-3135 (Idaho Housing and Finance Association) or 888-995-HOPE (Hope Now)</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60" w:leader="none"/>
        </w:tabs>
        <w:spacing w:lineRule="atLeast" w:line="0"/>
        <w:ind w:hanging="260" w:start="260" w:end="0"/>
        <w:rPr>
          <w:rFonts w:ascii="Times New Roman" w:hAnsi="Times New Roman" w:eastAsia="Times New Roman" w:cs="Times New Roman"/>
          <w:sz w:val="24"/>
        </w:rPr>
      </w:pPr>
      <w:r>
        <w:rPr>
          <w:rFonts w:eastAsia="Times New Roman" w:cs="Times New Roman" w:ascii="Times New Roman" w:hAnsi="Times New Roman"/>
          <w:sz w:val="24"/>
        </w:rPr>
        <w:t>Look into Refinancing</w:t>
      </w:r>
    </w:p>
    <w:p>
      <w:pPr>
        <w:pStyle w:val="Normal"/>
        <w:numPr>
          <w:ilvl w:val="1"/>
          <w:numId w:val="1"/>
        </w:numPr>
        <w:tabs>
          <w:tab w:val="clear" w:pos="720"/>
          <w:tab w:val="left" w:pos="960" w:leader="none"/>
        </w:tabs>
        <w:spacing w:lineRule="atLeast" w:line="0"/>
        <w:ind w:hanging="240" w:start="960" w:end="0"/>
        <w:rPr>
          <w:rFonts w:ascii="Times New Roman" w:hAnsi="Times New Roman" w:eastAsia="Times New Roman" w:cs="Times New Roman"/>
          <w:sz w:val="24"/>
        </w:rPr>
      </w:pPr>
      <w:r>
        <w:rPr>
          <w:rFonts w:eastAsia="Times New Roman" w:cs="Times New Roman" w:ascii="Times New Roman" w:hAnsi="Times New Roman"/>
          <w:sz w:val="24"/>
        </w:rPr>
        <w:t>FHA Secure (non-FHA ARM) - 1-800-CALL-FHA</w:t>
      </w:r>
    </w:p>
    <w:p>
      <w:pPr>
        <w:pStyle w:val="Normal"/>
        <w:numPr>
          <w:ilvl w:val="1"/>
          <w:numId w:val="1"/>
        </w:numPr>
        <w:tabs>
          <w:tab w:val="clear" w:pos="720"/>
          <w:tab w:val="left" w:pos="980" w:leader="none"/>
        </w:tabs>
        <w:spacing w:lineRule="atLeast" w:line="0"/>
        <w:ind w:hanging="260" w:start="980" w:end="0"/>
        <w:rPr>
          <w:rFonts w:ascii="Times New Roman" w:hAnsi="Times New Roman" w:eastAsia="Times New Roman" w:cs="Times New Roman"/>
          <w:sz w:val="24"/>
        </w:rPr>
      </w:pPr>
      <w:r>
        <w:rPr>
          <w:rFonts w:eastAsia="Times New Roman" w:cs="Times New Roman" w:ascii="Times New Roman" w:hAnsi="Times New Roman"/>
          <w:sz w:val="24"/>
        </w:rPr>
        <w:t>Reverse Mortgage if a senior – talk to a HUD certified reverse mortgage counselor</w:t>
      </w:r>
    </w:p>
    <w:p>
      <w:pPr>
        <w:pStyle w:val="Normal"/>
        <w:numPr>
          <w:ilvl w:val="1"/>
          <w:numId w:val="1"/>
        </w:numPr>
        <w:tabs>
          <w:tab w:val="clear" w:pos="720"/>
          <w:tab w:val="left" w:pos="967" w:leader="none"/>
        </w:tabs>
        <w:spacing w:lineRule="auto" w:line="249"/>
        <w:ind w:start="720" w:end="60"/>
        <w:rPr>
          <w:rFonts w:ascii="Times New Roman" w:hAnsi="Times New Roman" w:eastAsia="Times New Roman" w:cs="Times New Roman"/>
          <w:sz w:val="24"/>
        </w:rPr>
      </w:pPr>
      <w:r>
        <w:rPr>
          <w:rFonts w:eastAsia="Times New Roman" w:cs="Times New Roman" w:ascii="Times New Roman" w:hAnsi="Times New Roman"/>
          <w:sz w:val="24"/>
        </w:rPr>
        <w:t xml:space="preserve">Home Affordable Refinance Program (HARP) - If you're not behind on your mortgage payments but have been unable to get traditional refinancing because the value of your home has declined, you may be eligible to refinance through HARP. </w:t>
      </w:r>
      <w:r>
        <w:rPr>
          <w:rFonts w:eastAsia="Times New Roman" w:cs="Times New Roman" w:ascii="Times New Roman" w:hAnsi="Times New Roman"/>
          <w:color w:val="0000FF"/>
          <w:sz w:val="24"/>
          <w:u w:val="single"/>
        </w:rPr>
        <w:t>http://www.makinghomeaffordable.gov/programs/lower-rates/Pages/harp.aspx</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60" w:leader="none"/>
        </w:tabs>
        <w:spacing w:lineRule="atLeast" w:line="0"/>
        <w:ind w:end="440"/>
        <w:rPr>
          <w:rFonts w:ascii="Times New Roman" w:hAnsi="Times New Roman" w:eastAsia="Times New Roman" w:cs="Times New Roman"/>
          <w:sz w:val="24"/>
        </w:rPr>
      </w:pPr>
      <w:r>
        <w:rPr>
          <w:rFonts w:eastAsia="Times New Roman" w:cs="Times New Roman" w:ascii="Times New Roman" w:hAnsi="Times New Roman"/>
          <w:sz w:val="24"/>
        </w:rPr>
        <w:t>Workout – A “workout’ is a negotiation between you and your servicer in order to avoid a foreclosure on your property. Workout options include:</w:t>
      </w:r>
    </w:p>
    <w:p>
      <w:pPr>
        <w:pStyle w:val="Normal"/>
        <w:numPr>
          <w:ilvl w:val="1"/>
          <w:numId w:val="1"/>
        </w:numPr>
        <w:tabs>
          <w:tab w:val="clear" w:pos="720"/>
          <w:tab w:val="left" w:pos="960" w:leader="none"/>
        </w:tabs>
        <w:spacing w:lineRule="atLeast" w:line="0"/>
        <w:ind w:hanging="240" w:start="960" w:end="0"/>
        <w:rPr>
          <w:rFonts w:ascii="Times New Roman" w:hAnsi="Times New Roman" w:eastAsia="Times New Roman" w:cs="Times New Roman"/>
          <w:sz w:val="24"/>
        </w:rPr>
      </w:pPr>
      <w:r>
        <w:rPr>
          <w:rFonts w:eastAsia="Times New Roman" w:cs="Times New Roman" w:ascii="Times New Roman" w:hAnsi="Times New Roman"/>
          <w:sz w:val="24"/>
        </w:rPr>
        <w:t>Mortgage Modification - Reduce interest, Extend term to 40 years,</w:t>
      </w:r>
    </w:p>
    <w:p>
      <w:pPr>
        <w:pStyle w:val="Normal"/>
        <w:numPr>
          <w:ilvl w:val="1"/>
          <w:numId w:val="1"/>
        </w:numPr>
        <w:tabs>
          <w:tab w:val="clear" w:pos="720"/>
          <w:tab w:val="left" w:pos="980" w:leader="none"/>
        </w:tabs>
        <w:spacing w:lineRule="atLeast" w:line="0"/>
        <w:ind w:hanging="260" w:start="980" w:end="0"/>
        <w:rPr>
          <w:rFonts w:ascii="Times New Roman" w:hAnsi="Times New Roman" w:eastAsia="Times New Roman" w:cs="Times New Roman"/>
          <w:sz w:val="24"/>
        </w:rPr>
      </w:pPr>
      <w:r>
        <w:rPr>
          <w:rFonts w:eastAsia="Times New Roman" w:cs="Times New Roman" w:ascii="Times New Roman" w:hAnsi="Times New Roman"/>
          <w:sz w:val="24"/>
        </w:rPr>
        <w:t>Forgive principal;</w:t>
      </w:r>
    </w:p>
    <w:p>
      <w:pPr>
        <w:pStyle w:val="Normal"/>
        <w:numPr>
          <w:ilvl w:val="1"/>
          <w:numId w:val="1"/>
        </w:numPr>
        <w:tabs>
          <w:tab w:val="clear" w:pos="720"/>
          <w:tab w:val="left" w:pos="967" w:leader="none"/>
        </w:tabs>
        <w:spacing w:lineRule="atLeast" w:line="0"/>
        <w:ind w:start="720" w:end="80"/>
        <w:rPr>
          <w:rFonts w:ascii="Times New Roman" w:hAnsi="Times New Roman" w:eastAsia="Times New Roman" w:cs="Times New Roman"/>
          <w:sz w:val="24"/>
        </w:rPr>
      </w:pPr>
      <w:r>
        <w:rPr>
          <w:rFonts w:eastAsia="Times New Roman" w:cs="Times New Roman" w:ascii="Times New Roman" w:hAnsi="Times New Roman"/>
          <w:sz w:val="24"/>
        </w:rPr>
        <w:t>Payment Forbearance – no payments are made for a period of time (e.g., during a brief period of unemployment);</w:t>
      </w:r>
    </w:p>
    <w:p>
      <w:pPr>
        <w:pStyle w:val="Normal"/>
        <w:numPr>
          <w:ilvl w:val="1"/>
          <w:numId w:val="1"/>
        </w:numPr>
        <w:tabs>
          <w:tab w:val="clear" w:pos="720"/>
          <w:tab w:val="left" w:pos="980" w:leader="none"/>
        </w:tabs>
        <w:spacing w:lineRule="atLeast" w:line="0"/>
        <w:ind w:hanging="260" w:start="980" w:end="0"/>
        <w:rPr>
          <w:rFonts w:ascii="Times New Roman" w:hAnsi="Times New Roman" w:eastAsia="Times New Roman" w:cs="Times New Roman"/>
          <w:sz w:val="24"/>
        </w:rPr>
      </w:pPr>
      <w:r>
        <w:rPr>
          <w:rFonts w:eastAsia="Times New Roman" w:cs="Times New Roman" w:ascii="Times New Roman" w:hAnsi="Times New Roman"/>
          <w:sz w:val="24"/>
        </w:rPr>
        <w:t>Repayment Plan – need to pay back a past due amount over a period of time;</w:t>
      </w:r>
    </w:p>
    <w:p>
      <w:pPr>
        <w:pStyle w:val="Normal"/>
        <w:numPr>
          <w:ilvl w:val="1"/>
          <w:numId w:val="1"/>
        </w:numPr>
        <w:tabs>
          <w:tab w:val="clear" w:pos="720"/>
          <w:tab w:val="left" w:pos="959"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Principal Forbearance - remove part of the principal from the portion of the loan balance that is subject to interest;</w:t>
      </w:r>
    </w:p>
    <w:p>
      <w:pPr>
        <w:pStyle w:val="Normal"/>
        <w:numPr>
          <w:ilvl w:val="1"/>
          <w:numId w:val="1"/>
        </w:numPr>
        <w:tabs>
          <w:tab w:val="clear" w:pos="720"/>
          <w:tab w:val="left" w:pos="940" w:leader="none"/>
        </w:tabs>
        <w:spacing w:lineRule="auto" w:line="237"/>
        <w:ind w:start="720" w:end="160"/>
        <w:rPr>
          <w:rFonts w:ascii="Times New Roman" w:hAnsi="Times New Roman" w:eastAsia="Times New Roman" w:cs="Times New Roman"/>
          <w:sz w:val="24"/>
        </w:rPr>
      </w:pPr>
      <w:r>
        <w:rPr>
          <w:rFonts w:eastAsia="Times New Roman" w:cs="Times New Roman" w:ascii="Times New Roman" w:hAnsi="Times New Roman"/>
          <w:sz w:val="24"/>
        </w:rPr>
        <w:t>Streamline Refinance - lender refinances at current market rates; Special modification programs for IndyMac and Fannie Mae and Freddie Mac loans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Workout proposal tips:</w:t>
      </w:r>
    </w:p>
    <w:p>
      <w:pPr>
        <w:pStyle w:val="Normal"/>
        <w:numPr>
          <w:ilvl w:val="1"/>
          <w:numId w:val="2"/>
        </w:numPr>
        <w:tabs>
          <w:tab w:val="clear" w:pos="720"/>
          <w:tab w:val="left" w:pos="967" w:leader="none"/>
        </w:tabs>
        <w:spacing w:lineRule="atLeast" w:line="0"/>
        <w:ind w:start="720" w:end="100"/>
        <w:jc w:val="both"/>
        <w:rPr>
          <w:rFonts w:ascii="Times New Roman" w:hAnsi="Times New Roman" w:eastAsia="Times New Roman" w:cs="Times New Roman"/>
          <w:sz w:val="24"/>
        </w:rPr>
      </w:pPr>
      <w:r>
        <w:rPr>
          <w:rFonts w:eastAsia="Times New Roman" w:cs="Times New Roman" w:ascii="Times New Roman" w:hAnsi="Times New Roman"/>
          <w:sz w:val="24"/>
        </w:rPr>
        <w:t>Hardship Letter: 1) Name, address, account number, type of workout being sought; 2) describe hardship in detail and its cause; 3) summarize income and expenses; 4) describe proposed plan in detail and why it will work; 5) homeowner and advocate contact information.</w:t>
      </w:r>
    </w:p>
    <w:p>
      <w:pPr>
        <w:pStyle w:val="Normal"/>
        <w:numPr>
          <w:ilvl w:val="1"/>
          <w:numId w:val="2"/>
        </w:numPr>
        <w:tabs>
          <w:tab w:val="clear" w:pos="720"/>
          <w:tab w:val="left" w:pos="979" w:leader="none"/>
        </w:tabs>
        <w:spacing w:lineRule="atLeast" w:line="0"/>
        <w:ind w:start="720" w:end="340"/>
        <w:rPr>
          <w:rFonts w:ascii="Times New Roman" w:hAnsi="Times New Roman" w:eastAsia="Times New Roman" w:cs="Times New Roman"/>
          <w:sz w:val="24"/>
        </w:rPr>
      </w:pPr>
      <w:r>
        <w:rPr>
          <w:rFonts w:eastAsia="Times New Roman" w:cs="Times New Roman" w:ascii="Times New Roman" w:hAnsi="Times New Roman"/>
          <w:sz w:val="24"/>
        </w:rPr>
        <w:t>Attach to the hardship letter your workout proposal and a financial statement listing income, expenses, assets, and liabilities.</w:t>
      </w:r>
    </w:p>
    <w:p>
      <w:pPr>
        <w:pStyle w:val="Normal"/>
        <w:numPr>
          <w:ilvl w:val="1"/>
          <w:numId w:val="2"/>
        </w:numPr>
        <w:tabs>
          <w:tab w:val="clear" w:pos="720"/>
          <w:tab w:val="left" w:pos="960" w:leader="none"/>
        </w:tabs>
        <w:spacing w:lineRule="atLeast" w:line="0"/>
        <w:ind w:hanging="240" w:start="960" w:end="0"/>
        <w:rPr>
          <w:rFonts w:ascii="Times New Roman" w:hAnsi="Times New Roman" w:eastAsia="Times New Roman" w:cs="Times New Roman"/>
          <w:sz w:val="24"/>
        </w:rPr>
      </w:pPr>
      <w:r>
        <w:rPr>
          <w:rFonts w:eastAsia="Times New Roman" w:cs="Times New Roman" w:ascii="Times New Roman" w:hAnsi="Times New Roman"/>
          <w:sz w:val="24"/>
        </w:rPr>
        <w:t>If loan servicer won’t work with you, appeal to the loan’s insurer or loan owner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60" w:leader="none"/>
        </w:tabs>
        <w:spacing w:lineRule="atLeast" w:line="0"/>
        <w:ind w:end="220"/>
        <w:rPr>
          <w:rFonts w:ascii="Times New Roman" w:hAnsi="Times New Roman" w:eastAsia="Times New Roman" w:cs="Times New Roman"/>
          <w:sz w:val="24"/>
        </w:rPr>
      </w:pPr>
      <w:r>
        <w:rPr>
          <w:rFonts w:eastAsia="Times New Roman" w:cs="Times New Roman" w:ascii="Times New Roman" w:hAnsi="Times New Roman"/>
          <w:sz w:val="24"/>
        </w:rPr>
        <w:t>Examine loan transaction documents looking for law violations (can be used as leverage in negotiation or as basis for a separate suit against the lender/servicer). These can be difficult to spot, if you suspect a legal violation as discussed below, please contact an attorney.</w:t>
      </w:r>
    </w:p>
    <w:p>
      <w:pPr>
        <w:pStyle w:val="Normal"/>
        <w:numPr>
          <w:ilvl w:val="1"/>
          <w:numId w:val="3"/>
        </w:numPr>
        <w:tabs>
          <w:tab w:val="clear" w:pos="720"/>
          <w:tab w:val="left" w:pos="960" w:leader="none"/>
        </w:tabs>
        <w:spacing w:lineRule="atLeast" w:line="0"/>
        <w:ind w:hanging="240" w:start="960" w:end="0"/>
        <w:rPr>
          <w:rFonts w:ascii="Times New Roman" w:hAnsi="Times New Roman" w:eastAsia="Times New Roman" w:cs="Times New Roman"/>
          <w:sz w:val="24"/>
        </w:rPr>
      </w:pPr>
      <w:r>
        <w:rPr>
          <w:rFonts w:eastAsia="Times New Roman" w:cs="Times New Roman" w:ascii="Times New Roman" w:hAnsi="Times New Roman"/>
          <w:sz w:val="24"/>
        </w:rPr>
        <w:t>Predatory Lending</w:t>
      </w:r>
    </w:p>
    <w:p>
      <w:pPr>
        <w:pStyle w:val="Normal"/>
        <w:numPr>
          <w:ilvl w:val="0"/>
          <w:numId w:val="4"/>
        </w:numPr>
        <w:tabs>
          <w:tab w:val="clear" w:pos="720"/>
          <w:tab w:val="left" w:pos="860" w:leader="none"/>
        </w:tabs>
        <w:spacing w:lineRule="atLeast" w:line="0"/>
        <w:ind w:hanging="140" w:start="860" w:end="0"/>
        <w:rPr>
          <w:rFonts w:ascii="Times New Roman" w:hAnsi="Times New Roman" w:eastAsia="Times New Roman" w:cs="Times New Roman"/>
          <w:sz w:val="24"/>
        </w:rPr>
      </w:pPr>
      <w:r>
        <w:rPr>
          <w:rFonts w:eastAsia="Times New Roman" w:cs="Times New Roman" w:ascii="Times New Roman" w:hAnsi="Times New Roman"/>
          <w:sz w:val="24"/>
        </w:rPr>
        <w:t>High interest rate - more than 8% above Treasury rate</w:t>
      </w:r>
    </w:p>
    <w:p>
      <w:pPr>
        <w:pStyle w:val="Normal"/>
        <w:numPr>
          <w:ilvl w:val="0"/>
          <w:numId w:val="4"/>
        </w:numPr>
        <w:tabs>
          <w:tab w:val="clear" w:pos="720"/>
          <w:tab w:val="left" w:pos="860" w:leader="none"/>
        </w:tabs>
        <w:spacing w:lineRule="atLeast" w:line="0"/>
        <w:ind w:hanging="140" w:start="860" w:end="0"/>
        <w:rPr>
          <w:rFonts w:ascii="Times New Roman" w:hAnsi="Times New Roman" w:eastAsia="Times New Roman" w:cs="Times New Roman"/>
          <w:sz w:val="24"/>
        </w:rPr>
      </w:pPr>
      <w:r>
        <w:rPr>
          <w:rFonts w:eastAsia="Times New Roman" w:cs="Times New Roman" w:ascii="Times New Roman" w:hAnsi="Times New Roman"/>
          <w:sz w:val="24"/>
        </w:rPr>
        <w:t>Excessive fees - exceeding 8% of loan</w:t>
      </w:r>
    </w:p>
    <w:p>
      <w:pPr>
        <w:pStyle w:val="Normal"/>
        <w:numPr>
          <w:ilvl w:val="0"/>
          <w:numId w:val="4"/>
        </w:numPr>
        <w:tabs>
          <w:tab w:val="clear" w:pos="720"/>
          <w:tab w:val="left" w:pos="858" w:leader="none"/>
        </w:tabs>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High referral fees to mortgage brokers - YSP (yield spread premium) = commission paid to broker.</w:t>
      </w:r>
    </w:p>
    <w:p>
      <w:pPr>
        <w:pStyle w:val="Normal"/>
        <w:numPr>
          <w:ilvl w:val="0"/>
          <w:numId w:val="4"/>
        </w:numPr>
        <w:tabs>
          <w:tab w:val="clear" w:pos="720"/>
          <w:tab w:val="left" w:pos="860" w:leader="none"/>
        </w:tabs>
        <w:spacing w:lineRule="atLeast" w:line="0"/>
        <w:ind w:hanging="140" w:start="860" w:end="0"/>
        <w:rPr>
          <w:rFonts w:ascii="Times New Roman" w:hAnsi="Times New Roman" w:eastAsia="Times New Roman" w:cs="Times New Roman"/>
          <w:sz w:val="24"/>
        </w:rPr>
      </w:pPr>
      <w:r>
        <w:rPr>
          <w:rFonts w:eastAsia="Times New Roman" w:cs="Times New Roman" w:ascii="Times New Roman" w:hAnsi="Times New Roman"/>
          <w:sz w:val="24"/>
        </w:rPr>
        <w:t>Forgery of loan documents - loan terms left blank or changed after signature</w:t>
      </w:r>
    </w:p>
    <w:p>
      <w:pPr>
        <w:sectPr>
          <w:type w:val="nextPage"/>
          <w:pgSz w:w="12240" w:h="15840"/>
          <w:pgMar w:left="1440" w:right="1440" w:gutter="0" w:header="0" w:top="1420" w:footer="0" w:bottom="894"/>
          <w:pgNumType w:fmt="decimal"/>
          <w:formProt w:val="false"/>
          <w:textDirection w:val="lrTb"/>
          <w:docGrid w:type="default" w:linePitch="360" w:charSpace="0"/>
        </w:sectPr>
      </w:pP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40" w:end="0"/>
        <w:rPr>
          <w:rFonts w:ascii="Times New Roman" w:hAnsi="Times New Roman" w:eastAsia="Times New Roman" w:cs="Times New Roman"/>
          <w:sz w:val="24"/>
        </w:rPr>
      </w:pPr>
      <w:r>
        <w:rPr>
          <w:rFonts w:eastAsia="Times New Roman" w:cs="Times New Roman" w:ascii="Times New Roman" w:hAnsi="Times New Roman"/>
          <w:sz w:val="24"/>
        </w:rPr>
        <w:t>1</w:t>
      </w:r>
    </w:p>
    <w:p>
      <w:pPr>
        <w:sectPr>
          <w:type w:val="continuous"/>
          <w:pgSz w:w="12240" w:h="15840"/>
          <w:pgMar w:left="1440" w:right="1440" w:gutter="0" w:header="0" w:top="1420" w:footer="0" w:bottom="894"/>
          <w:formProt w:val="false"/>
          <w:textDirection w:val="lrTb"/>
          <w:docGrid w:type="default" w:linePitch="360" w:charSpace="0"/>
        </w:sectPr>
      </w:pPr>
    </w:p>
    <w:p>
      <w:pPr>
        <w:pStyle w:val="Normal"/>
        <w:numPr>
          <w:ilvl w:val="0"/>
          <w:numId w:val="5"/>
        </w:numPr>
        <w:tabs>
          <w:tab w:val="clear" w:pos="720"/>
          <w:tab w:val="left" w:pos="858" w:leader="none"/>
        </w:tabs>
        <w:spacing w:lineRule="atLeast" w:line="0"/>
        <w:ind w:start="720" w:end="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Borrower’s income inflated - servicer prepares application and makes it appear borrower is qualified</w:t>
      </w:r>
    </w:p>
    <w:p>
      <w:pPr>
        <w:pStyle w:val="Normal"/>
        <w:numPr>
          <w:ilvl w:val="0"/>
          <w:numId w:val="5"/>
        </w:numPr>
        <w:tabs>
          <w:tab w:val="clear" w:pos="720"/>
          <w:tab w:val="left" w:pos="860" w:leader="none"/>
        </w:tabs>
        <w:spacing w:lineRule="atLeast" w:line="0"/>
        <w:ind w:hanging="140" w:start="860" w:end="0"/>
        <w:rPr>
          <w:rFonts w:ascii="Times New Roman" w:hAnsi="Times New Roman" w:eastAsia="Times New Roman" w:cs="Times New Roman"/>
          <w:sz w:val="24"/>
        </w:rPr>
      </w:pPr>
      <w:r>
        <w:rPr>
          <w:rFonts w:eastAsia="Times New Roman" w:cs="Times New Roman" w:ascii="Times New Roman" w:hAnsi="Times New Roman"/>
          <w:sz w:val="24"/>
        </w:rPr>
        <w:t>Inflated assessed value of home</w:t>
      </w:r>
    </w:p>
    <w:p>
      <w:pPr>
        <w:pStyle w:val="Normal"/>
        <w:numPr>
          <w:ilvl w:val="0"/>
          <w:numId w:val="5"/>
        </w:numPr>
        <w:tabs>
          <w:tab w:val="clear" w:pos="720"/>
          <w:tab w:val="left" w:pos="860" w:leader="none"/>
        </w:tabs>
        <w:spacing w:lineRule="atLeast" w:line="0"/>
        <w:ind w:hanging="140" w:start="860" w:end="0"/>
        <w:rPr>
          <w:rFonts w:ascii="Times New Roman" w:hAnsi="Times New Roman" w:eastAsia="Times New Roman" w:cs="Times New Roman"/>
          <w:sz w:val="24"/>
        </w:rPr>
      </w:pPr>
      <w:r>
        <w:rPr>
          <w:rFonts w:eastAsia="Times New Roman" w:cs="Times New Roman" w:ascii="Times New Roman" w:hAnsi="Times New Roman"/>
          <w:sz w:val="24"/>
        </w:rPr>
        <w:t>Equity stripping</w:t>
      </w:r>
    </w:p>
    <w:p>
      <w:pPr>
        <w:pStyle w:val="Normal"/>
        <w:numPr>
          <w:ilvl w:val="0"/>
          <w:numId w:val="5"/>
        </w:numPr>
        <w:tabs>
          <w:tab w:val="clear" w:pos="720"/>
          <w:tab w:val="left" w:pos="860" w:leader="none"/>
        </w:tabs>
        <w:spacing w:lineRule="atLeast" w:line="0"/>
        <w:ind w:hanging="140" w:start="860" w:end="0"/>
        <w:rPr>
          <w:rFonts w:ascii="Times New Roman" w:hAnsi="Times New Roman" w:eastAsia="Times New Roman" w:cs="Times New Roman"/>
          <w:sz w:val="24"/>
        </w:rPr>
      </w:pPr>
      <w:r>
        <w:rPr>
          <w:rFonts w:eastAsia="Times New Roman" w:cs="Times New Roman" w:ascii="Times New Roman" w:hAnsi="Times New Roman"/>
          <w:sz w:val="24"/>
        </w:rPr>
        <w:t>Prepayment penalties</w:t>
      </w:r>
    </w:p>
    <w:p>
      <w:pPr>
        <w:pStyle w:val="Normal"/>
        <w:numPr>
          <w:ilvl w:val="0"/>
          <w:numId w:val="5"/>
        </w:numPr>
        <w:tabs>
          <w:tab w:val="clear" w:pos="720"/>
          <w:tab w:val="left" w:pos="860" w:leader="none"/>
        </w:tabs>
        <w:spacing w:lineRule="atLeast" w:line="0"/>
        <w:ind w:hanging="140" w:start="860" w:end="0"/>
        <w:rPr>
          <w:rFonts w:ascii="Times New Roman" w:hAnsi="Times New Roman" w:eastAsia="Times New Roman" w:cs="Times New Roman"/>
          <w:sz w:val="24"/>
        </w:rPr>
      </w:pPr>
      <w:r>
        <w:rPr>
          <w:rFonts w:eastAsia="Times New Roman" w:cs="Times New Roman" w:ascii="Times New Roman" w:hAnsi="Times New Roman"/>
          <w:sz w:val="24"/>
        </w:rPr>
        <w:t>Loan packing - padding costs and adding to principal of the loan</w:t>
      </w:r>
    </w:p>
    <w:p>
      <w:pPr>
        <w:pStyle w:val="Normal"/>
        <w:numPr>
          <w:ilvl w:val="0"/>
          <w:numId w:val="5"/>
        </w:numPr>
        <w:tabs>
          <w:tab w:val="clear" w:pos="720"/>
          <w:tab w:val="left" w:pos="860" w:leader="none"/>
        </w:tabs>
        <w:spacing w:lineRule="atLeast" w:line="0"/>
        <w:ind w:hanging="140" w:start="860" w:end="0"/>
        <w:rPr>
          <w:rFonts w:ascii="Times New Roman" w:hAnsi="Times New Roman" w:eastAsia="Times New Roman" w:cs="Times New Roman"/>
          <w:sz w:val="24"/>
        </w:rPr>
      </w:pPr>
      <w:r>
        <w:rPr>
          <w:rFonts w:eastAsia="Times New Roman" w:cs="Times New Roman" w:ascii="Times New Roman" w:hAnsi="Times New Roman"/>
          <w:sz w:val="24"/>
        </w:rPr>
        <w:t>Negative amortization</w:t>
      </w:r>
    </w:p>
    <w:p>
      <w:pPr>
        <w:pStyle w:val="Normal"/>
        <w:numPr>
          <w:ilvl w:val="1"/>
          <w:numId w:val="6"/>
        </w:numPr>
        <w:tabs>
          <w:tab w:val="clear" w:pos="720"/>
          <w:tab w:val="left" w:pos="980" w:leader="none"/>
        </w:tabs>
        <w:spacing w:lineRule="atLeast" w:line="0"/>
        <w:ind w:hanging="260" w:start="980" w:end="0"/>
        <w:rPr>
          <w:rFonts w:ascii="Times New Roman" w:hAnsi="Times New Roman" w:eastAsia="Times New Roman" w:cs="Times New Roman"/>
          <w:sz w:val="24"/>
        </w:rPr>
      </w:pPr>
      <w:r>
        <w:rPr>
          <w:rFonts w:eastAsia="Times New Roman" w:cs="Times New Roman" w:ascii="Times New Roman" w:hAnsi="Times New Roman"/>
          <w:sz w:val="24"/>
        </w:rPr>
        <w:t>Idaho Consumer Protection Act violations (unfair/deceptive practices)</w:t>
      </w:r>
    </w:p>
    <w:p>
      <w:pPr>
        <w:pStyle w:val="Normal"/>
        <w:numPr>
          <w:ilvl w:val="2"/>
          <w:numId w:val="6"/>
        </w:numPr>
        <w:tabs>
          <w:tab w:val="clear" w:pos="720"/>
          <w:tab w:val="left" w:pos="1580" w:leader="none"/>
        </w:tabs>
        <w:spacing w:lineRule="atLeast" w:line="0"/>
        <w:ind w:hanging="140" w:start="1580" w:end="0"/>
        <w:rPr>
          <w:rFonts w:ascii="Times New Roman" w:hAnsi="Times New Roman" w:eastAsia="Times New Roman" w:cs="Times New Roman"/>
          <w:sz w:val="24"/>
        </w:rPr>
      </w:pPr>
      <w:r>
        <w:rPr>
          <w:rFonts w:eastAsia="Times New Roman" w:cs="Times New Roman" w:ascii="Times New Roman" w:hAnsi="Times New Roman"/>
          <w:sz w:val="24"/>
        </w:rPr>
        <w:t>Idaho Code Title 48, Chapter 6 and IDAPA 04.02.01.000</w:t>
      </w:r>
    </w:p>
    <w:p>
      <w:pPr>
        <w:pStyle w:val="Normal"/>
        <w:numPr>
          <w:ilvl w:val="3"/>
          <w:numId w:val="6"/>
        </w:numPr>
        <w:tabs>
          <w:tab w:val="clear" w:pos="720"/>
          <w:tab w:val="left" w:pos="2294" w:leader="none"/>
        </w:tabs>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Mortgage Fraud: 1) Appraisal Fraud - appraisal misrepresents the value of a property (due to pressure or kickback from the lender). 2) Bait and Switch - lender offers a certain set of loan terms in the beginning, but then pressures the consumer to accept less favorable terms.</w:t>
      </w:r>
    </w:p>
    <w:p>
      <w:pPr>
        <w:pStyle w:val="Normal"/>
        <w:numPr>
          <w:ilvl w:val="3"/>
          <w:numId w:val="6"/>
        </w:numPr>
        <w:tabs>
          <w:tab w:val="clear" w:pos="720"/>
          <w:tab w:val="left" w:pos="2300" w:leader="none"/>
        </w:tabs>
        <w:spacing w:lineRule="atLeast" w:line="0"/>
        <w:ind w:start="2160" w:end="740"/>
        <w:rPr>
          <w:rFonts w:ascii="Times New Roman" w:hAnsi="Times New Roman" w:eastAsia="Times New Roman" w:cs="Times New Roman"/>
          <w:sz w:val="24"/>
        </w:rPr>
      </w:pPr>
      <w:r>
        <w:rPr>
          <w:rFonts w:eastAsia="Times New Roman" w:cs="Times New Roman" w:ascii="Times New Roman" w:hAnsi="Times New Roman"/>
          <w:sz w:val="24"/>
        </w:rPr>
        <w:t>Deceptive Loan Servicing: Failure to post payments upon receipt, charging for unnecessary insurance, collecting unauthorized fees.</w:t>
      </w:r>
    </w:p>
    <w:p>
      <w:pPr>
        <w:pStyle w:val="Normal"/>
        <w:numPr>
          <w:ilvl w:val="3"/>
          <w:numId w:val="6"/>
        </w:numPr>
        <w:tabs>
          <w:tab w:val="clear" w:pos="720"/>
          <w:tab w:val="left" w:pos="2300" w:leader="none"/>
        </w:tabs>
        <w:spacing w:lineRule="atLeast" w:line="0"/>
        <w:ind w:start="2160" w:end="140"/>
        <w:rPr>
          <w:rFonts w:ascii="Times New Roman" w:hAnsi="Times New Roman" w:eastAsia="Times New Roman" w:cs="Times New Roman"/>
          <w:sz w:val="24"/>
        </w:rPr>
      </w:pPr>
      <w:r>
        <w:rPr>
          <w:rFonts w:eastAsia="Times New Roman" w:cs="Times New Roman" w:ascii="Times New Roman" w:hAnsi="Times New Roman"/>
          <w:sz w:val="24"/>
        </w:rPr>
        <w:t>Insurance Packing: Undisclosed additional insurance fees. Note: under Homeowner’s Protection Act, homeowners can request cancellation of mortgage insurance once their mortgage loan balance equals 80% of the original purchase price or the appraised value, whichever is less.</w:t>
      </w:r>
    </w:p>
    <w:p>
      <w:pPr>
        <w:pStyle w:val="Normal"/>
        <w:numPr>
          <w:ilvl w:val="3"/>
          <w:numId w:val="6"/>
        </w:numPr>
        <w:tabs>
          <w:tab w:val="clear" w:pos="720"/>
          <w:tab w:val="left" w:pos="2300" w:leader="none"/>
        </w:tabs>
        <w:spacing w:lineRule="atLeast" w:line="0"/>
        <w:ind w:hanging="140" w:start="2300" w:end="0"/>
        <w:rPr>
          <w:rFonts w:ascii="Times New Roman" w:hAnsi="Times New Roman" w:eastAsia="Times New Roman" w:cs="Times New Roman"/>
          <w:sz w:val="24"/>
        </w:rPr>
      </w:pPr>
      <w:r>
        <w:rPr>
          <w:rFonts w:eastAsia="Times New Roman" w:cs="Times New Roman" w:ascii="Times New Roman" w:hAnsi="Times New Roman"/>
          <w:sz w:val="24"/>
        </w:rPr>
        <w:t>Contact AG’s office and Idaho Dept. of Finance</w:t>
      </w:r>
    </w:p>
    <w:p>
      <w:pPr>
        <w:pStyle w:val="Normal"/>
        <w:numPr>
          <w:ilvl w:val="1"/>
          <w:numId w:val="6"/>
        </w:numPr>
        <w:tabs>
          <w:tab w:val="clear" w:pos="720"/>
          <w:tab w:val="left" w:pos="1100" w:leader="none"/>
        </w:tabs>
        <w:spacing w:lineRule="atLeast" w:line="0"/>
        <w:ind w:hanging="380" w:start="1100" w:end="0"/>
        <w:rPr>
          <w:rFonts w:ascii="Times New Roman" w:hAnsi="Times New Roman" w:eastAsia="Times New Roman" w:cs="Times New Roman"/>
          <w:sz w:val="24"/>
        </w:rPr>
      </w:pPr>
      <w:r>
        <w:rPr>
          <w:rFonts w:eastAsia="Times New Roman" w:cs="Times New Roman" w:ascii="Times New Roman" w:hAnsi="Times New Roman"/>
          <w:sz w:val="24"/>
        </w:rPr>
        <w:t>Truth in Lending Act/HOEPA violations</w:t>
      </w:r>
    </w:p>
    <w:p>
      <w:pPr>
        <w:pStyle w:val="Normal"/>
        <w:numPr>
          <w:ilvl w:val="2"/>
          <w:numId w:val="6"/>
        </w:numPr>
        <w:tabs>
          <w:tab w:val="clear" w:pos="720"/>
          <w:tab w:val="left" w:pos="1580" w:leader="none"/>
        </w:tabs>
        <w:spacing w:lineRule="atLeast" w:line="0"/>
        <w:ind w:hanging="140" w:start="1580" w:end="0"/>
        <w:rPr>
          <w:rFonts w:ascii="Times New Roman" w:hAnsi="Times New Roman" w:eastAsia="Times New Roman" w:cs="Times New Roman"/>
          <w:sz w:val="24"/>
        </w:rPr>
      </w:pPr>
      <w:r>
        <w:rPr>
          <w:rFonts w:eastAsia="Times New Roman" w:cs="Times New Roman" w:ascii="Times New Roman" w:hAnsi="Times New Roman"/>
          <w:sz w:val="24"/>
        </w:rPr>
        <w:t>Failure to provide “material disclosures” = 3 year right to rescind</w:t>
      </w:r>
    </w:p>
    <w:p>
      <w:pPr>
        <w:pStyle w:val="Normal"/>
        <w:numPr>
          <w:ilvl w:val="3"/>
          <w:numId w:val="6"/>
        </w:numPr>
        <w:tabs>
          <w:tab w:val="clear" w:pos="720"/>
          <w:tab w:val="left" w:pos="2300" w:leader="none"/>
        </w:tabs>
        <w:spacing w:lineRule="auto" w:line="184"/>
        <w:ind w:hanging="140" w:start="2300" w:end="0"/>
        <w:rPr>
          <w:rFonts w:ascii="Times New Roman" w:hAnsi="Times New Roman" w:eastAsia="Times New Roman" w:cs="Times New Roman"/>
          <w:sz w:val="24"/>
        </w:rPr>
      </w:pPr>
      <w:r>
        <w:rPr>
          <w:rFonts w:eastAsia="Times New Roman" w:cs="Times New Roman" w:ascii="Times New Roman" w:hAnsi="Times New Roman"/>
          <w:sz w:val="24"/>
        </w:rPr>
        <w:t>2</w:t>
      </w:r>
      <w:r>
        <w:rPr>
          <w:rFonts w:eastAsia="Times New Roman" w:cs="Times New Roman" w:ascii="Times New Roman" w:hAnsi="Times New Roman"/>
          <w:sz w:val="31"/>
          <w:vertAlign w:val="superscript"/>
        </w:rPr>
        <w:t>nd</w:t>
      </w:r>
      <w:r>
        <w:rPr>
          <w:rFonts w:eastAsia="Times New Roman" w:cs="Times New Roman" w:ascii="Times New Roman" w:hAnsi="Times New Roman"/>
          <w:sz w:val="24"/>
        </w:rPr>
        <w:t xml:space="preserve"> mortgages and refinances only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
        </w:numPr>
        <w:tabs>
          <w:tab w:val="clear" w:pos="720"/>
          <w:tab w:val="left" w:pos="980" w:leader="none"/>
        </w:tabs>
        <w:spacing w:lineRule="atLeast" w:line="0"/>
        <w:ind w:hanging="260" w:start="980" w:end="0"/>
        <w:rPr>
          <w:rFonts w:ascii="Times New Roman" w:hAnsi="Times New Roman" w:eastAsia="Times New Roman" w:cs="Times New Roman"/>
          <w:sz w:val="24"/>
        </w:rPr>
      </w:pPr>
      <w:r>
        <w:rPr>
          <w:rFonts w:eastAsia="Times New Roman" w:cs="Times New Roman" w:ascii="Times New Roman" w:hAnsi="Times New Roman"/>
          <w:sz w:val="24"/>
        </w:rPr>
        <w:t>Real Estate Settlement Procedures Act</w:t>
      </w:r>
    </w:p>
    <w:p>
      <w:pPr>
        <w:pStyle w:val="Normal"/>
        <w:numPr>
          <w:ilvl w:val="2"/>
          <w:numId w:val="6"/>
        </w:numPr>
        <w:tabs>
          <w:tab w:val="clear" w:pos="720"/>
          <w:tab w:val="left" w:pos="1580" w:leader="none"/>
        </w:tabs>
        <w:spacing w:lineRule="atLeast" w:line="0"/>
        <w:ind w:hanging="140" w:start="1580" w:end="0"/>
        <w:rPr>
          <w:rFonts w:ascii="Times New Roman" w:hAnsi="Times New Roman" w:eastAsia="Times New Roman" w:cs="Times New Roman"/>
          <w:sz w:val="23"/>
        </w:rPr>
      </w:pPr>
      <w:r>
        <w:rPr>
          <w:rFonts w:eastAsia="Times New Roman" w:cs="Times New Roman" w:ascii="Times New Roman" w:hAnsi="Times New Roman"/>
          <w:sz w:val="23"/>
        </w:rPr>
        <w:t>Requires Good Faith Estimate of settlement costs and HUD - 1A settlement sheet</w:t>
      </w:r>
    </w:p>
    <w:p>
      <w:pPr>
        <w:pStyle w:val="Normal"/>
        <w:spacing w:lineRule="exact" w:line="1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2"/>
          <w:numId w:val="6"/>
        </w:numPr>
        <w:tabs>
          <w:tab w:val="clear" w:pos="720"/>
          <w:tab w:val="left" w:pos="1580" w:leader="none"/>
        </w:tabs>
        <w:spacing w:lineRule="auto" w:line="237"/>
        <w:ind w:hanging="140" w:start="1580" w:end="0"/>
        <w:rPr>
          <w:rFonts w:ascii="Times New Roman" w:hAnsi="Times New Roman" w:eastAsia="Times New Roman" w:cs="Times New Roman"/>
          <w:sz w:val="24"/>
        </w:rPr>
      </w:pPr>
      <w:r>
        <w:rPr>
          <w:rFonts w:eastAsia="Times New Roman" w:cs="Times New Roman" w:ascii="Times New Roman" w:hAnsi="Times New Roman"/>
          <w:sz w:val="24"/>
        </w:rPr>
        <w:t>Servicer must respond to customer inquiries within 60 days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6"/>
        </w:numPr>
        <w:tabs>
          <w:tab w:val="clear" w:pos="720"/>
          <w:tab w:val="left" w:pos="1580" w:leader="none"/>
        </w:tabs>
        <w:spacing w:lineRule="atLeast" w:line="0"/>
        <w:ind w:hanging="140" w:start="1580" w:end="0"/>
        <w:rPr>
          <w:rFonts w:ascii="Times New Roman" w:hAnsi="Times New Roman" w:eastAsia="Times New Roman" w:cs="Times New Roman"/>
          <w:sz w:val="24"/>
        </w:rPr>
      </w:pPr>
      <w:r>
        <w:rPr>
          <w:rFonts w:eastAsia="Times New Roman" w:cs="Times New Roman" w:ascii="Times New Roman" w:hAnsi="Times New Roman"/>
          <w:sz w:val="24"/>
        </w:rPr>
        <w:t>No kickbacks or referral fees allowed</w:t>
      </w:r>
    </w:p>
    <w:p>
      <w:pPr>
        <w:pStyle w:val="Normal"/>
        <w:numPr>
          <w:ilvl w:val="1"/>
          <w:numId w:val="6"/>
        </w:numPr>
        <w:tabs>
          <w:tab w:val="clear" w:pos="720"/>
          <w:tab w:val="left" w:pos="960" w:leader="none"/>
        </w:tabs>
        <w:spacing w:lineRule="atLeast" w:line="0"/>
        <w:ind w:hanging="240" w:start="960" w:end="0"/>
        <w:rPr>
          <w:rFonts w:ascii="Times New Roman" w:hAnsi="Times New Roman" w:eastAsia="Times New Roman" w:cs="Times New Roman"/>
          <w:sz w:val="24"/>
        </w:rPr>
      </w:pPr>
      <w:r>
        <w:rPr>
          <w:rFonts w:eastAsia="Times New Roman" w:cs="Times New Roman" w:ascii="Times New Roman" w:hAnsi="Times New Roman"/>
          <w:sz w:val="24"/>
        </w:rPr>
        <w:t>Contract Arguments</w:t>
      </w:r>
    </w:p>
    <w:p>
      <w:pPr>
        <w:pStyle w:val="Normal"/>
        <w:numPr>
          <w:ilvl w:val="2"/>
          <w:numId w:val="6"/>
        </w:numPr>
        <w:tabs>
          <w:tab w:val="clear" w:pos="720"/>
          <w:tab w:val="left" w:pos="1580" w:leader="none"/>
        </w:tabs>
        <w:spacing w:lineRule="atLeast" w:line="0"/>
        <w:ind w:hanging="140" w:start="1580" w:end="0"/>
        <w:rPr>
          <w:rFonts w:ascii="Times New Roman" w:hAnsi="Times New Roman" w:eastAsia="Times New Roman" w:cs="Times New Roman"/>
          <w:sz w:val="24"/>
        </w:rPr>
      </w:pPr>
      <w:r>
        <w:rPr>
          <w:rFonts w:eastAsia="Times New Roman" w:cs="Times New Roman" w:ascii="Times New Roman" w:hAnsi="Times New Roman"/>
          <w:sz w:val="24"/>
        </w:rPr>
        <w:t>Unconscionability</w:t>
      </w:r>
    </w:p>
    <w:p>
      <w:pPr>
        <w:pStyle w:val="Normal"/>
        <w:numPr>
          <w:ilvl w:val="2"/>
          <w:numId w:val="6"/>
        </w:numPr>
        <w:tabs>
          <w:tab w:val="clear" w:pos="720"/>
          <w:tab w:val="left" w:pos="1580" w:leader="none"/>
        </w:tabs>
        <w:spacing w:lineRule="atLeast" w:line="0"/>
        <w:ind w:hanging="140" w:start="1580" w:end="0"/>
        <w:rPr>
          <w:rFonts w:ascii="Times New Roman" w:hAnsi="Times New Roman" w:eastAsia="Times New Roman" w:cs="Times New Roman"/>
          <w:sz w:val="24"/>
        </w:rPr>
      </w:pPr>
      <w:r>
        <w:rPr>
          <w:rFonts w:eastAsia="Times New Roman" w:cs="Times New Roman" w:ascii="Times New Roman" w:hAnsi="Times New Roman"/>
          <w:sz w:val="24"/>
        </w:rPr>
        <w:t>Fraud/misrepresentation</w:t>
      </w:r>
    </w:p>
    <w:p>
      <w:pPr>
        <w:pStyle w:val="Normal"/>
        <w:numPr>
          <w:ilvl w:val="2"/>
          <w:numId w:val="6"/>
        </w:numPr>
        <w:tabs>
          <w:tab w:val="clear" w:pos="720"/>
          <w:tab w:val="left" w:pos="1580" w:leader="none"/>
        </w:tabs>
        <w:spacing w:lineRule="atLeast" w:line="0"/>
        <w:ind w:hanging="140" w:start="1580" w:end="0"/>
        <w:rPr>
          <w:rFonts w:ascii="Times New Roman" w:hAnsi="Times New Roman" w:eastAsia="Times New Roman" w:cs="Times New Roman"/>
          <w:sz w:val="24"/>
        </w:rPr>
      </w:pPr>
      <w:r>
        <w:rPr>
          <w:rFonts w:eastAsia="Times New Roman" w:cs="Times New Roman" w:ascii="Times New Roman" w:hAnsi="Times New Roman"/>
          <w:sz w:val="24"/>
        </w:rPr>
        <w:t>Duress/coercion</w:t>
      </w:r>
    </w:p>
    <w:p>
      <w:pPr>
        <w:pStyle w:val="Normal"/>
        <w:numPr>
          <w:ilvl w:val="2"/>
          <w:numId w:val="6"/>
        </w:numPr>
        <w:tabs>
          <w:tab w:val="clear" w:pos="720"/>
          <w:tab w:val="left" w:pos="1580" w:leader="none"/>
        </w:tabs>
        <w:spacing w:lineRule="atLeast" w:line="0"/>
        <w:ind w:hanging="140" w:start="1580" w:end="0"/>
        <w:rPr>
          <w:rFonts w:ascii="Times New Roman" w:hAnsi="Times New Roman" w:eastAsia="Times New Roman" w:cs="Times New Roman"/>
          <w:sz w:val="24"/>
        </w:rPr>
      </w:pPr>
      <w:r>
        <w:rPr>
          <w:rFonts w:eastAsia="Times New Roman" w:cs="Times New Roman" w:ascii="Times New Roman" w:hAnsi="Times New Roman"/>
          <w:sz w:val="24"/>
        </w:rPr>
        <w:t>Incapacity</w:t>
      </w:r>
    </w:p>
    <w:p>
      <w:pPr>
        <w:pStyle w:val="Normal"/>
        <w:numPr>
          <w:ilvl w:val="0"/>
          <w:numId w:val="7"/>
        </w:numPr>
        <w:tabs>
          <w:tab w:val="clear" w:pos="720"/>
          <w:tab w:val="left" w:pos="260" w:leader="none"/>
        </w:tabs>
        <w:spacing w:lineRule="atLeast" w:line="0"/>
        <w:ind w:hanging="260" w:start="260" w:end="0"/>
        <w:rPr>
          <w:rFonts w:ascii="Times New Roman" w:hAnsi="Times New Roman" w:eastAsia="Times New Roman" w:cs="Times New Roman"/>
          <w:sz w:val="24"/>
        </w:rPr>
      </w:pPr>
      <w:r>
        <w:rPr>
          <w:rFonts w:eastAsia="Times New Roman" w:cs="Times New Roman" w:ascii="Times New Roman" w:hAnsi="Times New Roman"/>
          <w:sz w:val="24"/>
        </w:rPr>
        <w:t>Miscellaneous</w:t>
      </w:r>
    </w:p>
    <w:p>
      <w:pPr>
        <w:pStyle w:val="Normal"/>
        <w:numPr>
          <w:ilvl w:val="1"/>
          <w:numId w:val="7"/>
        </w:numPr>
        <w:tabs>
          <w:tab w:val="clear" w:pos="720"/>
          <w:tab w:val="left" w:pos="1100" w:leader="none"/>
        </w:tabs>
        <w:spacing w:lineRule="atLeast" w:line="0"/>
        <w:ind w:hanging="380" w:start="1100" w:end="0"/>
        <w:rPr>
          <w:rFonts w:ascii="Times New Roman" w:hAnsi="Times New Roman" w:eastAsia="Times New Roman" w:cs="Times New Roman"/>
          <w:sz w:val="24"/>
        </w:rPr>
      </w:pPr>
      <w:r>
        <w:rPr>
          <w:rFonts w:eastAsia="Times New Roman" w:cs="Times New Roman" w:ascii="Times New Roman" w:hAnsi="Times New Roman"/>
          <w:sz w:val="24"/>
        </w:rPr>
        <w:t>Short sale</w:t>
      </w:r>
    </w:p>
    <w:p>
      <w:pPr>
        <w:pStyle w:val="Normal"/>
        <w:numPr>
          <w:ilvl w:val="1"/>
          <w:numId w:val="7"/>
        </w:numPr>
        <w:tabs>
          <w:tab w:val="clear" w:pos="720"/>
          <w:tab w:val="left" w:pos="1120" w:leader="none"/>
        </w:tabs>
        <w:spacing w:lineRule="atLeast" w:line="0"/>
        <w:ind w:hanging="400" w:start="1120" w:end="0"/>
        <w:rPr>
          <w:rFonts w:ascii="Times New Roman" w:hAnsi="Times New Roman" w:eastAsia="Times New Roman" w:cs="Times New Roman"/>
          <w:sz w:val="24"/>
        </w:rPr>
      </w:pPr>
      <w:r>
        <w:rPr>
          <w:rFonts w:eastAsia="Times New Roman" w:cs="Times New Roman" w:ascii="Times New Roman" w:hAnsi="Times New Roman"/>
          <w:sz w:val="24"/>
        </w:rPr>
        <w:t>Roommate to help make payments</w:t>
      </w:r>
    </w:p>
    <w:p>
      <w:pPr>
        <w:pStyle w:val="Normal"/>
        <w:numPr>
          <w:ilvl w:val="1"/>
          <w:numId w:val="7"/>
        </w:numPr>
        <w:tabs>
          <w:tab w:val="clear" w:pos="720"/>
          <w:tab w:val="left" w:pos="1100" w:leader="none"/>
        </w:tabs>
        <w:spacing w:lineRule="atLeast" w:line="0"/>
        <w:ind w:hanging="380" w:start="1100" w:end="0"/>
        <w:rPr>
          <w:rFonts w:ascii="Times New Roman" w:hAnsi="Times New Roman" w:eastAsia="Times New Roman" w:cs="Times New Roman"/>
          <w:sz w:val="24"/>
        </w:rPr>
      </w:pPr>
      <w:r>
        <w:rPr>
          <w:rFonts w:eastAsia="Times New Roman" w:cs="Times New Roman" w:ascii="Times New Roman" w:hAnsi="Times New Roman"/>
          <w:sz w:val="24"/>
        </w:rPr>
        <w:t>Deed in lieu of foreclosure</w:t>
      </w:r>
    </w:p>
    <w:p>
      <w:pPr>
        <w:pStyle w:val="Normal"/>
        <w:numPr>
          <w:ilvl w:val="1"/>
          <w:numId w:val="7"/>
        </w:numPr>
        <w:tabs>
          <w:tab w:val="clear" w:pos="720"/>
          <w:tab w:val="left" w:pos="1120" w:leader="none"/>
        </w:tabs>
        <w:spacing w:lineRule="atLeast" w:line="0"/>
        <w:ind w:hanging="400" w:start="1120" w:end="0"/>
        <w:rPr>
          <w:rFonts w:ascii="Times New Roman" w:hAnsi="Times New Roman" w:eastAsia="Times New Roman" w:cs="Times New Roman"/>
          <w:sz w:val="24"/>
        </w:rPr>
      </w:pPr>
      <w:r>
        <w:rPr>
          <w:rFonts w:eastAsia="Times New Roman" w:cs="Times New Roman" w:ascii="Times New Roman" w:hAnsi="Times New Roman"/>
          <w:sz w:val="24"/>
        </w:rPr>
        <w:t>Bankruptcy</w:t>
      </w:r>
    </w:p>
    <w:p>
      <w:pPr>
        <w:pStyle w:val="Normal"/>
        <w:numPr>
          <w:ilvl w:val="1"/>
          <w:numId w:val="7"/>
        </w:numPr>
        <w:tabs>
          <w:tab w:val="clear" w:pos="720"/>
          <w:tab w:val="left" w:pos="1099" w:leader="none"/>
        </w:tabs>
        <w:spacing w:lineRule="auto" w:line="268"/>
        <w:ind w:start="720" w:end="600"/>
        <w:rPr>
          <w:rFonts w:ascii="Times New Roman" w:hAnsi="Times New Roman" w:eastAsia="Times New Roman" w:cs="Times New Roman"/>
          <w:sz w:val="24"/>
        </w:rPr>
      </w:pPr>
      <w:r>
        <w:rPr>
          <w:rFonts w:eastAsia="Times New Roman" w:cs="Times New Roman" w:ascii="Times New Roman" w:hAnsi="Times New Roman"/>
          <w:sz w:val="24"/>
        </w:rPr>
        <w:t>Fair Housing Act Reasonable Accommodation request for more time to move if foreclosure sale is imminent and homeowner or occupant is disabled.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For Tenants</w:t>
      </w:r>
    </w:p>
    <w:p>
      <w:pPr>
        <w:pStyle w:val="Normal"/>
        <w:spacing w:lineRule="exact" w:line="2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8"/>
        </w:numPr>
        <w:tabs>
          <w:tab w:val="clear" w:pos="720"/>
          <w:tab w:val="left" w:pos="380" w:leader="none"/>
        </w:tabs>
        <w:spacing w:lineRule="atLeast" w:line="0"/>
        <w:ind w:hanging="380" w:start="380" w:end="0"/>
        <w:rPr>
          <w:rFonts w:ascii="Times New Roman" w:hAnsi="Times New Roman" w:eastAsia="Times New Roman" w:cs="Times New Roman"/>
          <w:sz w:val="24"/>
        </w:rPr>
      </w:pPr>
      <w:r>
        <w:rPr>
          <w:rFonts w:eastAsia="Times New Roman" w:cs="Times New Roman" w:ascii="Times New Roman" w:hAnsi="Times New Roman"/>
          <w:b/>
          <w:sz w:val="24"/>
        </w:rPr>
        <w:t>If tenant wants to stay:</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
        </w:numPr>
        <w:tabs>
          <w:tab w:val="clear" w:pos="720"/>
          <w:tab w:val="left" w:pos="1040" w:leader="none"/>
        </w:tabs>
        <w:spacing w:lineRule="atLeast" w:line="0"/>
        <w:ind w:hanging="320" w:start="1040" w:end="0"/>
        <w:rPr>
          <w:rFonts w:ascii="Times New Roman" w:hAnsi="Times New Roman" w:eastAsia="Times New Roman" w:cs="Times New Roman"/>
          <w:sz w:val="24"/>
        </w:rPr>
      </w:pPr>
      <w:r>
        <w:rPr>
          <w:rFonts w:eastAsia="Times New Roman" w:cs="Times New Roman" w:ascii="Times New Roman" w:hAnsi="Times New Roman"/>
          <w:sz w:val="24"/>
        </w:rPr>
        <w:t>Record the lease - may need to get lease notarized prior to recording.</w:t>
      </w:r>
    </w:p>
    <w:p>
      <w:pPr>
        <w:sectPr>
          <w:type w:val="nextPage"/>
          <w:pgSz w:w="12240" w:h="15840"/>
          <w:pgMar w:left="1440" w:right="1440" w:gutter="0" w:header="0" w:top="1420" w:footer="0" w:bottom="894"/>
          <w:pgNumType w:fmt="decimal"/>
          <w:formProt w:val="false"/>
          <w:textDirection w:val="lrTb"/>
          <w:docGrid w:type="default" w:linePitch="360" w:charSpace="0"/>
        </w:sectPr>
      </w:pP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40" w:end="0"/>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440" w:gutter="0" w:header="0" w:top="1420" w:footer="0" w:bottom="894"/>
          <w:formProt w:val="false"/>
          <w:textDirection w:val="lrTb"/>
          <w:docGrid w:type="default" w:linePitch="360" w:charSpace="0"/>
        </w:sectPr>
      </w:pPr>
    </w:p>
    <w:p>
      <w:pPr>
        <w:pStyle w:val="Normal"/>
        <w:numPr>
          <w:ilvl w:val="1"/>
          <w:numId w:val="9"/>
        </w:numPr>
        <w:tabs>
          <w:tab w:val="clear" w:pos="720"/>
          <w:tab w:val="left" w:pos="1010" w:leader="none"/>
        </w:tabs>
        <w:spacing w:lineRule="atLeast" w:line="0"/>
        <w:ind w:start="720" w:end="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Notify the bank by certified letter that you are a tenant and assert tenancy rights after the trustee’s sale.</w:t>
      </w:r>
    </w:p>
    <w:p>
      <w:pPr>
        <w:pStyle w:val="Normal"/>
        <w:numPr>
          <w:ilvl w:val="1"/>
          <w:numId w:val="9"/>
        </w:numPr>
        <w:tabs>
          <w:tab w:val="clear" w:pos="720"/>
          <w:tab w:val="left" w:pos="1020" w:leader="none"/>
        </w:tabs>
        <w:spacing w:lineRule="atLeast" w:line="0"/>
        <w:ind w:start="720" w:end="100"/>
        <w:rPr>
          <w:rFonts w:ascii="Times New Roman" w:hAnsi="Times New Roman" w:eastAsia="Times New Roman" w:cs="Times New Roman"/>
          <w:sz w:val="24"/>
        </w:rPr>
      </w:pPr>
      <w:r>
        <w:rPr>
          <w:rFonts w:eastAsia="Times New Roman" w:cs="Times New Roman" w:ascii="Times New Roman" w:hAnsi="Times New Roman"/>
          <w:sz w:val="24"/>
        </w:rPr>
        <w:t>Remain in the property past the date of the trustee’s sale so you can take advantage of the new federal law protecting tenants in foreclosed properties.</w:t>
      </w:r>
    </w:p>
    <w:p>
      <w:pPr>
        <w:pStyle w:val="Normal"/>
        <w:numPr>
          <w:ilvl w:val="1"/>
          <w:numId w:val="9"/>
        </w:numPr>
        <w:tabs>
          <w:tab w:val="clear" w:pos="720"/>
          <w:tab w:val="left" w:pos="1165" w:leader="none"/>
        </w:tabs>
        <w:spacing w:lineRule="atLeast" w:line="0"/>
        <w:ind w:start="720" w:end="1080"/>
        <w:rPr>
          <w:rFonts w:ascii="Times New Roman" w:hAnsi="Times New Roman" w:eastAsia="Times New Roman" w:cs="Times New Roman"/>
          <w:sz w:val="24"/>
        </w:rPr>
      </w:pPr>
      <w:r>
        <w:rPr>
          <w:rFonts w:eastAsia="Times New Roman" w:cs="Times New Roman" w:ascii="Times New Roman" w:hAnsi="Times New Roman"/>
          <w:sz w:val="24"/>
        </w:rPr>
        <w:t>Offer to purchase through short sale if can get a mortgage through various homeownership programs.</w:t>
      </w:r>
    </w:p>
    <w:p>
      <w:pPr>
        <w:pStyle w:val="Normal"/>
        <w:numPr>
          <w:ilvl w:val="0"/>
          <w:numId w:val="10"/>
        </w:numPr>
        <w:tabs>
          <w:tab w:val="left" w:pos="720" w:leader="none"/>
        </w:tabs>
        <w:spacing w:lineRule="atLeast" w:line="0"/>
        <w:ind w:hanging="720" w:start="720" w:end="0"/>
        <w:rPr>
          <w:rFonts w:ascii="Times New Roman" w:hAnsi="Times New Roman" w:eastAsia="Times New Roman" w:cs="Times New Roman"/>
          <w:sz w:val="24"/>
        </w:rPr>
      </w:pPr>
      <w:r>
        <w:rPr>
          <w:rFonts w:eastAsia="Times New Roman" w:cs="Times New Roman" w:ascii="Times New Roman" w:hAnsi="Times New Roman"/>
          <w:b/>
          <w:sz w:val="24"/>
        </w:rPr>
        <w:t>If tenant wants to move</w:t>
      </w:r>
      <w:r>
        <w:rPr>
          <w:rFonts w:eastAsia="Times New Roman" w:cs="Times New Roman" w:ascii="Times New Roman" w:hAnsi="Times New Roman"/>
          <w:sz w:val="24"/>
        </w:rPr>
        <w:t>:  Call bank or servicer to discuss cash for keys agreement.</w:t>
      </w:r>
    </w:p>
    <w:p>
      <w:pPr>
        <w:pStyle w:val="Normal"/>
        <w:numPr>
          <w:ilvl w:val="0"/>
          <w:numId w:val="10"/>
        </w:numPr>
        <w:tabs>
          <w:tab w:val="left" w:pos="720" w:leader="none"/>
        </w:tabs>
        <w:spacing w:lineRule="atLeast" w:line="0"/>
        <w:ind w:hanging="720" w:start="720" w:end="0"/>
        <w:rPr>
          <w:rFonts w:ascii="Times New Roman" w:hAnsi="Times New Roman" w:eastAsia="Times New Roman" w:cs="Times New Roman"/>
          <w:sz w:val="24"/>
        </w:rPr>
      </w:pPr>
      <w:r>
        <w:rPr>
          <w:rFonts w:eastAsia="Times New Roman" w:cs="Times New Roman" w:ascii="Times New Roman" w:hAnsi="Times New Roman"/>
          <w:b/>
          <w:sz w:val="24"/>
        </w:rPr>
        <w:t>The Protecting Tenants in Foreclosure Act</w:t>
      </w:r>
      <w:r>
        <w:rPr>
          <w:rFonts w:eastAsia="Times New Roman" w:cs="Times New Roman" w:ascii="Times New Roman" w:hAnsi="Times New Roman"/>
          <w:sz w:val="24"/>
        </w:rPr>
        <w:t>: Protects tenants from immediate eviction by persons or entities that became owners of residential property through the foreclosure process. With limited exceptions, tenants with leases must be permitted to occupy the property until the end of their lease terms. At a minimum, tenants must receive 90 days’ notice prior to eviction.</w:t>
      </w:r>
    </w:p>
    <w:p>
      <w:pPr>
        <w:pStyle w:val="Normal"/>
        <w:numPr>
          <w:ilvl w:val="1"/>
          <w:numId w:val="10"/>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If the new owner gives you a notice of anything less than 90 days to terminate your tenancy, without stating a reason or for the reason that your home has been foreclosed upon, you should send the landlord a letter telling the landlord that s/he must give you a 90-days notice of termination of tenancy. Keep a copy of the letter for your records.</w:t>
      </w:r>
    </w:p>
    <w:p>
      <w:pPr>
        <w:pStyle w:val="Normal"/>
        <w:numPr>
          <w:ilvl w:val="1"/>
          <w:numId w:val="10"/>
        </w:numPr>
        <w:tabs>
          <w:tab w:val="clear" w:pos="720"/>
          <w:tab w:val="left" w:pos="1440" w:leader="none"/>
        </w:tabs>
        <w:spacing w:lineRule="auto" w:line="244"/>
        <w:ind w:hanging="720" w:start="1440" w:end="0"/>
        <w:rPr>
          <w:rFonts w:ascii="Times New Roman" w:hAnsi="Times New Roman" w:eastAsia="Times New Roman" w:cs="Times New Roman"/>
          <w:sz w:val="24"/>
        </w:rPr>
      </w:pPr>
      <w:r>
        <w:rPr>
          <w:rFonts w:eastAsia="Times New Roman" w:cs="Times New Roman" w:ascii="Times New Roman" w:hAnsi="Times New Roman"/>
          <w:sz w:val="24"/>
        </w:rPr>
        <w:t>If you have a lease for a term, such as for a year, and the term is not up, the new owner cannot evict you during the term of the lease for the reason that there has been a foreclosure on your home. The only exception to this rule is in the event that the new owner wants to live in your unit as his or her primary residence. In that event the new owner may give you a 90 day notice to vacate.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rPr>
          <w:rFonts w:ascii="Times New Roman" w:hAnsi="Times New Roman" w:eastAsia="Times New Roman" w:cs="Times New Roman"/>
        </w:rPr>
      </w:pPr>
      <w:r>
        <w:rPr>
          <w:rFonts w:eastAsia="Times New Roman" w:cs="Times New Roman" w:ascii="Times New Roman" w:hAnsi="Times New Roman"/>
        </w:rPr>
        <w:t>The work that provided the basis for this publication was supported by funding under a grant with the U.S. Department of Housing and Urban Development. The substance and findings of the work are dedicated to the public. The author and publisher are solely responsible for the accuracy of the statements and interpretations contained in this publication. Such interpretations do not necessarily reflect the views of the Federal Government.</w:t>
      </w:r>
    </w:p>
    <w:p>
      <w:pPr>
        <w:sectPr>
          <w:type w:val="nextPage"/>
          <w:pgSz w:w="12240" w:h="15840"/>
          <w:pgMar w:left="1440" w:right="1440" w:gutter="0" w:header="0" w:top="1420" w:footer="0" w:bottom="89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40" w:end="0"/>
        <w:rPr>
          <w:rFonts w:ascii="Times New Roman" w:hAnsi="Times New Roman" w:eastAsia="Times New Roman" w:cs="Times New Roman"/>
          <w:sz w:val="24"/>
        </w:rPr>
      </w:pPr>
      <w:r>
        <w:rPr>
          <w:rFonts w:eastAsia="Times New Roman" w:cs="Times New Roman" w:ascii="Times New Roman" w:hAnsi="Times New Roman"/>
          <w:sz w:val="24"/>
        </w:rPr>
        <w:t>3</w:t>
      </w:r>
    </w:p>
    <w:sectPr>
      <w:type w:val="continuous"/>
      <w:pgSz w:w="12240" w:h="15840"/>
      <w:pgMar w:left="1440" w:right="1440" w:gutter="0" w:header="0" w:top="1420" w:footer="0" w:bottom="89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
      <w:numFmt w:val="decimal"/>
      <w:lvlText w:val="%1"/>
      <w:lvlJc w:val="start"/>
      <w:pPr>
        <w:tabs>
          <w:tab w:val="num" w:pos="0"/>
        </w:tabs>
        <w:ind w:start="0" w:hanging="0"/>
      </w:pPr>
    </w:lvl>
    <w:lvl w:ilvl="1">
      <w:start w:val="2"/>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2"/>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