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Times New Roman" w:hAnsi="Times New Roman" w:eastAsia="Times New Roman" w:cs="Times New Roman"/>
          <w:b/>
          <w:sz w:val="24"/>
          <w:u w:val="single"/>
        </w:rPr>
      </w:pPr>
      <w:bookmarkStart w:id="0" w:name="page1"/>
      <w:bookmarkEnd w:id="0"/>
      <w:r>
        <w:rPr>
          <w:rFonts w:eastAsia="Times New Roman" w:cs="Times New Roman" w:ascii="Times New Roman" w:hAnsi="Times New Roman"/>
          <w:b/>
          <w:sz w:val="24"/>
          <w:u w:val="single"/>
        </w:rPr>
        <w:t>SETTLEMENT AND MUTUAL RELEASE AGREEMENT</w:t>
      </w:r>
    </w:p>
    <w:p>
      <w:pPr>
        <w:pStyle w:val="Normal"/>
        <w:spacing w:lineRule="exact" w:line="279"/>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237"/>
        <w:ind w:firstLine="720" w:end="0"/>
        <w:rPr/>
      </w:pPr>
      <w:r>
        <w:rPr>
          <w:rFonts w:eastAsia="Times New Roman" w:cs="Times New Roman" w:ascii="Times New Roman" w:hAnsi="Times New Roman"/>
          <w:b/>
          <w:sz w:val="24"/>
        </w:rPr>
        <w:t>THIS RELEASE AGREEMENT</w:t>
      </w:r>
      <w:r>
        <w:rPr>
          <w:rFonts w:eastAsia="Times New Roman" w:cs="Times New Roman" w:ascii="Times New Roman" w:hAnsi="Times New Roman"/>
          <w:sz w:val="24"/>
        </w:rPr>
        <w:t xml:space="preserve"> (“Agreement”) is made by and between Oak Street #1, LLC (“Oak Street”), the Village of Grafton, a Wisconsin Municipal Corporation (“Village”), the Community Development Authority of the Village of Grafton (“CDA”), E.J. Plesko and Associates, Inc., Fitchburg Pines Apartments, LLC and the E.J. Plesko (collectively referred to as “Guarantors”) (Oak Street, Village, CDA, and Guarantors shall be collectively referred to herein as the “Parties”, and individually as a “Party”)), in consideration of and in reference to the following:</w:t>
      </w:r>
    </w:p>
    <w:p>
      <w:pPr>
        <w:pStyle w:val="Normal"/>
        <w:spacing w:lineRule="exact" w:line="2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Parties have previously entered into a series of agreements, including, but not limited to, a Development Agreement, with regard to Lot 2 of Certified Survey Map No. 3726 (“Property”), which has been partially developed by Oak Street (the series of agreements referred to herein shall be identified as “Historic Agreements” and are identified by title in</w:t>
      </w:r>
      <w:r>
        <w:rPr>
          <w:rFonts w:eastAsia="Times New Roman" w:cs="Times New Roman" w:ascii="Times New Roman" w:hAnsi="Times New Roman"/>
          <w:b/>
          <w:sz w:val="24"/>
        </w:rPr>
        <w:t xml:space="preserve"> EXHIBIT A</w:t>
      </w:r>
      <w:r>
        <w:rPr>
          <w:rFonts w:eastAsia="Times New Roman" w:cs="Times New Roman" w:ascii="Times New Roman" w:hAnsi="Times New Roman"/>
          <w:sz w:val="24"/>
        </w:rPr>
        <w:t>, attached hereto and incorporated herein by reference); and</w:t>
      </w:r>
    </w:p>
    <w:p>
      <w:pPr>
        <w:pStyle w:val="Normal"/>
        <w:spacing w:lineRule="exact" w:line="2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Guarantors provided certain guaranties of obligations set forth in the Historic Agreements;</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Oak Street has contracted to sell the Property, and, as a result, the Parties have entered into an agreement, and amendments thereto, terminating the Historic Agreements (the agreement to terminate the Historic Agreements, as amended, shall be referred to as the “Termination Agreement”); and</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Parties wish to fully and finally settle all issues, claims and matters between them;</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420" w:leader="none"/>
          <w:tab w:val="left" w:pos="3100" w:leader="none"/>
          <w:tab w:val="left" w:pos="3400" w:leader="none"/>
          <w:tab w:val="left" w:pos="4820" w:leader="none"/>
          <w:tab w:val="left" w:pos="5120" w:leader="none"/>
          <w:tab w:val="left" w:pos="5540" w:leader="none"/>
          <w:tab w:val="left" w:pos="6320" w:leader="none"/>
          <w:tab w:val="left" w:pos="7300" w:leader="none"/>
          <w:tab w:val="left" w:pos="7680" w:leader="none"/>
          <w:tab w:val="left" w:pos="8280" w:leader="none"/>
          <w:tab w:val="left" w:pos="9040" w:leader="none"/>
        </w:tabs>
        <w:spacing w:lineRule="atLeast" w:line="0"/>
        <w:ind w:start="720" w:end="0"/>
        <w:rPr/>
      </w:pPr>
      <w:r>
        <w:rPr>
          <w:rFonts w:eastAsia="Times New Roman" w:cs="Times New Roman" w:ascii="Times New Roman" w:hAnsi="Times New Roman"/>
          <w:b/>
          <w:sz w:val="24"/>
        </w:rPr>
        <w:t>NOW</w:t>
        <w:tab/>
        <w:t>THEREFORE</w:t>
      </w:r>
      <w:r>
        <w:rPr>
          <w:rFonts w:eastAsia="Times New Roman" w:cs="Times New Roman" w:ascii="Times New Roman" w:hAnsi="Times New Roman"/>
          <w:sz w:val="24"/>
        </w:rPr>
        <w:t>,</w:t>
      </w:r>
      <w:r>
        <w:rPr>
          <w:rFonts w:eastAsia="Times New Roman" w:cs="Times New Roman" w:ascii="Times New Roman" w:hAnsi="Times New Roman"/>
        </w:rPr>
        <w:tab/>
      </w:r>
      <w:r>
        <w:rPr>
          <w:rFonts w:eastAsia="Times New Roman" w:cs="Times New Roman" w:ascii="Times New Roman" w:hAnsi="Times New Roman"/>
          <w:sz w:val="24"/>
        </w:rPr>
        <w:t>in</w:t>
        <w:tab/>
        <w:t>consideration</w:t>
        <w:tab/>
        <w:t>of</w:t>
        <w:tab/>
        <w:t>the</w:t>
        <w:tab/>
        <w:t>mutual</w:t>
        <w:tab/>
        <w:t>promises</w:t>
        <w:tab/>
        <w:t>set</w:t>
        <w:tab/>
        <w:t>forth</w:t>
        <w:tab/>
        <w:t>herein,</w:t>
        <w:tab/>
        <w:t>the</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Parties agree as follows:</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b/>
          <w:sz w:val="24"/>
          <w:u w:val="single"/>
        </w:rPr>
        <w:t>Release by Oak Street and Guarantors.</w:t>
      </w:r>
      <w:r>
        <w:rPr>
          <w:rFonts w:eastAsia="Times New Roman" w:cs="Times New Roman" w:ascii="Times New Roman" w:hAnsi="Times New Roman"/>
          <w:sz w:val="24"/>
        </w:rPr>
        <w:t xml:space="preserve"> For and in consideration of the terms and conditions of the Termination Agreement, and for other good and valuable consideration, including the preceding premises, the receipt of which is hereby acknowledged, Oak Street and Guarantors hereby fully and forever release, acquit, discharge, and hold harmless Grafton and CDA, and any of Grafton or CDA’s heirs, successors, employees, officers, agents, and assigns from any and all charges, claims, costs, liabilities, damages, demands, or causes of action of any kind, known or unknown, whether such charges, claims, costs, liabilities, damages, demands, or causes of action are or may have been brought under federal, state or local statutory or common law, including and without limitation all civil and criminal claims, any claims or causes of action alleging breach of contract, conversion, fraud, negligence, or criminal acts or any other claims which were or could have been brought that were or are related in any way to the Property, the Historic Agreements, or the Termination Agreement. This release expressly includes, without limiting the generality of the foregoing, any claims for penalties, punitive damages, consequential damages, or attorneys’ fees or costs incurred by Oak Street or Guarantors in connection with or related to the Property, the Historic Agreements, or the Termination Agreement. This is intended by all parties to be a complete and total release of all claims of any kind.</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995" w:footer="0" w:bottom="0"/>
          <w:pgNumType w:fmt="decimal"/>
          <w:formProt w:val="false"/>
          <w:textDirection w:val="lrTb"/>
          <w:docGrid w:type="default" w:linePitch="360" w:charSpace="0"/>
        </w:sectPr>
        <w:pStyle w:val="Normal"/>
        <w:numPr>
          <w:ilvl w:val="0"/>
          <w:numId w:val="1"/>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b/>
          <w:sz w:val="24"/>
          <w:u w:val="single"/>
        </w:rPr>
        <w:t>Release by Village and CDA.</w:t>
      </w:r>
      <w:r>
        <w:rPr>
          <w:rFonts w:eastAsia="Times New Roman" w:cs="Times New Roman" w:ascii="Times New Roman" w:hAnsi="Times New Roman"/>
          <w:sz w:val="24"/>
        </w:rPr>
        <w:t xml:space="preserve"> For and in consideration of the terms and conditions of the Termination Agreement, and for other good and valuable consideration, including the preceding premises, the receipt of which is hereby acknowledged, the Village and CDA do hereby fully and forever release, acquit, discharge, and hold harmless Oak Street and</w:t>
      </w:r>
    </w:p>
    <w:p>
      <w:pPr>
        <w:pStyle w:val="Normal"/>
        <w:spacing w:lineRule="auto" w:line="237"/>
        <w:jc w:val="both"/>
        <w:rPr/>
      </w:pPr>
      <w:bookmarkStart w:id="1" w:name="page2"/>
      <w:bookmarkEnd w:id="1"/>
      <w:r>
        <w:rPr>
          <w:rFonts w:eastAsia="Times New Roman" w:cs="Times New Roman" w:ascii="Times New Roman" w:hAnsi="Times New Roman"/>
          <w:sz w:val="24"/>
        </w:rPr>
        <w:t>Guarantors, and any of Oak Street or Guarantors’ heirs, successors, employees, officers, agents, and assigns from any and all charges, claims, costs, liabilities, damages, demands, or causes of action of any kind, known or unknown, whether such charges, claims, costs, liabilities, damages, demands, or causes of action are or may have been brought under federal, state or local statutory or common law, including and without limitation all civil and criminal claims, any claims or causes of action alleging breach of contract, conversion, fraud, negligence, or criminal acts or any other claims which were or could have been brought that were or are related in any way to the sale of the Property, the Historic Agreements, or the Termination Agreement. This release expressly includes, without limiting the generality of the foregoing, any claims for penalties, punitive damages, consequential damages, or attorneys’ fees or costs incurred by the Village or CDA in connection with or related to the Property, the Historic Agreements, or the Termination Agreement. This is intended by all parties to be a complete and total release of all claims of any kind.</w:t>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b/>
          <w:sz w:val="24"/>
          <w:u w:val="single"/>
        </w:rPr>
        <w:t>Non-Admissions.</w:t>
      </w:r>
      <w:r>
        <w:rPr>
          <w:rFonts w:eastAsia="Times New Roman" w:cs="Times New Roman" w:ascii="Times New Roman" w:hAnsi="Times New Roman"/>
          <w:sz w:val="24"/>
        </w:rPr>
        <w:t xml:space="preserve"> The Parties, their heirs, successors, employees, officers, agents or assigns expressly deny any and all liability to the other and agree that nothing in this Agreement shall be deemed to represent a concession or admission of such liability or any waiver of any defense to any such liability.</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rPr>
          <w:rFonts w:ascii="Times New Roman" w:hAnsi="Times New Roman" w:eastAsia="Times New Roman" w:cs="Times New Roman"/>
          <w:sz w:val="24"/>
        </w:rPr>
      </w:pPr>
      <w:r>
        <w:rPr>
          <w:rFonts w:eastAsia="Times New Roman" w:cs="Times New Roman" w:ascii="Times New Roman" w:hAnsi="Times New Roman"/>
          <w:b/>
          <w:sz w:val="24"/>
          <w:u w:val="single"/>
        </w:rPr>
        <w:t>Entire Agreement.</w:t>
      </w:r>
      <w:r>
        <w:rPr>
          <w:rFonts w:eastAsia="Times New Roman" w:cs="Times New Roman" w:ascii="Times New Roman" w:hAnsi="Times New Roman"/>
          <w:sz w:val="24"/>
        </w:rPr>
        <w:t xml:space="preserve"> This Agreement constitutes the entire agreement among the Parties with respect to the subject matter herein.</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b/>
          <w:sz w:val="24"/>
          <w:u w:val="single"/>
        </w:rPr>
        <w:t>Invalidity.</w:t>
      </w:r>
      <w:r>
        <w:rPr>
          <w:rFonts w:eastAsia="Times New Roman" w:cs="Times New Roman" w:ascii="Times New Roman" w:hAnsi="Times New Roman"/>
          <w:sz w:val="24"/>
        </w:rPr>
        <w:t xml:space="preserve"> In case any one or more of the provisions of this Agreement is determined to be invalid, illegal, or unenforceable in any respect, the validity, legality, and enforceability of the remaining provisions contained in this Agreement shall not in any way be affected or impaired thereby.</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rPr>
          <w:rFonts w:ascii="Times New Roman" w:hAnsi="Times New Roman" w:eastAsia="Times New Roman" w:cs="Times New Roman"/>
          <w:sz w:val="24"/>
        </w:rPr>
      </w:pPr>
      <w:r>
        <w:rPr>
          <w:rFonts w:eastAsia="Times New Roman" w:cs="Times New Roman" w:ascii="Times New Roman" w:hAnsi="Times New Roman"/>
          <w:b/>
          <w:sz w:val="24"/>
          <w:u w:val="single"/>
        </w:rPr>
        <w:t>Heirs, Successors and Assigns.</w:t>
      </w:r>
      <w:r>
        <w:rPr>
          <w:rFonts w:eastAsia="Times New Roman" w:cs="Times New Roman" w:ascii="Times New Roman" w:hAnsi="Times New Roman"/>
          <w:sz w:val="24"/>
        </w:rPr>
        <w:t xml:space="preserve"> This Agreement is binding upon the Parties’ successors, and assigns.</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rPr>
          <w:rFonts w:ascii="Times New Roman" w:hAnsi="Times New Roman" w:eastAsia="Times New Roman" w:cs="Times New Roman"/>
          <w:sz w:val="24"/>
        </w:rPr>
      </w:pPr>
      <w:r>
        <w:rPr>
          <w:rFonts w:eastAsia="Times New Roman" w:cs="Times New Roman" w:ascii="Times New Roman" w:hAnsi="Times New Roman"/>
          <w:b/>
          <w:sz w:val="24"/>
          <w:u w:val="single"/>
        </w:rPr>
        <w:t>Governing Law.</w:t>
      </w:r>
      <w:r>
        <w:rPr>
          <w:rFonts w:eastAsia="Times New Roman" w:cs="Times New Roman" w:ascii="Times New Roman" w:hAnsi="Times New Roman"/>
          <w:sz w:val="24"/>
        </w:rPr>
        <w:t xml:space="preserve"> This Agreement shall be construed and interpreted in accordance with the laws of the State of Wisconsin.</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b/>
          <w:sz w:val="24"/>
          <w:u w:val="single"/>
        </w:rPr>
        <w:t>Execution in Counterparts; Facsimiles and E-Mailed “pdf” Files.</w:t>
      </w:r>
      <w:r>
        <w:rPr>
          <w:rFonts w:eastAsia="Times New Roman" w:cs="Times New Roman" w:ascii="Times New Roman" w:hAnsi="Times New Roman"/>
          <w:sz w:val="24"/>
        </w:rPr>
        <w:t xml:space="preserve"> This Agreement may be executed in any number of counterparts, and by different Parties upon different counterparts, with the same effect as if the signatures thereto were upon the same instrument. Each counterpart shall be deemed an original, but together all counterparts shall constitute one and the same instrument. The date of execution of this Agreement shall be the last date any individual counterpart was signed by any of the Parties. Facsimile and e-mailed “pdf” copies shall be as valid as originals.</w:t>
      </w:r>
    </w:p>
    <w:p>
      <w:pPr>
        <w:pStyle w:val="Normal"/>
        <w:spacing w:lineRule="exact" w:line="28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b/>
          <w:sz w:val="24"/>
          <w:u w:val="single"/>
        </w:rPr>
        <w:t>Authority.</w:t>
      </w:r>
      <w:r>
        <w:rPr>
          <w:rFonts w:eastAsia="Times New Roman" w:cs="Times New Roman" w:ascii="Times New Roman" w:hAnsi="Times New Roman"/>
          <w:sz w:val="24"/>
        </w:rPr>
        <w:t xml:space="preserve"> Each Party warrants and represents that this Agreement is being executed by a representative of that Party, duly authorized to enter into and bind the Party to the terms and conditions set forth herein.</w:t>
      </w:r>
    </w:p>
    <w:p>
      <w:pPr>
        <w:sectPr>
          <w:type w:val="nextPage"/>
          <w:pgSz w:w="12240" w:h="15840"/>
          <w:pgMar w:left="1440" w:right="1440" w:gutter="0" w:header="0" w:top="998" w:footer="0" w:bottom="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2</w:t>
      </w:r>
    </w:p>
    <w:p>
      <w:pPr>
        <w:sectPr>
          <w:type w:val="continuous"/>
          <w:pgSz w:w="12240" w:h="15840"/>
          <w:pgMar w:left="1440" w:right="1440" w:gutter="0" w:header="0" w:top="998" w:footer="0" w:bottom="85"/>
          <w:formProt w:val="false"/>
          <w:textDirection w:val="lrTb"/>
          <w:docGrid w:type="default" w:linePitch="360" w:charSpace="0"/>
        </w:sectPr>
      </w:pPr>
    </w:p>
    <w:p>
      <w:pPr>
        <w:pStyle w:val="Normal"/>
        <w:spacing w:lineRule="auto" w:line="237"/>
        <w:ind w:firstLine="720" w:end="0"/>
        <w:rPr/>
      </w:pPr>
      <w:bookmarkStart w:id="2" w:name="page3"/>
      <w:bookmarkEnd w:id="2"/>
      <w:r>
        <w:rPr>
          <w:rFonts w:eastAsia="Times New Roman" w:cs="Times New Roman" w:ascii="Times New Roman" w:hAnsi="Times New Roman"/>
          <w:b/>
          <w:sz w:val="24"/>
        </w:rPr>
        <w:t>IN WITNESS WHEREOF</w:t>
      </w:r>
      <w:r>
        <w:rPr>
          <w:rFonts w:eastAsia="Times New Roman" w:cs="Times New Roman" w:ascii="Times New Roman" w:hAnsi="Times New Roman"/>
          <w:sz w:val="24"/>
        </w:rPr>
        <w:t>, the Parties have caused this Settlement and Mutual Release Agreement to be executed on the date set forth below.</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tbl>
      <w:tblPr>
        <w:tblW w:w="8900" w:type="dxa"/>
        <w:jc w:val="start"/>
        <w:tblInd w:w="0" w:type="dxa"/>
        <w:tblLayout w:type="fixed"/>
        <w:tblCellMar>
          <w:top w:w="0" w:type="dxa"/>
          <w:start w:w="0" w:type="dxa"/>
          <w:bottom w:w="0" w:type="dxa"/>
          <w:end w:w="0" w:type="dxa"/>
        </w:tblCellMar>
      </w:tblPr>
      <w:tblGrid>
        <w:gridCol w:w="4320"/>
        <w:gridCol w:w="60"/>
        <w:gridCol w:w="280"/>
        <w:gridCol w:w="300"/>
        <w:gridCol w:w="3680"/>
        <w:gridCol w:w="260"/>
      </w:tblGrid>
      <w:tr>
        <w:trPr>
          <w:trHeight w:val="276" w:hRule="atLeast"/>
        </w:trPr>
        <w:tc>
          <w:tcPr>
            <w:tcW w:w="4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580" w:type="dxa"/>
            <w:gridSpan w:val="5"/>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OAK STREET #1, LLC</w:t>
            </w:r>
          </w:p>
        </w:tc>
      </w:tr>
      <w:tr>
        <w:trPr>
          <w:trHeight w:val="5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23" w:hRule="atLeast"/>
        </w:trPr>
        <w:tc>
          <w:tcPr>
            <w:tcW w:w="4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3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gridSpan w:val="3"/>
            <w:tcBorders/>
          </w:tcPr>
          <w:p>
            <w:pPr>
              <w:pStyle w:val="Normal"/>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t>Name:</w:t>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70"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Title:________________________________</w:t>
            </w:r>
          </w:p>
        </w:tc>
      </w:tr>
      <w:tr>
        <w:trPr>
          <w:trHeight w:val="55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VILLAGE OF GRAFTON</w:t>
            </w:r>
          </w:p>
        </w:tc>
      </w:tr>
      <w:tr>
        <w:trPr>
          <w:trHeight w:val="790"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4"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40" w:type="dxa"/>
            <w:gridSpan w:val="3"/>
            <w:tcBorders/>
          </w:tcPr>
          <w:p>
            <w:pPr>
              <w:pStyle w:val="Normal"/>
              <w:spacing w:lineRule="atLeast" w:line="0"/>
              <w:ind w:start="20" w:end="0"/>
              <w:rPr>
                <w:rFonts w:ascii="Times New Roman" w:hAnsi="Times New Roman" w:eastAsia="Times New Roman" w:cs="Times New Roman"/>
                <w:sz w:val="24"/>
              </w:rPr>
            </w:pPr>
            <w:r>
              <w:rPr>
                <w:rFonts w:eastAsia="Times New Roman" w:cs="Times New Roman" w:ascii="Times New Roman" w:hAnsi="Times New Roman"/>
                <w:sz w:val="24"/>
              </w:rPr>
              <w:t>James Brunnquell, Village President</w:t>
            </w:r>
          </w:p>
        </w:tc>
      </w:tr>
      <w:tr>
        <w:trPr>
          <w:trHeight w:val="5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4"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40" w:type="dxa"/>
            <w:gridSpan w:val="3"/>
            <w:tcBorders/>
          </w:tcPr>
          <w:p>
            <w:pPr>
              <w:pStyle w:val="Normal"/>
              <w:spacing w:lineRule="atLeast" w:line="0"/>
              <w:ind w:start="20" w:end="0"/>
              <w:rPr>
                <w:rFonts w:ascii="Times New Roman" w:hAnsi="Times New Roman" w:eastAsia="Times New Roman" w:cs="Times New Roman"/>
                <w:sz w:val="24"/>
              </w:rPr>
            </w:pPr>
            <w:r>
              <w:rPr>
                <w:rFonts w:eastAsia="Times New Roman" w:cs="Times New Roman" w:ascii="Times New Roman" w:hAnsi="Times New Roman"/>
                <w:sz w:val="24"/>
              </w:rPr>
              <w:t>Kelly Meyer, Village Clerk</w:t>
            </w:r>
          </w:p>
        </w:tc>
      </w:tr>
      <w:tr>
        <w:trPr>
          <w:trHeight w:val="55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COMMUNITY DEVELOPMENT</w:t>
            </w:r>
          </w:p>
        </w:tc>
      </w:tr>
      <w:tr>
        <w:trPr>
          <w:trHeight w:val="276" w:hRule="atLeast"/>
        </w:trPr>
        <w:tc>
          <w:tcPr>
            <w:tcW w:w="43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4580" w:type="dxa"/>
            <w:gridSpan w:val="5"/>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AUTHORITY OF THE VILLAGE OF</w:t>
            </w:r>
          </w:p>
        </w:tc>
      </w:tr>
      <w:tr>
        <w:trPr>
          <w:trHeight w:val="276" w:hRule="atLeast"/>
        </w:trPr>
        <w:tc>
          <w:tcPr>
            <w:tcW w:w="43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4580" w:type="dxa"/>
            <w:gridSpan w:val="5"/>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GRAFTON</w:t>
            </w:r>
          </w:p>
        </w:tc>
      </w:tr>
      <w:tr>
        <w:trPr>
          <w:trHeight w:val="5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23" w:hRule="atLeast"/>
        </w:trPr>
        <w:tc>
          <w:tcPr>
            <w:tcW w:w="4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98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70"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Name:  John Gassert</w:t>
            </w:r>
          </w:p>
        </w:tc>
      </w:tr>
      <w:tr>
        <w:trPr>
          <w:trHeight w:val="55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Title:    Chairperson</w:t>
            </w:r>
          </w:p>
        </w:tc>
      </w:tr>
      <w:tr>
        <w:trPr>
          <w:trHeight w:val="55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E.J. PLESKO AND ASSOCIATES, INC.</w:t>
            </w:r>
          </w:p>
        </w:tc>
      </w:tr>
      <w:tr>
        <w:trPr>
          <w:trHeight w:val="5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23" w:hRule="atLeast"/>
        </w:trPr>
        <w:tc>
          <w:tcPr>
            <w:tcW w:w="4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98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3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gridSpan w:val="3"/>
            <w:tcBorders/>
          </w:tcPr>
          <w:p>
            <w:pPr>
              <w:pStyle w:val="Normal"/>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t>Name:</w:t>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70"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Title:________________________________</w:t>
            </w:r>
          </w:p>
        </w:tc>
      </w:tr>
      <w:tr>
        <w:trPr>
          <w:trHeight w:val="55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b/>
                <w:w w:val="99"/>
                <w:sz w:val="24"/>
              </w:rPr>
            </w:pPr>
            <w:r>
              <w:rPr>
                <w:rFonts w:eastAsia="Times New Roman" w:cs="Times New Roman" w:ascii="Times New Roman" w:hAnsi="Times New Roman"/>
                <w:b/>
                <w:w w:val="99"/>
                <w:sz w:val="24"/>
              </w:rPr>
              <w:t>FITCHBURG PINES APARTMENTS, LLC</w:t>
            </w:r>
          </w:p>
        </w:tc>
      </w:tr>
      <w:tr>
        <w:trPr>
          <w:trHeight w:val="5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23" w:hRule="atLeast"/>
        </w:trPr>
        <w:tc>
          <w:tcPr>
            <w:tcW w:w="4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98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32"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gridSpan w:val="3"/>
            <w:tcBorders/>
          </w:tcPr>
          <w:p>
            <w:pPr>
              <w:pStyle w:val="Normal"/>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t>Name:</w:t>
            </w:r>
          </w:p>
        </w:tc>
        <w:tc>
          <w:tcPr>
            <w:tcW w:w="3680" w:type="dxa"/>
            <w:tcBorders>
              <w:bottom w:val="single" w:sz="8" w:space="0" w:color="000000"/>
            </w:tcBorders>
          </w:tcPr>
          <w:p>
            <w:pPr>
              <w:pStyle w:val="Normal"/>
              <w:snapToGrid w:val="false"/>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70"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580" w:type="dxa"/>
            <w:gridSpan w:val="5"/>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Title:________________________________</w:t>
            </w:r>
          </w:p>
        </w:tc>
      </w:tr>
    </w:tbl>
    <w:p>
      <w:pPr>
        <w:sectPr>
          <w:type w:val="nextPage"/>
          <w:pgSz w:w="12240" w:h="15840"/>
          <w:pgMar w:left="1440" w:right="1440" w:gutter="0" w:header="0" w:top="1275" w:footer="0" w:bottom="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pPr>
      <w:r>
        <w:rPr/>
        <w:t>3</w:t>
      </w:r>
    </w:p>
    <w:p>
      <w:pPr>
        <w:sectPr>
          <w:type w:val="continuous"/>
          <w:pgSz w:w="12240" w:h="15840"/>
          <w:pgMar w:left="1440" w:right="1440" w:gutter="0" w:header="0" w:top="1275" w:footer="0" w:bottom="85"/>
          <w:formProt w:val="false"/>
          <w:textDirection w:val="lrTb"/>
          <w:docGrid w:type="default" w:linePitch="360" w:charSpace="0"/>
        </w:sectPr>
      </w:pPr>
    </w:p>
    <w:tbl>
      <w:tblPr>
        <w:tblW w:w="8640" w:type="dxa"/>
        <w:jc w:val="start"/>
        <w:tblInd w:w="0" w:type="dxa"/>
        <w:tblLayout w:type="fixed"/>
        <w:tblCellMar>
          <w:top w:w="0" w:type="dxa"/>
          <w:start w:w="0" w:type="dxa"/>
          <w:bottom w:w="0" w:type="dxa"/>
          <w:end w:w="0" w:type="dxa"/>
        </w:tblCellMar>
      </w:tblPr>
      <w:tblGrid>
        <w:gridCol w:w="3880"/>
        <w:gridCol w:w="780"/>
        <w:gridCol w:w="3980"/>
      </w:tblGrid>
      <w:tr>
        <w:trPr>
          <w:trHeight w:val="276" w:hRule="atLeast"/>
        </w:trPr>
        <w:tc>
          <w:tcPr>
            <w:tcW w:w="38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bookmarkStart w:id="3" w:name="page4"/>
            <w:bookmarkStart w:id="4" w:name="page4"/>
            <w:bookmarkEnd w:id="4"/>
          </w:p>
        </w:tc>
        <w:tc>
          <w:tcPr>
            <w:tcW w:w="4760" w:type="dxa"/>
            <w:gridSpan w:val="2"/>
            <w:tcBorders/>
          </w:tcPr>
          <w:p>
            <w:pPr>
              <w:pStyle w:val="Normal"/>
              <w:spacing w:lineRule="atLeast" w:line="0"/>
              <w:ind w:start="440" w:end="0"/>
              <w:rPr>
                <w:rFonts w:ascii="Times New Roman" w:hAnsi="Times New Roman" w:eastAsia="Times New Roman" w:cs="Times New Roman"/>
                <w:b/>
                <w:sz w:val="24"/>
              </w:rPr>
            </w:pPr>
            <w:r>
              <w:rPr>
                <w:rFonts w:eastAsia="Times New Roman" w:cs="Times New Roman" w:ascii="Times New Roman" w:hAnsi="Times New Roman"/>
                <w:b/>
                <w:sz w:val="24"/>
              </w:rPr>
              <w:t>E.J. PLESKO</w:t>
            </w:r>
          </w:p>
        </w:tc>
      </w:tr>
      <w:tr>
        <w:trPr>
          <w:trHeight w:val="514" w:hRule="atLeast"/>
        </w:trPr>
        <w:tc>
          <w:tcPr>
            <w:tcW w:w="388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Dated: _______________________</w:t>
            </w:r>
          </w:p>
        </w:tc>
        <w:tc>
          <w:tcPr>
            <w:tcW w:w="4760" w:type="dxa"/>
            <w:gridSpan w:val="2"/>
            <w:tcBorders/>
          </w:tcPr>
          <w:p>
            <w:pPr>
              <w:pStyle w:val="Normal"/>
              <w:spacing w:lineRule="atLeast" w:line="0"/>
              <w:ind w:start="440" w:end="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23" w:hRule="atLeast"/>
        </w:trPr>
        <w:tc>
          <w:tcPr>
            <w:tcW w:w="38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9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570" w:hRule="atLeast"/>
        </w:trPr>
        <w:tc>
          <w:tcPr>
            <w:tcW w:w="3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60" w:type="dxa"/>
            <w:gridSpan w:val="2"/>
            <w:tcBorders/>
          </w:tcPr>
          <w:p>
            <w:pPr>
              <w:pStyle w:val="Normal"/>
              <w:spacing w:lineRule="atLeast" w:line="0"/>
              <w:ind w:start="440" w:end="0"/>
              <w:rPr>
                <w:rFonts w:ascii="Times New Roman" w:hAnsi="Times New Roman" w:eastAsia="Times New Roman" w:cs="Times New Roman"/>
                <w:sz w:val="24"/>
              </w:rPr>
            </w:pPr>
            <w:r>
              <w:rPr>
                <w:rFonts w:eastAsia="Times New Roman" w:cs="Times New Roman" w:ascii="Times New Roman" w:hAnsi="Times New Roman"/>
                <w:sz w:val="24"/>
              </w:rPr>
              <w:t>Name:  Andrew Plesko</w:t>
            </w:r>
          </w:p>
        </w:tc>
      </w:tr>
      <w:tr>
        <w:trPr>
          <w:trHeight w:val="552" w:hRule="atLeast"/>
        </w:trPr>
        <w:tc>
          <w:tcPr>
            <w:tcW w:w="3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60" w:type="dxa"/>
            <w:gridSpan w:val="2"/>
            <w:tcBorders/>
          </w:tcPr>
          <w:p>
            <w:pPr>
              <w:pStyle w:val="Normal"/>
              <w:spacing w:lineRule="atLeast" w:line="0"/>
              <w:ind w:start="440" w:end="0"/>
              <w:rPr>
                <w:rFonts w:ascii="Times New Roman" w:hAnsi="Times New Roman" w:eastAsia="Times New Roman" w:cs="Times New Roman"/>
                <w:sz w:val="24"/>
              </w:rPr>
            </w:pPr>
            <w:r>
              <w:rPr>
                <w:rFonts w:eastAsia="Times New Roman" w:cs="Times New Roman" w:ascii="Times New Roman" w:hAnsi="Times New Roman"/>
                <w:sz w:val="24"/>
              </w:rPr>
              <w:t>Title:    Personal Representative</w:t>
            </w:r>
          </w:p>
        </w:tc>
      </w:tr>
    </w:tbl>
    <w:p>
      <w:pPr>
        <w:sectPr>
          <w:type w:val="continuous"/>
          <w:pgSz w:w="12240" w:h="15840"/>
          <w:pgMar w:left="1440" w:right="1440" w:gutter="0" w:header="0" w:top="1275" w:footer="0" w:bottom="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4</w:t>
      </w:r>
    </w:p>
    <w:sectPr>
      <w:type w:val="continuous"/>
      <w:pgSz w:w="12240" w:h="15840"/>
      <w:pgMar w:left="1440" w:right="1440" w:gutter="0" w:header="0" w:top="1271" w:footer="0" w:bottom="85"/>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3"/>
      <w:numFmt w:val="decimal"/>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