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8200" w:end="0"/>
        <w:rPr>
          <w:rFonts w:ascii="Times New Roman" w:hAnsi="Times New Roman" w:eastAsia="Times New Roman" w:cs="Times New Roman"/>
          <w:sz w:val="21"/>
        </w:rPr>
      </w:pPr>
      <w:bookmarkStart w:id="0" w:name="page1"/>
      <w:bookmarkEnd w:id="0"/>
      <w:r>
        <w:drawing>
          <wp:anchor behindDoc="1" distT="0" distB="0" distL="114935" distR="114935" simplePos="0" locked="0" layoutInCell="0" allowOverlap="1" relativeHeight="2">
            <wp:simplePos x="0" y="0"/>
            <wp:positionH relativeFrom="page">
              <wp:posOffset>2755900</wp:posOffset>
            </wp:positionH>
            <wp:positionV relativeFrom="page">
              <wp:posOffset>76200</wp:posOffset>
            </wp:positionV>
            <wp:extent cx="2101850" cy="3556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353</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1"/>
        </w:rPr>
      </w:pPr>
      <w:r>
        <w:rPr>
          <w:rFonts w:eastAsia="Times New Roman" w:cs="Times New Roman" w:ascii="Times New Roman" w:hAnsi="Times New Roman"/>
          <w:b/>
          <w:sz w:val="21"/>
        </w:rPr>
        <w:t>ANNEX 2</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1"/>
        </w:rPr>
      </w:pPr>
      <w:r>
        <w:rPr>
          <w:rFonts w:eastAsia="Times New Roman" w:cs="Times New Roman" w:ascii="Times New Roman" w:hAnsi="Times New Roman"/>
          <w:b/>
          <w:sz w:val="21"/>
        </w:rPr>
        <w:t>UNDERSTANDING ON RULES AND PROCEDURES</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b/>
          <w:sz w:val="21"/>
        </w:rPr>
      </w:pPr>
      <w:r>
        <w:rPr>
          <w:rFonts w:eastAsia="Times New Roman" w:cs="Times New Roman" w:ascii="Times New Roman" w:hAnsi="Times New Roman"/>
          <w:b/>
          <w:sz w:val="21"/>
        </w:rPr>
        <w:t>GOVERNING THE SETTLEMENT OF DISPUTES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i/>
          <w:sz w:val="21"/>
        </w:rPr>
        <w:t>Members</w:t>
      </w:r>
      <w:r>
        <w:rPr>
          <w:rFonts w:eastAsia="Times New Roman" w:cs="Times New Roman" w:ascii="Times New Roman" w:hAnsi="Times New Roman"/>
          <w:sz w:val="21"/>
        </w:rPr>
        <w:t xml:space="preserve"> hereby </w:t>
      </w:r>
      <w:r>
        <w:rPr>
          <w:rFonts w:eastAsia="Times New Roman" w:cs="Times New Roman" w:ascii="Times New Roman" w:hAnsi="Times New Roman"/>
          <w:i/>
          <w:sz w:val="21"/>
        </w:rPr>
        <w:t>agree</w:t>
      </w:r>
      <w:r>
        <w:rPr>
          <w:rFonts w:eastAsia="Times New Roman" w:cs="Times New Roman" w:ascii="Times New Roman" w:hAnsi="Times New Roman"/>
          <w:sz w:val="21"/>
        </w:rPr>
        <w:t xml:space="preserve">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w:t>
      </w:r>
    </w:p>
    <w:p>
      <w:pPr>
        <w:pStyle w:val="Normal"/>
        <w:spacing w:lineRule="exact" w:line="27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Coverage and A pplication</w:t>
      </w:r>
    </w:p>
    <w:p>
      <w:pPr>
        <w:pStyle w:val="Normal"/>
        <w:spacing w:lineRule="exact" w:line="27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1"/>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rules and procedures of this Understanding shall apply to disputes brought pursuant to the consultation and dispute settlement provisions of the agreements listed in Appendix 1 to this Understanding (referred to in this Understanding as the "covered agreements"). The rules and procedures of this Understanding shall also apply to consultations and the settlement of disputes between Members concerning their rights and obligations under the provisions of the Agreement Establishing the World Trade Organization (referred to in this Understanding as the "WTO Agreement") and of this Understanding taken in isolation or in combination with any other covered agreement.</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The rules and procedures of this Understanding shall apply subject to such special or additional rules and procedures on dispute settlement contained in the covered agreements as are identified in Appendix 2 to this Understanding. To the extent that there is a difference between the rules and procedures of this Understanding and the special or additional rules and procedures set forth in Appendix 2, the special or additional rules and procedures in Appendix 2 shall prevail. In disputes involving rules and procedures under more than one covered agreement, if there is a conflict between special or additional rules and procedures of such agreements under review, and where the parties to the dispute cannot agree on rules and procedures within 20 days of the establishment of the panel, the Chairman of the Dispute Settlement Body provided for in paragraph 1 of Article 2 (referred to in this Understanding as the "DSB"), in consultation with the parties to the dispute, shall determine the rules and procedures to be followed within 10 days after a request by either Member. The Chairman shall be guided by the principle that special or additional rules and procedures should be used where possible, and the rules and procedures set out in this Understanding should be used to the extent necessary to avoid conflict.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w:t>
      </w:r>
    </w:p>
    <w:p>
      <w:pPr>
        <w:pStyle w:val="Normal"/>
        <w:spacing w:lineRule="exact" w:line="277"/>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1"/>
          <w:numId w:val="2"/>
        </w:numPr>
        <w:tabs>
          <w:tab w:val="clear" w:pos="720"/>
          <w:tab w:val="left" w:pos="4000" w:leader="none"/>
        </w:tabs>
        <w:spacing w:lineRule="atLeast" w:line="0"/>
        <w:ind w:hanging="160" w:start="4000" w:end="0"/>
        <w:rPr>
          <w:rFonts w:ascii="Times New Roman" w:hAnsi="Times New Roman" w:eastAsia="Times New Roman" w:cs="Times New Roman"/>
          <w:i/>
          <w:i/>
          <w:sz w:val="21"/>
        </w:rPr>
      </w:pPr>
      <w:r>
        <w:rPr>
          <w:rFonts w:eastAsia="Times New Roman" w:cs="Times New Roman" w:ascii="Times New Roman" w:hAnsi="Times New Roman"/>
          <w:i/>
          <w:sz w:val="21"/>
        </w:rPr>
        <w:t>dministration</w:t>
      </w:r>
    </w:p>
    <w:p>
      <w:pPr>
        <w:pStyle w:val="Normal"/>
        <w:spacing w:lineRule="exact" w:line="276"/>
        <w:rPr>
          <w:rFonts w:ascii="Times New Roman" w:hAnsi="Times New Roman" w:eastAsia="Times New Roman" w:cs="Times New Roman"/>
          <w:i/>
          <w:i/>
          <w:sz w:val="21"/>
        </w:rPr>
      </w:pPr>
      <w:r>
        <w:rPr>
          <w:rFonts w:eastAsia="Times New Roman" w:cs="Times New Roman" w:ascii="Times New Roman" w:hAnsi="Times New Roman"/>
          <w:i/>
          <w:sz w:val="21"/>
        </w:rPr>
      </w:r>
    </w:p>
    <w:p>
      <w:pPr>
        <w:sectPr>
          <w:type w:val="nextPage"/>
          <w:pgSz w:w="11906" w:h="16838"/>
          <w:pgMar w:left="1440" w:right="1440" w:gutter="0" w:header="0" w:top="669" w:footer="0" w:bottom="1096"/>
          <w:pgNumType w:fmt="decimal"/>
          <w:formProt w:val="false"/>
          <w:textDirection w:val="lrTb"/>
          <w:docGrid w:type="default" w:linePitch="360" w:charSpace="0"/>
        </w:sectPr>
        <w:pStyle w:val="Normal"/>
        <w:numPr>
          <w:ilvl w:val="0"/>
          <w:numId w:val="3"/>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The Dispute Settlement Body is hereby established to administer these rules and procedures and, except as otherwise provided in a covered agreement, the consultation and dispute settlement provisions of the covered agreements. Accordingly, the DSB shall have the authority to establish panels, adopt panel and Appellate Body reports, maintain surveillance of implementation of rulings and recommendations, and authorize suspension of concessions and other obligations under the covered agreements. With respect to disputes arising under a covered agreement which is a Plurilateral Trade Agreement, the term "Member" as used herein shall refer only to those Members that are parties to the relevant Plurilateral Trade Agreement. Where the DSB administers the dispute settlement provisions of a Plurilateral Trade Agreement, only those Members that are parties to that Agreement may participate in decisions or actions taken by the DSB with respect to that dispute.</w:t>
      </w:r>
    </w:p>
    <w:p>
      <w:pPr>
        <w:pStyle w:val="Normal"/>
        <w:spacing w:lineRule="atLeast" w:line="0"/>
        <w:rPr>
          <w:rFonts w:ascii="Times New Roman" w:hAnsi="Times New Roman" w:eastAsia="Times New Roman" w:cs="Times New Roman"/>
          <w:sz w:val="21"/>
        </w:rPr>
      </w:pPr>
      <w:bookmarkStart w:id="1" w:name="page2"/>
      <w:bookmarkEnd w:id="1"/>
      <w:r>
        <w:drawing>
          <wp:anchor behindDoc="1" distT="0" distB="0" distL="114935" distR="114935" simplePos="0" locked="0" layoutInCell="0" allowOverlap="1" relativeHeight="3">
            <wp:simplePos x="0" y="0"/>
            <wp:positionH relativeFrom="page">
              <wp:posOffset>2755900</wp:posOffset>
            </wp:positionH>
            <wp:positionV relativeFrom="page">
              <wp:posOffset>76200</wp:posOffset>
            </wp:positionV>
            <wp:extent cx="2101850" cy="3556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DSB shall inform the relevant WTO Councils and Committees of any developments in disputes related to provisions of the respective covered agreements.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DSB shall meet as often as necessary to carry out its functions within the time-frames provided in this Understanding.</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
        </w:numPr>
        <w:tabs>
          <w:tab w:val="left" w:pos="720" w:leader="none"/>
        </w:tabs>
        <w:spacing w:lineRule="auto" w:line="259"/>
        <w:rPr>
          <w:rFonts w:ascii="Times New Roman" w:hAnsi="Times New Roman" w:eastAsia="Times New Roman" w:cs="Times New Roman"/>
          <w:sz w:val="21"/>
        </w:rPr>
      </w:pPr>
      <w:r>
        <w:rPr>
          <w:rFonts w:eastAsia="Times New Roman" w:cs="Times New Roman" w:ascii="Times New Roman" w:hAnsi="Times New Roman"/>
          <w:sz w:val="21"/>
        </w:rPr>
        <w:t>Where the rules and procedures of this Understanding provide for the DSB to take a decision, it shall do so by consensus.</w:t>
      </w:r>
      <w:r>
        <w:rPr>
          <w:rFonts w:eastAsia="Times New Roman" w:cs="Times New Roman" w:ascii="Times New Roman" w:hAnsi="Times New Roman"/>
          <w:sz w:val="24"/>
          <w:vertAlign w:val="superscript"/>
        </w:rPr>
        <w:t>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3</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ind w:end="80"/>
        <w:jc w:val="center"/>
        <w:rPr>
          <w:rFonts w:ascii="Times New Roman" w:hAnsi="Times New Roman" w:eastAsia="Times New Roman" w:cs="Times New Roman"/>
          <w:i/>
          <w:i/>
          <w:sz w:val="21"/>
        </w:rPr>
      </w:pPr>
      <w:r>
        <w:rPr>
          <w:rFonts w:eastAsia="Times New Roman" w:cs="Times New Roman" w:ascii="Times New Roman" w:hAnsi="Times New Roman"/>
          <w:i/>
          <w:sz w:val="21"/>
        </w:rPr>
        <w:t>General Provisions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5"/>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Members affirm their adherence to the principles for the management of disputes heretofore applied under Articles XXII and XXIII of GATT 1947, and the rules and procedures as further elaborated and modified herein.</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dispute settlement system of the WTO is a central element in providing security and predictability to the multilateral trading system. The Members recognize that it serves to preserve the rights and obligations of Members under the covered agreements, and to clarify the existing provisions of those agreements in accordance with customary rules of interpretation of public international law. Recommendations and rulings of the DSB cannot add to or diminish the rights and obligations provided in the covered agreements.</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The prompt settlement of situations in which a Member considers that any benefits accruing to it directly or indirectly under the covered agreements are being impaired by measures taken by another Member is essential to the effective functioning of the WTO and the maintenance of a proper balance between the rights and obligations of Members.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Recommendations or rulings made by the DSB shall be aimed at achieving a satisfactory settlement of the matter in accordance with the rights and obligations under this Understanding and under the covered agreements.</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All solutions to matters formally raised under the consultation and dispute settlement provisions of the covered agreements, including arbitration awards, shall be consistent with those agreements and shall not nullify or impair benefits accruing to any Member under those agreements, nor impede the attainment of any objective of those agreements.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Mutually agreed solutions to matters formally raised under the consultation and dispute settlement provisions of the covered agreements shall be notified to the DSB and the relevant Councils and Committees, where any Member may raise any point relating thereto.</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Before bringing a case, a Member shall exercise its judgement as to whether action under these procedures would be fruitful. The aim of the dispute settlement mechanism is to secure a positive solution to a dispute. A solution mutually acceptable to the parties to a dispute and consistent with the covered agreements is clearly to be preferred. In the absence of a mutually agreed solution, the first objective of the dispute settlement mechanism is usually to secure the withdrawal of the measures concerned if these are found to be inconsistent with the provisions of any of the covered agreements. The provision of compensation should be resorted to only if the immediate withdrawal of the measure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207010</wp:posOffset>
                </wp:positionV>
                <wp:extent cx="1837690" cy="0"/>
                <wp:effectExtent l="0" t="3175" r="0" b="3175"/>
                <wp:wrapNone/>
                <wp:docPr id="3"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3pt" to="144.65pt,16.3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2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12" w:end="0"/>
        <w:rPr/>
      </w:pPr>
      <w:r>
        <w:rPr>
          <w:rFonts w:eastAsia="Times New Roman" w:cs="Times New Roman" w:ascii="Times New Roman" w:hAnsi="Times New Roman"/>
          <w:sz w:val="21"/>
          <w:vertAlign w:val="superscript"/>
        </w:rPr>
        <w:t>1</w:t>
      </w:r>
      <w:r>
        <w:rPr>
          <w:rFonts w:eastAsia="Times New Roman" w:cs="Times New Roman" w:ascii="Times New Roman" w:hAnsi="Times New Roman"/>
          <w:sz w:val="17"/>
        </w:rPr>
        <w:t>The DSB shall be deemed to have decided by consensus on a matter submitted for its consideration, if no Member, present at the meeting of the DSB when the decision is taken, formally objects to the proposed decision.</w:t>
      </w:r>
    </w:p>
    <w:p>
      <w:pPr>
        <w:sectPr>
          <w:type w:val="continuous"/>
          <w:pgSz w:w="11906" w:h="16838"/>
          <w:pgMar w:left="1440" w:right="1440" w:gutter="0" w:header="0" w:top="669" w:footer="0" w:bottom="923"/>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2" w:name="page3"/>
      <w:bookmarkEnd w:id="2"/>
      <w:r>
        <w:drawing>
          <wp:anchor behindDoc="1" distT="0" distB="0" distL="114935" distR="114935" simplePos="0" locked="0" layoutInCell="0" allowOverlap="1" relativeHeight="5">
            <wp:simplePos x="0" y="0"/>
            <wp:positionH relativeFrom="page">
              <wp:posOffset>2755900</wp:posOffset>
            </wp:positionH>
            <wp:positionV relativeFrom="page">
              <wp:posOffset>76200</wp:posOffset>
            </wp:positionV>
            <wp:extent cx="2101850" cy="355600"/>
            <wp:effectExtent l="0" t="0" r="0" b="0"/>
            <wp:wrapNone/>
            <wp:docPr id="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title=""/>
                    <pic:cNvPicPr>
                      <a:picLocks noChangeAspect="1" noChangeArrowheads="1"/>
                    </pic:cNvPicPr>
                  </pic:nvPicPr>
                  <pic:blipFill>
                    <a:blip r:embed="rId4"/>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is impracticable and as a temporary measure pending the withdrawal of the measure which is inconsistent with a covered agreement. The last resort which this Understanding provides to the Member invoking the dispute settlement procedures is the possibility of suspending the application of concessions or other obligations under the covered agreements on a discriminatory basis vis-à-vis the other Member, subject to authorization by the DSB of such measures.</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 xml:space="preserve">In cases where there is an infringement of the obligations assumed under a covered agreement, the action is considered </w:t>
      </w:r>
      <w:r>
        <w:rPr>
          <w:rFonts w:eastAsia="Times New Roman" w:cs="Times New Roman" w:ascii="Times New Roman" w:hAnsi="Times New Roman"/>
          <w:i/>
          <w:sz w:val="21"/>
        </w:rPr>
        <w:t>prima facie</w:t>
      </w:r>
      <w:r>
        <w:rPr>
          <w:rFonts w:eastAsia="Times New Roman" w:cs="Times New Roman" w:ascii="Times New Roman" w:hAnsi="Times New Roman"/>
          <w:sz w:val="21"/>
        </w:rPr>
        <w:t xml:space="preserve"> to constitute a case of nullification or impairment. This means that there is normally a presumption that a breach of the rules has an adverse impact on other Members parties to that covered agreement, and in such cases, it shall be up to the Member against whom the complaint has been brought to rebut the charge.</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The provisions of this Understanding are without prejudice to the rights of Members to seek authoritative interpretation of provisions of a covered agreement through decision-making under the WTO Agreement or a covered agreement which is a Plurilateral Trade Agreement.</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It is understood that requests for conciliation and the use of the dispute settlement procedures should not be intended or considered as contentious acts and that, if a dispute arises, all Members will engage in these procedures in good faith in an effort to resolve the dispute. It is also understood that complaints and counter-complaints in regard to distinct matters should not be linked.</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This Understanding shall be applied only with respect to new requests for consultations under the consultation provisions of the covered agreements made on or after the date of entry into force of the WTO Agreement. With respect to disputes for which the request for consultations was made under GATT 1947 or under any other predecessor agreement to the covered agreements before the date of entry into force of the WTO Agreement, the relevant dispute settlement rules and procedures in effect immediately prior to the date of entry into force of the WTO Agreement shall continue to apply.</w:t>
      </w:r>
      <w:r>
        <w:rPr>
          <w:rFonts w:eastAsia="Times New Roman" w:cs="Times New Roman" w:ascii="Times New Roman" w:hAnsi="Times New Roman"/>
          <w:sz w:val="24"/>
          <w:vertAlign w:val="superscript"/>
        </w:rPr>
        <w:t>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Notwithstanding paragraph 11, if a complaint based on any of the covered agreements is brought by a developing country Member against a developed country Member, the complaining party shall have the right to invoke, as an alternative to the provisions contained in Articles 4, 5, 6 and 12 of this Understanding, the corresponding provisions of the Decision of 5 April 1966 (BISD 14S/18), except that where the Panel considers that the time-frame provided for in paragraph 7 of that Decision is insufficient to provide its report and with the agreement of the complaining party, that time-frame may be extended. To the extent that there is a difference between the rules and procedures of Articles 4, 5, 6 and 12 and the corresponding rules and procedures of the Decision, the latter shall prevail.</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4</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Consultations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7"/>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Members affirm their resolve to strengthen and improve the effectiveness of the consultation procedures employed by Members.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1158875</wp:posOffset>
                </wp:positionV>
                <wp:extent cx="1837690" cy="0"/>
                <wp:effectExtent l="0" t="3175" r="0" b="3175"/>
                <wp:wrapNone/>
                <wp:docPr id="5"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91.25pt" to="144.65pt,91.2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40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21"/>
          <w:vertAlign w:val="superscript"/>
        </w:rPr>
        <w:t>2</w:t>
      </w:r>
      <w:r>
        <w:rPr>
          <w:rFonts w:eastAsia="Times New Roman" w:cs="Times New Roman" w:ascii="Times New Roman" w:hAnsi="Times New Roman"/>
          <w:sz w:val="17"/>
        </w:rPr>
        <w:t>This paragraph shall also be applied to disputes on which panel reports have not been adopted or fully implemented.</w:t>
      </w:r>
    </w:p>
    <w:p>
      <w:pPr>
        <w:sectPr>
          <w:type w:val="continuous"/>
          <w:pgSz w:w="11906" w:h="16838"/>
          <w:pgMar w:left="1440" w:right="1440" w:gutter="0" w:header="0" w:top="669" w:footer="0" w:bottom="902"/>
          <w:formProt w:val="false"/>
          <w:textDirection w:val="lrTb"/>
          <w:docGrid w:type="default" w:linePitch="360" w:charSpace="0"/>
        </w:sectPr>
      </w:pPr>
    </w:p>
    <w:p>
      <w:pPr>
        <w:pStyle w:val="Normal"/>
        <w:spacing w:lineRule="atLeast" w:line="0"/>
        <w:rPr>
          <w:rFonts w:ascii="Times New Roman" w:hAnsi="Times New Roman" w:eastAsia="Times New Roman" w:cs="Times New Roman"/>
          <w:sz w:val="21"/>
        </w:rPr>
      </w:pPr>
      <w:bookmarkStart w:id="3" w:name="page4"/>
      <w:bookmarkEnd w:id="3"/>
      <w:r>
        <w:drawing>
          <wp:anchor behindDoc="1" distT="0" distB="0" distL="114935" distR="114935" simplePos="0" locked="0" layoutInCell="0" allowOverlap="1" relativeHeight="7">
            <wp:simplePos x="0" y="0"/>
            <wp:positionH relativeFrom="page">
              <wp:posOffset>2755900</wp:posOffset>
            </wp:positionH>
            <wp:positionV relativeFrom="page">
              <wp:posOffset>76200</wp:posOffset>
            </wp:positionV>
            <wp:extent cx="2101850" cy="35560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5"/>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Each Member undertakes to accord sympathetic consideration to and afford adequate opportunity for consultation regarding any representations made by another Member concerning measures affecting the operation of any covered agreement taken within the territory of the former.</w:t>
      </w:r>
      <w:r>
        <w:rPr>
          <w:rFonts w:eastAsia="Times New Roman" w:cs="Times New Roman" w:ascii="Times New Roman" w:hAnsi="Times New Roman"/>
          <w:sz w:val="24"/>
          <w:vertAlign w:val="superscript"/>
        </w:rPr>
        <w:t>3</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8"/>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If a request for consultations is made pursuant to a covered agreement, the Member to which the request is made shall, unless otherwise mutually agreed, reply to the request within 10 days after the date of its receipt and shall enter into consultations in good faith within a period of no more than</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9"/>
        </w:numPr>
        <w:tabs>
          <w:tab w:val="clear" w:pos="720"/>
          <w:tab w:val="left" w:pos="271"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days after the date of receipt of the request, with a view to reaching a mutually satisfactory solution. If the Member does not respond within 10 days after the date of receipt of the request, or does not enter into consultations within a period of no more than 30 days, or a period otherwise mutually agreed, after the date of receipt of the request, then the Member that requested the holding of consultations may proceed directly to request the establishment of a panel.</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All such requests for consultations shall be notified to the DSB and the relevant Councils and Committees by the Member which requests consultations. Any request for consultations shall be submitted in writing and shall give the reasons for the request, including identification of the measures at issue and an indication of the legal basis for the complaint.</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In the course of consultations in accordance with the provisions of a covered agreement, before resorting to further action under this Understanding, Members should attempt to obtain satisfactory adjustment of the matter.</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Consultations shall be confidential, and without prejudice to the rights of any Member in any further proceedings.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If the consultations fail to settle a dispute within 60 days after the date of receipt of the request for consultations, the complaining party may request the establishment of a panel. The complaining party may request a panel during the 60-day period if the consulting parties jointly consider that consultations have failed to settle the dispute.</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In cases of urgency, including those which concern perishable goods, Members shall enter into consultations within a period of no more than 10 days after the date of receipt of the request. If the consultations have failed to settle the dispute within a period of 20 days after the date of receipt of the request, the complaining party may request the establishment of a panel.</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In cases of urgency, including those which concern perishable goods, the parties to the dispute, panels and the Appellate Body shall make every effort to accelerate the proceedings to the greatest extent possible.</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During consultations Members should give special attention to the particular problems and interests of developing country Members.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0"/>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Whenever a Member other than the consulting Members considers that it has a substantial trade interest in consultations being held pursuant to paragraph 1 of Article XXII of GATT 1994, paragraph 1 of Article XXII of GATS, or the corresponding provisions in other covered agreements</w:t>
      </w:r>
      <w:r>
        <w:rPr>
          <w:rFonts w:eastAsia="Times New Roman" w:cs="Times New Roman" w:ascii="Times New Roman" w:hAnsi="Times New Roman"/>
          <w:sz w:val="24"/>
          <w:vertAlign w:val="superscript"/>
        </w:rPr>
        <w:t>4</w:t>
      </w:r>
      <w:r>
        <w:rPr>
          <w:rFonts w:eastAsia="Times New Roman" w:cs="Times New Roman" w:ascii="Times New Roman" w:hAnsi="Times New Roman"/>
          <w:sz w:val="21"/>
        </w:rPr>
        <w:t>, such Member</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308610</wp:posOffset>
                </wp:positionV>
                <wp:extent cx="1837690" cy="0"/>
                <wp:effectExtent l="0" t="3175" r="0" b="3175"/>
                <wp:wrapNone/>
                <wp:docPr id="7"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4.3pt" to="144.65pt,24.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312" w:end="0"/>
        <w:jc w:val="both"/>
        <w:rPr/>
      </w:pPr>
      <w:r>
        <w:rPr>
          <w:rFonts w:eastAsia="Times New Roman" w:cs="Times New Roman" w:ascii="Times New Roman" w:hAnsi="Times New Roman"/>
          <w:sz w:val="21"/>
          <w:vertAlign w:val="superscript"/>
        </w:rPr>
        <w:t>3</w:t>
      </w:r>
      <w:r>
        <w:rPr>
          <w:rFonts w:eastAsia="Times New Roman" w:cs="Times New Roman" w:ascii="Times New Roman" w:hAnsi="Times New Roman"/>
          <w:sz w:val="17"/>
        </w:rPr>
        <w:t>Where the provisions of any other covered agreement concerning measures taken by regional or local governments or authorities within the territory of a Member contain provisions different from the provisions of this paragraph, the provisions of such other covered agreement shall prevail.</w:t>
      </w:r>
    </w:p>
    <w:p>
      <w:pPr>
        <w:pStyle w:val="Normal"/>
        <w:spacing w:lineRule="exact" w:line="226"/>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1906" w:h="16838"/>
          <w:pgMar w:left="1440" w:right="1440" w:gutter="0" w:header="0" w:top="669" w:footer="0" w:bottom="913"/>
          <w:pgNumType w:fmt="decimal"/>
          <w:formProt w:val="false"/>
          <w:textDirection w:val="lrTb"/>
          <w:docGrid w:type="default" w:linePitch="360" w:charSpace="0"/>
        </w:sectPr>
        <w:pStyle w:val="Normal"/>
        <w:spacing w:lineRule="auto" w:line="254"/>
        <w:ind w:firstLine="312" w:end="0"/>
        <w:jc w:val="both"/>
        <w:rPr/>
      </w:pPr>
      <w:r>
        <w:rPr>
          <w:rFonts w:eastAsia="Times New Roman" w:cs="Times New Roman" w:ascii="Times New Roman" w:hAnsi="Times New Roman"/>
          <w:sz w:val="21"/>
          <w:vertAlign w:val="superscript"/>
        </w:rPr>
        <w:t>4</w:t>
      </w:r>
      <w:r>
        <w:rPr>
          <w:rFonts w:eastAsia="Times New Roman" w:cs="Times New Roman" w:ascii="Times New Roman" w:hAnsi="Times New Roman"/>
          <w:sz w:val="17"/>
        </w:rPr>
        <w:t>The corresponding consultation provisions in the covered agreements are listed hereunder: Agreement on Agriculture, Article 19; Agreement on the Application of Sanitary and Phytosanitary Measures, paragraph 1 of Article 11; Agreement on Textiles and Clothing, paragraph 4 of Article 8; Agreement on Technical Barriers to Trade, paragraph 1 of Article 14;</w:t>
      </w:r>
    </w:p>
    <w:p>
      <w:pPr>
        <w:pStyle w:val="Normal"/>
        <w:spacing w:lineRule="atLeast" w:line="0"/>
        <w:ind w:start="8200" w:end="0"/>
        <w:rPr>
          <w:rFonts w:ascii="Times New Roman" w:hAnsi="Times New Roman" w:eastAsia="Times New Roman" w:cs="Times New Roman"/>
          <w:sz w:val="21"/>
        </w:rPr>
      </w:pPr>
      <w:bookmarkStart w:id="4" w:name="page5"/>
      <w:bookmarkEnd w:id="4"/>
      <w:r>
        <w:drawing>
          <wp:anchor behindDoc="1" distT="0" distB="0" distL="114935" distR="114935" simplePos="0" locked="0" layoutInCell="0" allowOverlap="1" relativeHeight="9">
            <wp:simplePos x="0" y="0"/>
            <wp:positionH relativeFrom="page">
              <wp:posOffset>2755900</wp:posOffset>
            </wp:positionH>
            <wp:positionV relativeFrom="page">
              <wp:posOffset>76200</wp:posOffset>
            </wp:positionV>
            <wp:extent cx="2101850" cy="355600"/>
            <wp:effectExtent l="0" t="0" r="0" b="0"/>
            <wp:wrapNone/>
            <wp:docPr id="8"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 descr="" title=""/>
                    <pic:cNvPicPr>
                      <a:picLocks noChangeAspect="1" noChangeArrowheads="1"/>
                    </pic:cNvPicPr>
                  </pic:nvPicPr>
                  <pic:blipFill>
                    <a:blip r:embed="rId6"/>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may notify the consulting Members and the DSB, within 10 days after the date of the circulation of the request for consultations under said Article, of its desire to be joined in the consultations. Such Member shall be joined in the consultations, provided that the Member to which the request for consultations was addressed agrees that the claim of substantial interest is well-founded. In that event they shall so inform the DSB. If the request to be joined in the consultations is not accepted, the applicant Member shall be free to request consultations under paragraph 1 of Article XXII or paragraph 1 of Article XXIII of GATT 1994, paragraph 1 of Article XXII or paragraph 1 of Article XXIII of GATS, or the corresponding provisions in other covered agreements.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5</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Good Offices, Conciliation and Mediation</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1"/>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Good offices, conciliation and mediation are procedures that are undertaken voluntarily if the parties to the dispute so agree.</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Proceedings involving good offices, conciliation and mediation, and in particular positions taken by the parties to the dispute during these proceedings, shall be confidential, and without prejudice to the rights of either party in any further proceedings under these procedures.</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Good offices, conciliation or mediation may be requested at any time by any party to a dispute. They may begin at any time and be terminated at any time. Once procedures for good offices, conciliation or mediation are terminated, a complaining party may then proceed with a request for the establishment of a panel.</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When good offices, conciliation or mediation are entered into within 60 days after the date of receipt of a request for consultations, the complaining party must allow a period of 60 days after the date of receipt of the request for consultations before requesting the establishment of a panel. The complaining party may request the establishment of a panel during the 60-day period if the parties to the dispute jointly consider that the good offices, conciliation or mediation process has failed to settle the dispute.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If the parties to a dispute agree, procedures for good offices, conciliation or mediation may continue while the panel process proceeds.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1"/>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 xml:space="preserve">The Director-General may, acting in an </w:t>
      </w:r>
      <w:r>
        <w:rPr>
          <w:rFonts w:eastAsia="Times New Roman" w:cs="Times New Roman" w:ascii="Times New Roman" w:hAnsi="Times New Roman"/>
          <w:i/>
          <w:sz w:val="21"/>
        </w:rPr>
        <w:t>ex officio</w:t>
      </w:r>
      <w:r>
        <w:rPr>
          <w:rFonts w:eastAsia="Times New Roman" w:cs="Times New Roman" w:ascii="Times New Roman" w:hAnsi="Times New Roman"/>
          <w:sz w:val="21"/>
        </w:rPr>
        <w:t xml:space="preserve"> capacity, offer good offices, conciliation or mediation with the view to assisting Members to settle a dispute.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1613535</wp:posOffset>
                </wp:positionV>
                <wp:extent cx="1837690" cy="0"/>
                <wp:effectExtent l="0" t="3175" r="0" b="3175"/>
                <wp:wrapNone/>
                <wp:docPr id="9"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27.05pt" to="144.65pt,127.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0"/>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669" w:footer="0" w:bottom="899"/>
          <w:pgNumType w:fmt="decimal"/>
          <w:formProt w:val="false"/>
          <w:textDirection w:val="lrTb"/>
          <w:docGrid w:type="default" w:linePitch="360" w:charSpace="0"/>
        </w:sectPr>
        <w:pStyle w:val="Normal"/>
        <w:spacing w:lineRule="auto" w:line="273"/>
        <w:jc w:val="both"/>
        <w:rPr>
          <w:rFonts w:ascii="Times New Roman" w:hAnsi="Times New Roman" w:eastAsia="Times New Roman" w:cs="Times New Roman"/>
          <w:sz w:val="17"/>
        </w:rPr>
      </w:pPr>
      <w:r>
        <w:rPr>
          <w:rFonts w:eastAsia="Times New Roman" w:cs="Times New Roman" w:ascii="Times New Roman" w:hAnsi="Times New Roman"/>
          <w:sz w:val="17"/>
        </w:rPr>
        <w:t>Agreement on Trade-Related Investment Measures, Article 8; Agreement on Implementation of Article VI of GATT 1994, paragraph 2 of Article 17; Agreement on Implementation of Article VII of GATT 1994, paragraph 2 of Article 19; Agreement on Preshipment Inspection, Article 7; Agreement on Rules of Origin, Article 7; Agreement on Import Licensing Procedures, Article 6; Agreement on Subsidies and Countervailing Measures, Article 30; Agreement on Safeguards, Article 14; Agreement on Trade-Related Aspects of Intellectual Property Rights, Article 64.1; and any corresponding consultation provisions in Plurilateral Trade Agreements as determined by the competent bodies of each Agreement and as notified to the DSB.</w:t>
      </w:r>
    </w:p>
    <w:p>
      <w:pPr>
        <w:pStyle w:val="Normal"/>
        <w:spacing w:lineRule="atLeast" w:line="0"/>
        <w:rPr>
          <w:rFonts w:ascii="Times New Roman" w:hAnsi="Times New Roman" w:eastAsia="Times New Roman" w:cs="Times New Roman"/>
          <w:sz w:val="21"/>
        </w:rPr>
      </w:pPr>
      <w:bookmarkStart w:id="5" w:name="page6"/>
      <w:bookmarkEnd w:id="5"/>
      <w:r>
        <w:drawing>
          <wp:anchor behindDoc="1" distT="0" distB="0" distL="114935" distR="114935" simplePos="0" locked="0" layoutInCell="0" allowOverlap="1" relativeHeight="11">
            <wp:simplePos x="0" y="0"/>
            <wp:positionH relativeFrom="page">
              <wp:posOffset>2755900</wp:posOffset>
            </wp:positionH>
            <wp:positionV relativeFrom="page">
              <wp:posOffset>76200</wp:posOffset>
            </wp:positionV>
            <wp:extent cx="2101850" cy="355600"/>
            <wp:effectExtent l="0" t="0" r="0" b="0"/>
            <wp:wrapNone/>
            <wp:docPr id="10"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 descr="" title=""/>
                    <pic:cNvPicPr>
                      <a:picLocks noChangeAspect="1" noChangeArrowheads="1"/>
                    </pic:cNvPicPr>
                  </pic:nvPicPr>
                  <pic:blipFill>
                    <a:blip r:embed="rId7"/>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358</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6</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Establishment of Panels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2"/>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If the complaining party so requests, a panel shall be established at the latest at the DSB meeting following that at which the request first appears as an item on the DSB's agenda, unless at that meeting the DSB decides by consensus not to establish a panel.</w:t>
      </w:r>
      <w:r>
        <w:rPr>
          <w:rFonts w:eastAsia="Times New Roman" w:cs="Times New Roman" w:ascii="Times New Roman" w:hAnsi="Times New Roman"/>
          <w:sz w:val="24"/>
          <w:vertAlign w:val="superscript"/>
        </w:rPr>
        <w:t>5</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2"/>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The request for the establishment of a panel shall be made in writing. It shall indicate whether consultations were held, identify the specific measures at issue and provide a brief summary of the legal basis of the complaint sufficient to present the problem clearly. In case the applicant requests the establishment of a panel with other than standard terms of reference, the written request shall include the proposed text of special terms of reference.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7</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Terms of Reference of Panels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3"/>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Panels shall have the following terms of reference unless the parties to the dispute agree otherwise within 20 days from the establishment of the panel:</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firstLine="720" w:start="720" w:end="0"/>
        <w:jc w:val="both"/>
        <w:rPr>
          <w:rFonts w:ascii="Times New Roman" w:hAnsi="Times New Roman" w:eastAsia="Times New Roman" w:cs="Times New Roman"/>
          <w:sz w:val="21"/>
        </w:rPr>
      </w:pPr>
      <w:r>
        <w:rPr>
          <w:rFonts w:eastAsia="Times New Roman" w:cs="Times New Roman" w:ascii="Times New Roman" w:hAnsi="Times New Roman"/>
          <w:sz w:val="21"/>
        </w:rPr>
        <w:t>"To examine, in the light of the relevant provisions in (name of the covered agreement(s) cited by the parties to the dispute), the matter referred to the DSB by (name of party) in document ... and to make such findings as will assist the DSB in making the recommendations or in giving the rulings provided for in that/those agreement(s)."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4"/>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Panels shall address the relevant provisions in any covered agreement or agreements cited by the parties to the dispute.</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4"/>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In establishing a panel, the DSB may authorize its Chairman to draw up the terms of reference of the panel in consultation with the parties to the dispute, subject to the provisions of paragraph 1. The terms of reference thus drawn up shall be circulated to all Members. If other than standard terms of reference are agreed upon, any Member may raise any point relating thereto in the DSB.</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8</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Composition of Panels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5"/>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Panels shall be composed of well-qualified governmental and/or non-governmental individuals, including persons who have served on or presented a case to a panel, served as a representative of a Member or of a contracting party to GATT 1947 or as a representative to the Council or Committee of any covered agreement or its predecessor agreement, or in the Secretariat, taught or published on international trade law or policy, or served as a senior trade policy official of a Member.</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5"/>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 members should be selected with a view to ensuring the independence of the members, a sufficiently diverse background and a wide spectrum of experience.</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525145</wp:posOffset>
                </wp:positionV>
                <wp:extent cx="1837690" cy="0"/>
                <wp:effectExtent l="0" t="3175" r="0" b="3175"/>
                <wp:wrapNone/>
                <wp:docPr id="11"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1.35pt" to="144.65pt,41.3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2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12" w:end="0"/>
        <w:rPr/>
      </w:pPr>
      <w:r>
        <w:rPr>
          <w:rFonts w:eastAsia="Times New Roman" w:cs="Times New Roman" w:ascii="Times New Roman" w:hAnsi="Times New Roman"/>
          <w:sz w:val="21"/>
          <w:vertAlign w:val="superscript"/>
        </w:rPr>
        <w:t>5</w:t>
      </w:r>
      <w:r>
        <w:rPr>
          <w:rFonts w:eastAsia="Times New Roman" w:cs="Times New Roman" w:ascii="Times New Roman" w:hAnsi="Times New Roman"/>
          <w:sz w:val="17"/>
        </w:rPr>
        <w:t>If the complaining party so requests, a meeting of the DSB shall be convened for this purpose within 15 days of the request, provided that at least 10 days' advance notice of the meeting is given.</w:t>
      </w:r>
    </w:p>
    <w:p>
      <w:pPr>
        <w:sectPr>
          <w:type w:val="continuous"/>
          <w:pgSz w:w="11906" w:h="16838"/>
          <w:pgMar w:left="1440" w:right="1440" w:gutter="0" w:header="0" w:top="669" w:footer="0" w:bottom="923"/>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6" w:name="page7"/>
      <w:bookmarkEnd w:id="6"/>
      <w:r>
        <w:drawing>
          <wp:anchor behindDoc="1" distT="0" distB="0" distL="114935" distR="114935" simplePos="0" locked="0" layoutInCell="0" allowOverlap="1" relativeHeight="13">
            <wp:simplePos x="0" y="0"/>
            <wp:positionH relativeFrom="page">
              <wp:posOffset>2755900</wp:posOffset>
            </wp:positionH>
            <wp:positionV relativeFrom="page">
              <wp:posOffset>76200</wp:posOffset>
            </wp:positionV>
            <wp:extent cx="2101850" cy="355600"/>
            <wp:effectExtent l="0" t="0" r="0" b="0"/>
            <wp:wrapNone/>
            <wp:docPr id="1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 descr="" title=""/>
                    <pic:cNvPicPr>
                      <a:picLocks noChangeAspect="1" noChangeArrowheads="1"/>
                    </pic:cNvPicPr>
                  </pic:nvPicPr>
                  <pic:blipFill>
                    <a:blip r:embed="rId8"/>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359</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left" w:pos="720" w:leader="none"/>
        </w:tabs>
        <w:spacing w:lineRule="auto" w:line="252"/>
        <w:jc w:val="both"/>
        <w:rPr>
          <w:rFonts w:ascii="Times New Roman" w:hAnsi="Times New Roman" w:eastAsia="Times New Roman" w:cs="Times New Roman"/>
          <w:sz w:val="21"/>
        </w:rPr>
      </w:pPr>
      <w:r>
        <w:rPr>
          <w:rFonts w:eastAsia="Times New Roman" w:cs="Times New Roman" w:ascii="Times New Roman" w:hAnsi="Times New Roman"/>
          <w:sz w:val="21"/>
        </w:rPr>
        <w:t>Citizens of Members whose governments</w:t>
      </w:r>
      <w:r>
        <w:rPr>
          <w:rFonts w:eastAsia="Times New Roman" w:cs="Times New Roman" w:ascii="Times New Roman" w:hAnsi="Times New Roman"/>
          <w:sz w:val="24"/>
          <w:vertAlign w:val="superscript"/>
        </w:rPr>
        <w:t>6</w:t>
      </w:r>
      <w:r>
        <w:rPr>
          <w:rFonts w:eastAsia="Times New Roman" w:cs="Times New Roman" w:ascii="Times New Roman" w:hAnsi="Times New Roman"/>
          <w:sz w:val="21"/>
        </w:rPr>
        <w:t xml:space="preserve"> are parties to the dispute or third parties as defined in paragraph 2 of Article 10 shall not serve on a panel concerned with that dispute, unless the parties to the dispute agree otherwise.</w:t>
      </w:r>
    </w:p>
    <w:p>
      <w:pPr>
        <w:pStyle w:val="Normal"/>
        <w:spacing w:lineRule="exact" w:line="24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To assist in the selection of panelists, the Secretariat shall maintain an indicative list of governmental and non-governmental individuals possessing the qualifications outlined in paragraph 1, from which panelists may be drawn as appropriate. That list shall include the roster of non-governmental panelists established on 30 November 1984 (BISD 31S/9), and other rosters and indicative lists established under any of the covered agreements, and shall retain the names of persons on those rosters and indicative lists at the time of entry into force of the WTO Agreement. Members may periodically suggest names of governmental and non-governmental individuals for inclusion on the indicative list, providing relevant information on their knowledge of international trade and of the sectors or subject matter of the covered agreements, and those names shall be added to the list upon approval by the DSB. For each of the individuals on the list, the list shall indicate specific areas of experience or expertise of the individuals in the sectors or subject matter of the covered agreements.</w:t>
      </w:r>
    </w:p>
    <w:p>
      <w:pPr>
        <w:pStyle w:val="Normal"/>
        <w:spacing w:lineRule="exact" w:line="24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Panels shall be composed of three panelists unless the parties to the dispute agree, within 10 days from the establishment of the panel, to a panel composed of five panelists. Members shall be informed promptly of the composition of the panel.</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Secretariat shall propose nominations for the panel to the parties to the dispute. The parties to the dispute shall not oppose nominations except for compelling reasons.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If there is no agreement on the panelists within 20 days after the date of the establishment of a panel, at the request of either party, the Director-General, in consultation with the Chairman of the DSB and the Chairman of the relevant Council or Committee, shall determine the composition of the panel by appointing the panelists whom the Director-General considers most appropriate in accordance with any relevant special or additional rules or procedures of the covered agreement or covered agreements which are at issue in the dispute, after consulting with the parties to the dispute. The Chairman of the DSB shall inform the Members of the composition of the panel thus formed no later than 10 days after the date the Chairman receives such a request.</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Members shall undertake, as a general rule, to permit their officials to serve as panelists.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Panelists shall serve in their individual capacities and not as government representatives, nor as representatives of any organization. Members shall therefore not give them instructions nor seek to influence them as individuals with regard to matters before a panel.</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When a dispute is between a developing country Member and a developed country Member the panel shall, if the developing country Member so requests, include at least one panelist from a developing country Member.</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Panelists' expenses, including travel and subsistence allowance, shall be met from the WTO budget in accordance with criteria to be adopted by the General Council, based on recommendations of the Committee on Budget, Finance and Administration.</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1024890</wp:posOffset>
                </wp:positionV>
                <wp:extent cx="1837690" cy="0"/>
                <wp:effectExtent l="0" t="3175" r="0" b="3175"/>
                <wp:wrapNone/>
                <wp:docPr id="13"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0.7pt" to="144.65pt,80.7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9"/>
        <w:rPr>
          <w:rFonts w:ascii="Times New Roman" w:hAnsi="Times New Roman" w:eastAsia="Times New Roman" w:cs="Times New Roman"/>
        </w:rPr>
      </w:pPr>
      <w:r>
        <w:rPr>
          <w:rFonts w:eastAsia="Times New Roman" w:cs="Times New Roman" w:ascii="Times New Roman" w:hAnsi="Times New Roman"/>
        </w:rPr>
      </w:r>
    </w:p>
    <w:p>
      <w:pPr>
        <w:sectPr>
          <w:type w:val="nextPage"/>
          <w:pgSz w:w="11906" w:h="16838"/>
          <w:pgMar w:left="1440" w:right="1440" w:gutter="0" w:header="0" w:top="669" w:footer="0" w:bottom="923"/>
          <w:pgNumType w:fmt="decimal"/>
          <w:formProt w:val="false"/>
          <w:textDirection w:val="lrTb"/>
          <w:docGrid w:type="default" w:linePitch="360" w:charSpace="0"/>
        </w:sectPr>
        <w:pStyle w:val="Normal"/>
        <w:spacing w:lineRule="auto" w:line="240"/>
        <w:ind w:firstLine="312" w:end="0"/>
        <w:rPr/>
      </w:pPr>
      <w:r>
        <w:rPr>
          <w:rFonts w:eastAsia="Times New Roman" w:cs="Times New Roman" w:ascii="Times New Roman" w:hAnsi="Times New Roman"/>
          <w:sz w:val="21"/>
          <w:vertAlign w:val="superscript"/>
        </w:rPr>
        <w:t>6</w:t>
      </w:r>
      <w:r>
        <w:rPr>
          <w:rFonts w:eastAsia="Times New Roman" w:cs="Times New Roman" w:ascii="Times New Roman" w:hAnsi="Times New Roman"/>
          <w:sz w:val="17"/>
        </w:rPr>
        <w:t>In the case where customs unions or common markets are parties to a dispute, this provision applies to citizens of all member countries of the customs unions or common markets.</w:t>
      </w:r>
    </w:p>
    <w:p>
      <w:pPr>
        <w:pStyle w:val="Normal"/>
        <w:spacing w:lineRule="atLeast" w:line="0"/>
        <w:rPr>
          <w:rFonts w:ascii="Times New Roman" w:hAnsi="Times New Roman" w:eastAsia="Times New Roman" w:cs="Times New Roman"/>
          <w:sz w:val="21"/>
        </w:rPr>
      </w:pPr>
      <w:bookmarkStart w:id="7" w:name="page8"/>
      <w:bookmarkEnd w:id="7"/>
      <w:r>
        <w:drawing>
          <wp:anchor behindDoc="1" distT="0" distB="0" distL="114935" distR="114935" simplePos="0" locked="0" layoutInCell="0" allowOverlap="1" relativeHeight="15">
            <wp:simplePos x="0" y="0"/>
            <wp:positionH relativeFrom="page">
              <wp:posOffset>2755900</wp:posOffset>
            </wp:positionH>
            <wp:positionV relativeFrom="page">
              <wp:posOffset>76200</wp:posOffset>
            </wp:positionV>
            <wp:extent cx="2101850" cy="355600"/>
            <wp:effectExtent l="0" t="0" r="0" b="0"/>
            <wp:wrapNone/>
            <wp:docPr id="14"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 descr="" title=""/>
                    <pic:cNvPicPr>
                      <a:picLocks noChangeAspect="1" noChangeArrowheads="1"/>
                    </pic:cNvPicPr>
                  </pic:nvPicPr>
                  <pic:blipFill>
                    <a:blip r:embed="rId9"/>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9</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Procedures for Multiple Complainants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7"/>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Where more than one Member requests the establishment of a panel related to the same matter, a single panel may be established to examine these complaints taking into account the rights of all Members concerned. A single panel should be established to examine such complaints whenever feasible.</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7"/>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single panel shall organize its examination and present its findings to the DSB in such a manner that the rights which the parties to the dispute would have enjoyed had separate panels examined the complaints are in no way impaired. If one of the parties to the dispute so requests, the panel shall submit separate reports on the dispute concerned. The written submissions by each of the complainants shall be made available to the other complainants, and each complainant shall have the right to be present when any one of the other complainants presents its views to the panel.</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7"/>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If more than one panel is established to examine the complaints related to the same matter, to the greatest extent possible the same persons shall serve as panelists on each of the separate panels and the timetable for the panel process in such disputes shall be harmonized.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10</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Third Parties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8"/>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interests of the parties to a dispute and those of other Members under a covered agreement at issue in the dispute shall be fully taken into account during the panel process.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Any Member having a substantial interest in a matter before a panel and having notified its interest to the DSB (referred to in this Understanding as a "third party") shall have an opportunity to be heard by the panel and to make written submissions to the panel. These submissions shall also be given to the parties to the dispute and shall be reflected in the panel report.</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Third parties shall receive the submissions of the parties to the dispute to the first meeting of the panel.</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8"/>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If a third party considers that a measure already the subject of a panel proceeding nullifies or impairs benefits accruing to it under any covered agreement, that Member may have recourse to normal dispute settlement procedures under this Understanding. Such a dispute shall be referred to the original panel wherever possible.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11</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Function of Panels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spacing w:lineRule="auto" w:line="259"/>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The function of panels is to assist the DSB in discharging its responsibilities under this Understanding and the covered agreements. Accordingly, a panel should make an objective assessment of the matter before it, including an objective assessment of the facts of the case and the applicability of and conformity with the relevant covered agreements, and make such other findings as will assist the DSB in making the recommendations or in giving the rulings provided for in the covered agreements. Panels should consult regularly with the parties to the dispute and give them adequate opportunity to develop a mutually satisfactory solution.</w:t>
      </w:r>
    </w:p>
    <w:p>
      <w:pPr>
        <w:pStyle w:val="Normal"/>
        <w:spacing w:lineRule="atLeast" w:line="0"/>
        <w:ind w:start="8200" w:end="0"/>
        <w:rPr>
          <w:rFonts w:ascii="Times New Roman" w:hAnsi="Times New Roman" w:eastAsia="Times New Roman" w:cs="Times New Roman"/>
          <w:sz w:val="21"/>
        </w:rPr>
      </w:pPr>
      <w:bookmarkStart w:id="8" w:name="page9"/>
      <w:bookmarkEnd w:id="8"/>
      <w:r>
        <w:drawing>
          <wp:anchor behindDoc="1" distT="0" distB="0" distL="114935" distR="114935" simplePos="0" locked="0" layoutInCell="0" allowOverlap="1" relativeHeight="16">
            <wp:simplePos x="0" y="0"/>
            <wp:positionH relativeFrom="page">
              <wp:posOffset>2755900</wp:posOffset>
            </wp:positionH>
            <wp:positionV relativeFrom="page">
              <wp:posOffset>76200</wp:posOffset>
            </wp:positionV>
            <wp:extent cx="2101850" cy="355600"/>
            <wp:effectExtent l="0" t="0" r="0" b="0"/>
            <wp:wrapNone/>
            <wp:docPr id="15"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 descr="" title=""/>
                    <pic:cNvPicPr>
                      <a:picLocks noChangeAspect="1" noChangeArrowheads="1"/>
                    </pic:cNvPicPr>
                  </pic:nvPicPr>
                  <pic:blipFill>
                    <a:blip r:embed="rId10"/>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12</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Panel Procedures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19"/>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Panels shall follow the Working Procedures in Appendix 3 unless the panel decides otherwise after consulting the parties to the dispute.</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 procedures should provide sufficient flexibility so as to ensure high-quality panel reports, while not unduly delaying the panel process.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After consulting the parties to the dispute, the panelists shall, as soon as practicable and whenever possible within one week after the composition and terms of reference of the panel have been agreed upon, fix the timetable for the panel process, taking into account the provisions of paragraph 9 of Article 4, if relevant.</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In determining the timetable for the panel process, the panel shall provide sufficient time for the parties to the dispute to prepare their submissions.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Panels should set precise deadlines for written submissions by the parties and the parties should respect those deadlines.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Each party to the dispute shall deposit its written submissions with the Secretariat for immediate transmission to the panel and to the other party or parties to the dispute. The complaining party shall submit its first submission in advance of the responding party's first submission unless the panel decides, in fixing the timetable referred to in paragraph 3 and after consultations with the parties to the dispute, that the parties should submit their first submissions simultaneously. When there are sequential arrangements for the deposit of first submissions, the panel shall establish a firm time-period for receipt of the responding party's submission. Any subsequent written submissions shall be submitted simultaneously.</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Where the parties to the dispute have failed to develop a mutually satisfactory solution, the panel shall submit its findings in the form of a written report to the DSB. In such cases, the report of a panel shall set out the findings of fact, the applicability of relevant provisions and the basic rationale behind any findings and recommendations that it makes. Where a settlement of the matter among the parties to the dispute has been found, the report of the panel shall be confined to a brief description of the case and to reporting that a solution has been reached.</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In order to make the procedures more efficient, the period in which the panel shall conduct its examination, from the date that the composition and terms of reference of the panel have been agreed upon until the date the final report is issued to the parties to the dispute, shall, as a general rule, not exceed six months. In cases of urgency, including those relating to perishable goods, the panel shall aim to issue its report to the parties to the dispute within three months.</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19"/>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When the panel considers that it cannot issue its report within six months, or within three months in cases of urgency, it shall inform the DSB in writing of the reasons for the delay together with an estimate of the period within which it will issue its report. In no case should the period from the establishment of the panel to the circulation of the report to the Members exceed nine months.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088"/>
          <w:pgNumType w:fmt="decimal"/>
          <w:formProt w:val="false"/>
          <w:textDirection w:val="lrTb"/>
          <w:docGrid w:type="default" w:linePitch="360" w:charSpace="0"/>
        </w:sectPr>
        <w:pStyle w:val="Normal"/>
        <w:numPr>
          <w:ilvl w:val="0"/>
          <w:numId w:val="19"/>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In the context of consultations involving a measure taken by a developing country Member, the parties may agree to extend the periods established in paragraphs 7 and 8 of Article 4. If, after the relevant period has elapsed, the consulting parties cannot agree that the consultations have concluded, the Chairman of the DSB shall decide, after consultation with the parties, whether to extend the relevant period and, if so, for how long. In addition, in examining a complaint against a developing country</w:t>
      </w:r>
    </w:p>
    <w:p>
      <w:pPr>
        <w:pStyle w:val="Normal"/>
        <w:spacing w:lineRule="atLeast" w:line="0"/>
        <w:rPr>
          <w:rFonts w:ascii="Times New Roman" w:hAnsi="Times New Roman" w:eastAsia="Times New Roman" w:cs="Times New Roman"/>
          <w:sz w:val="21"/>
        </w:rPr>
      </w:pPr>
      <w:bookmarkStart w:id="9" w:name="page10"/>
      <w:bookmarkEnd w:id="9"/>
      <w:r>
        <w:drawing>
          <wp:anchor behindDoc="1" distT="0" distB="0" distL="114935" distR="114935" simplePos="0" locked="0" layoutInCell="0" allowOverlap="1" relativeHeight="17">
            <wp:simplePos x="0" y="0"/>
            <wp:positionH relativeFrom="page">
              <wp:posOffset>2755900</wp:posOffset>
            </wp:positionH>
            <wp:positionV relativeFrom="page">
              <wp:posOffset>76200</wp:posOffset>
            </wp:positionV>
            <wp:extent cx="2101850" cy="355600"/>
            <wp:effectExtent l="0" t="0" r="0" b="0"/>
            <wp:wrapNone/>
            <wp:docPr id="16"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 descr="" title=""/>
                    <pic:cNvPicPr>
                      <a:picLocks noChangeAspect="1" noChangeArrowheads="1"/>
                    </pic:cNvPicPr>
                  </pic:nvPicPr>
                  <pic:blipFill>
                    <a:blip r:embed="rId11"/>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Member, the panel shall accord sufficient time for the developing country Member to prepare and present its argumentation. The provisions of paragraph 1 of Article 20 and paragraph 4 of Article 21 are not affected by any action pursuant to this paragraph.</w:t>
      </w:r>
    </w:p>
    <w:p>
      <w:pPr>
        <w:pStyle w:val="Normal"/>
        <w:spacing w:lineRule="exact" w:line="22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0"/>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Where one or more of the parties is a developing country Member, the panel's report shall explicitly indicate the form in which account has been taken of relevant provisions on differential and more-favourable treatment for developing country Members that form part of the covered agreements which have been raised by the developing country Member in the course of the dispute settlement procedures.</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0"/>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The panel may suspend its work at any time at the request of the complaining party for a period not to exceed 12 months. In the event of such a suspension, the time-frames set out in paragraphs</w:t>
      </w:r>
    </w:p>
    <w:p>
      <w:pPr>
        <w:pStyle w:val="Normal"/>
        <w:numPr>
          <w:ilvl w:val="0"/>
          <w:numId w:val="21"/>
        </w:numPr>
        <w:tabs>
          <w:tab w:val="clear" w:pos="720"/>
          <w:tab w:val="left" w:pos="187"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and 9 of this Article, paragraph 1 of Article 20, and paragraph 4 of Article 21 shall be extended by the amount of time that the work was suspended. If the work of the panel has been suspended for more than 12 months, the authority for establishment of the panel shall lapse.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13</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Right to Seek Information</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2"/>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Each panel shall have the right to seek information and technical advice from any individual or body which it deems appropriate. However, before a panel seeks such information or advice from any individual or body within the jurisdiction of a Member it shall inform the authorities of that Member. A Member should respond promptly and fully to any request by a panel for such information as the panel considers necessary and appropriate. Confidential information which is provided shall not be revealed without formal authorization from the individual, body, or authorities of the Member providing the information.</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2"/>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Panels may seek information from any relevant source and may consult experts to obtain their opinion on certain aspects of the matter. With respect to a factual issue concerning a scientific or other technical matter raised by a party to a dispute, a panel may request an advisory report in writing from an expert review group. Rules for the establishment of such a group and its procedures are set forth in Appendix 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14</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Confidentiality</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3"/>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Panel deliberations shall be confidential.</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3"/>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reports of panels shall be drafted without the presence of the parties to the dispute in the light of the information provided and the statements made.</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numPr>
          <w:ilvl w:val="0"/>
          <w:numId w:val="23"/>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Opinions expressed in the panel report by individual panelists shall be anonymous.</w:t>
      </w:r>
    </w:p>
    <w:p>
      <w:pPr>
        <w:pStyle w:val="Normal"/>
        <w:spacing w:lineRule="atLeast" w:line="0"/>
        <w:ind w:start="8200" w:end="0"/>
        <w:rPr>
          <w:rFonts w:ascii="Times New Roman" w:hAnsi="Times New Roman" w:eastAsia="Times New Roman" w:cs="Times New Roman"/>
          <w:sz w:val="21"/>
        </w:rPr>
      </w:pPr>
      <w:bookmarkStart w:id="10" w:name="page11"/>
      <w:bookmarkEnd w:id="10"/>
      <w:r>
        <w:drawing>
          <wp:anchor behindDoc="1" distT="0" distB="0" distL="114935" distR="114935" simplePos="0" locked="0" layoutInCell="0" allowOverlap="1" relativeHeight="18">
            <wp:simplePos x="0" y="0"/>
            <wp:positionH relativeFrom="page">
              <wp:posOffset>2755900</wp:posOffset>
            </wp:positionH>
            <wp:positionV relativeFrom="page">
              <wp:posOffset>76200</wp:posOffset>
            </wp:positionV>
            <wp:extent cx="2101850" cy="355600"/>
            <wp:effectExtent l="0" t="0" r="0" b="0"/>
            <wp:wrapNone/>
            <wp:docPr id="17"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 descr="" title=""/>
                    <pic:cNvPicPr>
                      <a:picLocks noChangeAspect="1" noChangeArrowheads="1"/>
                    </pic:cNvPicPr>
                  </pic:nvPicPr>
                  <pic:blipFill>
                    <a:blip r:embed="rId12"/>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363</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15</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Interim Review Stage</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4"/>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Following the consideration of rebuttal submissions and oral arguments, the panel shall issue the descriptive (factual and argument) sections of its draft report to the parties to the dispute. Within a period of time set by the panel, the parties shall submit their comments in writing.</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4"/>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Following the expiration of the set period of time for receipt of comments from the parties to the dispute, the panel shall issue an interim report to the parties, including both the descriptive sections and the panel's findings and conclusions. Within a period of time set by the panel, a party may submit a written request for the panel to review precise aspects of the interim report prior to circulation of the final report to the Members. At the request of a party, the panel shall hold a further meeting with the parties on the issues identified in the written comments. If no comments are received from any party within the comment period, the interim report shall be considered the final panel report and circulated promptly to the Members.</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4"/>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The findings of the final panel report shall include a discussion of the arguments made at the interim review stage. The interim review stage shall be conducted within the time-period set out in paragraph 8 of Article 12.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16</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doption of Panel Reports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5"/>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In order to provide sufficient time for the Members to consider panel reports, the reports shall not be considered for adoption by the DSB until 20 days after the date they have been circulated to the Members.</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5"/>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Members having objections to a panel report shall give written reasons to explain their objections for circulation at least 10 days prior to the DSB meeting at which the panel report will be considered.</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5"/>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parties to a dispute shall have the right to participate fully in the consideration of the panel report by the DSB, and their views shall be fully recorded.</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5"/>
        </w:numPr>
        <w:tabs>
          <w:tab w:val="left" w:pos="720" w:leader="none"/>
        </w:tabs>
        <w:spacing w:lineRule="auto" w:line="252"/>
        <w:jc w:val="both"/>
        <w:rPr>
          <w:rFonts w:ascii="Times New Roman" w:hAnsi="Times New Roman" w:eastAsia="Times New Roman" w:cs="Times New Roman"/>
          <w:sz w:val="21"/>
        </w:rPr>
      </w:pPr>
      <w:r>
        <w:rPr>
          <w:rFonts w:eastAsia="Times New Roman" w:cs="Times New Roman" w:ascii="Times New Roman" w:hAnsi="Times New Roman"/>
          <w:sz w:val="21"/>
        </w:rPr>
        <w:t>Within 60 days after the date of circulation of a panel report to the Members, the report shall be adopted at a DSB meeting</w:t>
      </w:r>
      <w:r>
        <w:rPr>
          <w:rFonts w:eastAsia="Times New Roman" w:cs="Times New Roman" w:ascii="Times New Roman" w:hAnsi="Times New Roman"/>
          <w:sz w:val="24"/>
          <w:vertAlign w:val="superscript"/>
        </w:rPr>
        <w:t>7</w:t>
      </w:r>
      <w:r>
        <w:rPr>
          <w:rFonts w:eastAsia="Times New Roman" w:cs="Times New Roman" w:ascii="Times New Roman" w:hAnsi="Times New Roman"/>
          <w:sz w:val="21"/>
        </w:rPr>
        <w:t xml:space="preserve"> unless a party to the dispute formally notifies the DSB of its decision to appeal or the DSB decides by consensus not to adopt the report. If a party has notified its decision to appeal, the report by the panel shall not be considered for adoption by the DSB until after completion of the appeal. This adoption procedure is without prejudice to the right of Members to express their views on a panel report.</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1529080</wp:posOffset>
                </wp:positionV>
                <wp:extent cx="1837690" cy="0"/>
                <wp:effectExtent l="0" t="3175" r="0" b="3175"/>
                <wp:wrapNone/>
                <wp:docPr id="18"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20.4pt" to="144.65pt,120.4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2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0"/>
        <w:ind w:firstLine="312" w:end="0"/>
        <w:rPr/>
      </w:pPr>
      <w:r>
        <w:rPr>
          <w:rFonts w:eastAsia="Times New Roman" w:cs="Times New Roman" w:ascii="Times New Roman" w:hAnsi="Times New Roman"/>
          <w:sz w:val="21"/>
          <w:vertAlign w:val="superscript"/>
        </w:rPr>
        <w:t>7</w:t>
      </w:r>
      <w:r>
        <w:rPr>
          <w:rFonts w:eastAsia="Times New Roman" w:cs="Times New Roman" w:ascii="Times New Roman" w:hAnsi="Times New Roman"/>
          <w:sz w:val="17"/>
        </w:rPr>
        <w:t>If a meeting of the DSB is not scheduled within this period at a time that enables the requirements of paragraphs 1 and 4 of Article 16 to be met, a meeting of the DSB shall be held for this purpose.</w:t>
      </w:r>
    </w:p>
    <w:p>
      <w:pPr>
        <w:sectPr>
          <w:type w:val="continuous"/>
          <w:pgSz w:w="11906" w:h="16838"/>
          <w:pgMar w:left="1440" w:right="1440" w:gutter="0" w:header="0" w:top="669" w:footer="0" w:bottom="92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1"/>
        </w:rPr>
      </w:pPr>
      <w:bookmarkStart w:id="11" w:name="page12"/>
      <w:bookmarkEnd w:id="11"/>
      <w:r>
        <w:drawing>
          <wp:anchor behindDoc="1" distT="0" distB="0" distL="114935" distR="114935" simplePos="0" locked="0" layoutInCell="0" allowOverlap="1" relativeHeight="20">
            <wp:simplePos x="0" y="0"/>
            <wp:positionH relativeFrom="page">
              <wp:posOffset>2755900</wp:posOffset>
            </wp:positionH>
            <wp:positionV relativeFrom="page">
              <wp:posOffset>76200</wp:posOffset>
            </wp:positionV>
            <wp:extent cx="2101850" cy="355600"/>
            <wp:effectExtent l="0" t="0" r="0" b="0"/>
            <wp:wrapNone/>
            <wp:docPr id="19"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2" descr="" title=""/>
                    <pic:cNvPicPr>
                      <a:picLocks noChangeAspect="1" noChangeArrowheads="1"/>
                    </pic:cNvPicPr>
                  </pic:nvPicPr>
                  <pic:blipFill>
                    <a:blip r:embed="rId13"/>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17</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ppellate Review</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t>Standing A ppellate Body</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6"/>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 standing Appellate Body shall be established by the DSB. The Appellate Body shall hear appeals from panel cases. It shall be composed of seven persons, three of whom shall serve on any one case. Persons serving on the Appellate Body shall serve in rotation. Such rotation shall be determined in the working procedures of the Appellate Body.</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The DSB shall appoint persons to serve on the Appellate Body for a four-year term, and each person may be reappointed once. However, the terms of three of the seven persons appointed immediately after the entry into force of the WTO Agreement shall expire at the end of two years, to be determined by lot. Vacancies shall be filled as they arise. A person appointed to replace a person whose term of office has not expired shall hold office for the remainder of the predecessor's term.</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Appellate Body shall comprise persons of recognized authority, with demonstrated expertise in law, international trade and the subject matter of the covered agreements generally. They shall be unaffiliated with any government. The Appellate Body membership shall be broadly representative of membership in the WTO. All persons serving on the Appellate Body shall be available at all times and on short notice, and shall stay abreast of dispute settlement activities and other relevant activities of the WTO. They shall not participate in the consideration of any disputes that would create a direct or indirect conflict of interest.</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Only parties to the dispute, not third parties, may appeal a panel report. Third parties which have notified the DSB of a substantial interest in the matter pursuant to paragraph 2 of Article 10 may make written submissions to, and be given an opportunity to be heard by, the Appellate Body.</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As a general rule, the proceedings shall not exceed 60 days from the date a party to the dispute formally notifies its decision to appeal to the date the Appellate Body circulates its report. In fixing its timetable the Appellate Body shall take into account the provisions of paragraph 9 of Article 4, if relevant. When the Appellate Body considers that it cannot provide its report within 60 days, it shall inform the DSB in writing of the reasons for the delay together with an estimate of the period within which it will submit its report. In no case shall the proceedings exceed 90 days.</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An appeal shall be limited to issues of law covered in the panel report and legal interpretations developed by the panel.</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Appellate Body shall be provided with appropriate administrative and legal support as it requires.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6"/>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The expenses of persons serving on the Appellate Body, including travel and subsistence allowance, shall be met from the WTO budget in accordance with criteria to be adopted by the General Council, based on recommendations of the Committee on Budget, Finance and Administration.</w:t>
      </w:r>
    </w:p>
    <w:p>
      <w:pPr>
        <w:pStyle w:val="Normal"/>
        <w:spacing w:lineRule="exact" w:line="2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t>Procedures for A ppellate Review</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numPr>
          <w:ilvl w:val="0"/>
          <w:numId w:val="27"/>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Working procedures shall be drawn up by the Appellate Body in consultation with the Chairman of the DSB and the Director-General, and communicated to the Members for their information.</w:t>
      </w:r>
    </w:p>
    <w:p>
      <w:pPr>
        <w:pStyle w:val="Normal"/>
        <w:spacing w:lineRule="atLeast" w:line="0"/>
        <w:ind w:start="8200" w:end="0"/>
        <w:rPr>
          <w:rFonts w:ascii="Times New Roman" w:hAnsi="Times New Roman" w:eastAsia="Times New Roman" w:cs="Times New Roman"/>
          <w:sz w:val="21"/>
        </w:rPr>
      </w:pPr>
      <w:bookmarkStart w:id="12" w:name="page13"/>
      <w:bookmarkEnd w:id="12"/>
      <w:r>
        <w:drawing>
          <wp:anchor behindDoc="1" distT="0" distB="0" distL="114935" distR="114935" simplePos="0" locked="0" layoutInCell="0" allowOverlap="1" relativeHeight="21">
            <wp:simplePos x="0" y="0"/>
            <wp:positionH relativeFrom="page">
              <wp:posOffset>2755900</wp:posOffset>
            </wp:positionH>
            <wp:positionV relativeFrom="page">
              <wp:posOffset>76200</wp:posOffset>
            </wp:positionV>
            <wp:extent cx="2101850" cy="355600"/>
            <wp:effectExtent l="0" t="0" r="0" b="0"/>
            <wp:wrapNone/>
            <wp:docPr id="20"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 descr="" title=""/>
                    <pic:cNvPicPr>
                      <a:picLocks noChangeAspect="1" noChangeArrowheads="1"/>
                    </pic:cNvPicPr>
                  </pic:nvPicPr>
                  <pic:blipFill>
                    <a:blip r:embed="rId14"/>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The proceedings of the Appellate Body shall be confidential. The reports of the Appellate Body shall be drafted without the presence of the parties to the dispute and in the light of the information provided and the statements made.</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8"/>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Opinions expressed in the Appellate Body report by individuals serving on the Appellate Body shall be anonymous.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8"/>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Appellate Body shall address each of the issues raised in accordance with paragraph 6 during the appellate proceeding.</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28"/>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The Appellate Body may uphold, modify or reverse the legal findings and conclusions of the</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panel.</w:t>
      </w: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i/>
          <w:i/>
          <w:sz w:val="21"/>
        </w:rPr>
      </w:pPr>
      <w:r>
        <w:rPr>
          <w:rFonts w:eastAsia="Times New Roman" w:cs="Times New Roman" w:ascii="Times New Roman" w:hAnsi="Times New Roman"/>
          <w:i/>
          <w:sz w:val="21"/>
        </w:rPr>
        <w:t>A doption of A ppellate Body Reports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29"/>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An Appellate Body report shall be adopted by the DSB and unconditionally accepted by the parties to the dispute unless the DSB decides by consensus not to adopt the Appellate Body report within</w:t>
      </w:r>
    </w:p>
    <w:p>
      <w:pPr>
        <w:pStyle w:val="Normal"/>
        <w:numPr>
          <w:ilvl w:val="0"/>
          <w:numId w:val="30"/>
        </w:numPr>
        <w:tabs>
          <w:tab w:val="clear" w:pos="720"/>
          <w:tab w:val="left" w:pos="279" w:leader="none"/>
        </w:tabs>
        <w:spacing w:lineRule="atLeast" w:line="0"/>
        <w:rPr>
          <w:rFonts w:ascii="Times New Roman" w:hAnsi="Times New Roman" w:eastAsia="Times New Roman" w:cs="Times New Roman"/>
          <w:sz w:val="21"/>
        </w:rPr>
      </w:pPr>
      <w:r>
        <w:rPr>
          <w:rFonts w:eastAsia="Times New Roman" w:cs="Times New Roman" w:ascii="Times New Roman" w:hAnsi="Times New Roman"/>
          <w:sz w:val="21"/>
        </w:rPr>
        <w:t>days following its circulation to the Members.</w:t>
      </w:r>
      <w:r>
        <w:rPr>
          <w:rFonts w:eastAsia="Times New Roman" w:cs="Times New Roman" w:ascii="Times New Roman" w:hAnsi="Times New Roman"/>
          <w:sz w:val="24"/>
          <w:vertAlign w:val="superscript"/>
        </w:rPr>
        <w:t>8</w:t>
      </w:r>
      <w:r>
        <w:rPr>
          <w:rFonts w:eastAsia="Times New Roman" w:cs="Times New Roman" w:ascii="Times New Roman" w:hAnsi="Times New Roman"/>
          <w:sz w:val="21"/>
        </w:rPr>
        <w:t xml:space="preserve"> This adoption procedure is without prejudice to the right of Members to express their views on an Appellate Body report.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18</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Communications with the Panel or A ppellate Body</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31"/>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 xml:space="preserve">There shall be no </w:t>
      </w:r>
      <w:r>
        <w:rPr>
          <w:rFonts w:eastAsia="Times New Roman" w:cs="Times New Roman" w:ascii="Times New Roman" w:hAnsi="Times New Roman"/>
          <w:i/>
          <w:sz w:val="21"/>
        </w:rPr>
        <w:t>ex parte</w:t>
      </w:r>
      <w:r>
        <w:rPr>
          <w:rFonts w:eastAsia="Times New Roman" w:cs="Times New Roman" w:ascii="Times New Roman" w:hAnsi="Times New Roman"/>
          <w:sz w:val="21"/>
        </w:rPr>
        <w:t xml:space="preserve"> communications with the panel or Appellate Body concerning matters under consideration by the panel or Appellate Body.</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1"/>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Written submissions to the panel or the Appellate Body shall be treated as confidential, but shall be made available to the parties to the dispute. Nothing in this Understanding shall preclude a party to a dispute from disclosing statements of its own positions to the public. Members shall treat as confidential information submitted by another Member to the panel or the Appellate Body which that Member has designated as confidential. A party to a dispute shall also, upon request of a Member, provide a non-confidential summary of the information contained in its written submissions that could be disclosed to the public.</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19</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Panel and A ppellate Body Recommendations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32"/>
        </w:numPr>
        <w:tabs>
          <w:tab w:val="left" w:pos="720" w:leader="none"/>
        </w:tabs>
        <w:spacing w:lineRule="auto" w:line="240"/>
        <w:jc w:val="both"/>
        <w:rPr>
          <w:rFonts w:ascii="Times New Roman" w:hAnsi="Times New Roman" w:eastAsia="Times New Roman" w:cs="Times New Roman"/>
          <w:sz w:val="21"/>
        </w:rPr>
      </w:pPr>
      <w:r>
        <w:rPr>
          <w:rFonts w:eastAsia="Times New Roman" w:cs="Times New Roman" w:ascii="Times New Roman" w:hAnsi="Times New Roman"/>
          <w:sz w:val="21"/>
        </w:rPr>
        <w:t>Where a panel or the Appellate Body concludes that a measure is inconsistent with a covered agreement, it shall recommend that the Member concerned</w:t>
      </w:r>
      <w:r>
        <w:rPr>
          <w:rFonts w:eastAsia="Times New Roman" w:cs="Times New Roman" w:ascii="Times New Roman" w:hAnsi="Times New Roman"/>
          <w:sz w:val="24"/>
          <w:vertAlign w:val="superscript"/>
        </w:rPr>
        <w:t>9</w:t>
      </w:r>
      <w:r>
        <w:rPr>
          <w:rFonts w:eastAsia="Times New Roman" w:cs="Times New Roman" w:ascii="Times New Roman" w:hAnsi="Times New Roman"/>
          <w:sz w:val="21"/>
        </w:rPr>
        <w:t xml:space="preserve"> bring the measure into conformity with that agreement.</w:t>
      </w:r>
      <w:r>
        <w:rPr>
          <w:rFonts w:eastAsia="Times New Roman" w:cs="Times New Roman" w:ascii="Times New Roman" w:hAnsi="Times New Roman"/>
          <w:sz w:val="24"/>
          <w:vertAlign w:val="superscript"/>
        </w:rPr>
        <w:t>10</w:t>
      </w:r>
      <w:r>
        <w:rPr>
          <w:rFonts w:eastAsia="Times New Roman" w:cs="Times New Roman" w:ascii="Times New Roman" w:hAnsi="Times New Roman"/>
          <w:sz w:val="21"/>
        </w:rPr>
        <w:t xml:space="preserve"> In addition to its recommendations, the panel or Appellate Body may suggest ways in which the Member concerned could implement the recommendations.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626110</wp:posOffset>
                </wp:positionV>
                <wp:extent cx="1837690" cy="0"/>
                <wp:effectExtent l="0" t="3175" r="0" b="3175"/>
                <wp:wrapNone/>
                <wp:docPr id="21"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49.3pt" to="144.65pt,49.3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21"/>
          <w:vertAlign w:val="superscript"/>
        </w:rPr>
        <w:t>8</w:t>
      </w:r>
      <w:r>
        <w:rPr>
          <w:rFonts w:eastAsia="Times New Roman" w:cs="Times New Roman" w:ascii="Times New Roman" w:hAnsi="Times New Roman"/>
          <w:sz w:val="17"/>
        </w:rPr>
        <w:t>If a meeting of the DSB is not scheduled during this period, such a meeting of the DSB shall be held for this purpose.</w:t>
      </w:r>
    </w:p>
    <w:p>
      <w:pPr>
        <w:pStyle w:val="Normal"/>
        <w:spacing w:lineRule="exact" w:line="21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320" w:end="0"/>
        <w:rPr/>
      </w:pPr>
      <w:r>
        <w:rPr>
          <w:rFonts w:eastAsia="Times New Roman" w:cs="Times New Roman" w:ascii="Times New Roman" w:hAnsi="Times New Roman"/>
          <w:sz w:val="21"/>
          <w:vertAlign w:val="superscript"/>
        </w:rPr>
        <w:t>9</w:t>
      </w:r>
      <w:r>
        <w:rPr>
          <w:rFonts w:eastAsia="Times New Roman" w:cs="Times New Roman" w:ascii="Times New Roman" w:hAnsi="Times New Roman"/>
          <w:sz w:val="17"/>
        </w:rPr>
        <w:t>The "Member concerned" is the party to the dispute to which the panel or Appellate Body recommendations are directed.</w:t>
      </w:r>
    </w:p>
    <w:p>
      <w:pPr>
        <w:pStyle w:val="Normal"/>
        <w:spacing w:lineRule="exact" w:line="219"/>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1906" w:h="16838"/>
          <w:pgMar w:left="1440" w:right="1440" w:gutter="0" w:header="0" w:top="669" w:footer="0" w:bottom="923"/>
          <w:pgNumType w:fmt="decimal"/>
          <w:formProt w:val="false"/>
          <w:textDirection w:val="lrTb"/>
          <w:docGrid w:type="default" w:linePitch="360" w:charSpace="0"/>
        </w:sectPr>
        <w:pStyle w:val="Normal"/>
        <w:spacing w:lineRule="auto" w:line="240"/>
        <w:ind w:firstLine="312" w:end="0"/>
        <w:rPr/>
      </w:pPr>
      <w:r>
        <w:rPr>
          <w:rFonts w:eastAsia="Times New Roman" w:cs="Times New Roman" w:ascii="Times New Roman" w:hAnsi="Times New Roman"/>
          <w:sz w:val="21"/>
          <w:vertAlign w:val="superscript"/>
        </w:rPr>
        <w:t>10</w:t>
      </w:r>
      <w:r>
        <w:rPr>
          <w:rFonts w:eastAsia="Times New Roman" w:cs="Times New Roman" w:ascii="Times New Roman" w:hAnsi="Times New Roman"/>
          <w:sz w:val="17"/>
        </w:rPr>
        <w:t>With respect to recommendations in cases not involving a violation of GATT 1994 or any other covered agreement, see Article 26.</w:t>
      </w:r>
    </w:p>
    <w:p>
      <w:pPr>
        <w:pStyle w:val="Normal"/>
        <w:spacing w:lineRule="atLeast" w:line="0"/>
        <w:rPr>
          <w:rFonts w:ascii="Times New Roman" w:hAnsi="Times New Roman" w:eastAsia="Times New Roman" w:cs="Times New Roman"/>
          <w:sz w:val="21"/>
        </w:rPr>
      </w:pPr>
      <w:bookmarkStart w:id="13" w:name="page14"/>
      <w:bookmarkEnd w:id="13"/>
      <w:r>
        <w:drawing>
          <wp:anchor behindDoc="1" distT="0" distB="0" distL="114935" distR="114935" simplePos="0" locked="0" layoutInCell="0" allowOverlap="1" relativeHeight="23">
            <wp:simplePos x="0" y="0"/>
            <wp:positionH relativeFrom="page">
              <wp:posOffset>2755900</wp:posOffset>
            </wp:positionH>
            <wp:positionV relativeFrom="page">
              <wp:posOffset>76200</wp:posOffset>
            </wp:positionV>
            <wp:extent cx="2101850" cy="355600"/>
            <wp:effectExtent l="0" t="0" r="0" b="0"/>
            <wp:wrapNone/>
            <wp:docPr id="22"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 descr="" title=""/>
                    <pic:cNvPicPr>
                      <a:picLocks noChangeAspect="1" noChangeArrowheads="1"/>
                    </pic:cNvPicPr>
                  </pic:nvPicPr>
                  <pic:blipFill>
                    <a:blip r:embed="rId15"/>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left" w:pos="720" w:leader="none"/>
        </w:tabs>
        <w:spacing w:lineRule="auto" w:line="276"/>
        <w:jc w:val="both"/>
        <w:rPr>
          <w:rFonts w:ascii="Times New Roman" w:hAnsi="Times New Roman" w:eastAsia="Times New Roman" w:cs="Times New Roman"/>
          <w:sz w:val="21"/>
        </w:rPr>
      </w:pPr>
      <w:r>
        <w:rPr>
          <w:rFonts w:eastAsia="Times New Roman" w:cs="Times New Roman" w:ascii="Times New Roman" w:hAnsi="Times New Roman"/>
          <w:sz w:val="21"/>
        </w:rPr>
        <w:t>In accordance with paragraph 2 of Article 3, in their findings and recommendations, the panel and Appellate Body cannot add to or diminish the rights and obligations provided in the covered agreements.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20</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Time-frame for DSB Decisions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59"/>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Unless otherwise agreed to by the parties to the dispute, the period from the date of establishment of the panel by the DSB until the date the DSB considers the panel or appellate report for adoption shall as a general rule not exceed nine months where the panel report is not appealed or 12 months where the report is appealed. Where either the panel or the Appellate Body has acted, pursuant to paragraph 9 of Article 12 or paragraph 5 of Article 17, to extend the time for providing its report, the additional time taken shall be added to the above periods.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21</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Surveillance of Implementation of Recommendations and Rulings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34"/>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Prompt compliance with recommendations or rulings of the DSB is essential in order to ensure effective resolution of disputes to the benefit of all Members.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4"/>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Particular attention should be paid to matters affecting the interests of developing country Members with respect to measures which have been subject to dispute settlement.</w:t>
      </w:r>
    </w:p>
    <w:p>
      <w:pPr>
        <w:pStyle w:val="Normal"/>
        <w:spacing w:lineRule="exact" w:line="21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4"/>
        </w:numPr>
        <w:tabs>
          <w:tab w:val="left" w:pos="720" w:leader="none"/>
        </w:tabs>
        <w:spacing w:lineRule="auto" w:line="252"/>
        <w:jc w:val="both"/>
        <w:rPr>
          <w:rFonts w:ascii="Times New Roman" w:hAnsi="Times New Roman" w:eastAsia="Times New Roman" w:cs="Times New Roman"/>
          <w:sz w:val="21"/>
        </w:rPr>
      </w:pPr>
      <w:r>
        <w:rPr>
          <w:rFonts w:eastAsia="Times New Roman" w:cs="Times New Roman" w:ascii="Times New Roman" w:hAnsi="Times New Roman"/>
          <w:sz w:val="21"/>
        </w:rPr>
        <w:t>At a DSB meeting held within 30 days</w:t>
      </w:r>
      <w:r>
        <w:rPr>
          <w:rFonts w:eastAsia="Times New Roman" w:cs="Times New Roman" w:ascii="Times New Roman" w:hAnsi="Times New Roman"/>
          <w:sz w:val="24"/>
          <w:vertAlign w:val="superscript"/>
        </w:rPr>
        <w:t>11</w:t>
      </w:r>
      <w:r>
        <w:rPr>
          <w:rFonts w:eastAsia="Times New Roman" w:cs="Times New Roman" w:ascii="Times New Roman" w:hAnsi="Times New Roman"/>
          <w:sz w:val="21"/>
        </w:rPr>
        <w:t xml:space="preserve"> after the date of adoption of the panel or Appellate Body report, the Member concerned shall inform the DSB of its intentions in respect of implementation of the recommendations and rulings of the DSB. If it is impracticable to comply immediately with the recommendations and rulings, the Member concerned shall have a reasonable period of time in which to do so. The reasonable period of time shall be:</w:t>
      </w:r>
    </w:p>
    <w:p>
      <w:pPr>
        <w:pStyle w:val="Normal"/>
        <w:spacing w:lineRule="exact" w:line="24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34"/>
        </w:numPr>
        <w:tabs>
          <w:tab w:val="clear" w:pos="720"/>
          <w:tab w:val="left" w:pos="1440" w:leader="none"/>
        </w:tabs>
        <w:spacing w:lineRule="auto" w:line="276"/>
        <w:ind w:hanging="720" w:start="1440" w:end="0"/>
        <w:rPr>
          <w:rFonts w:ascii="Times New Roman" w:hAnsi="Times New Roman" w:eastAsia="Times New Roman" w:cs="Times New Roman"/>
          <w:sz w:val="21"/>
        </w:rPr>
      </w:pPr>
      <w:r>
        <w:rPr>
          <w:rFonts w:eastAsia="Times New Roman" w:cs="Times New Roman" w:ascii="Times New Roman" w:hAnsi="Times New Roman"/>
          <w:sz w:val="21"/>
        </w:rPr>
        <w:t>the period of time proposed by the Member concerned, provided that such period is approved by the DSB; or, in the absence of such approval,</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34"/>
        </w:numPr>
        <w:tabs>
          <w:tab w:val="clear" w:pos="720"/>
          <w:tab w:val="left" w:pos="1440" w:leader="none"/>
        </w:tabs>
        <w:spacing w:lineRule="auto" w:line="276"/>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a period of time mutually agreed by the parties to the dispute within 45 days after the date of adoption of the recommendations and rulings; or, in the absence of such agreement,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34"/>
        </w:numPr>
        <w:tabs>
          <w:tab w:val="clear" w:pos="720"/>
          <w:tab w:val="left" w:pos="1440" w:leader="none"/>
        </w:tabs>
        <w:spacing w:lineRule="auto" w:line="244"/>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a period of time determined through binding arbitration within 90 days after the date of adoption of the recommendations and rulings.</w:t>
      </w:r>
      <w:r>
        <w:rPr>
          <w:rFonts w:eastAsia="Times New Roman" w:cs="Times New Roman" w:ascii="Times New Roman" w:hAnsi="Times New Roman"/>
          <w:sz w:val="24"/>
          <w:vertAlign w:val="superscript"/>
        </w:rPr>
        <w:t>12</w:t>
      </w:r>
      <w:r>
        <w:rPr>
          <w:rFonts w:eastAsia="Times New Roman" w:cs="Times New Roman" w:ascii="Times New Roman" w:hAnsi="Times New Roman"/>
          <w:sz w:val="21"/>
        </w:rPr>
        <w:t xml:space="preserve"> In such arbitration, a guideline for the arbitrator</w:t>
      </w:r>
      <w:r>
        <w:rPr>
          <w:rFonts w:eastAsia="Times New Roman" w:cs="Times New Roman" w:ascii="Times New Roman" w:hAnsi="Times New Roman"/>
          <w:sz w:val="24"/>
          <w:vertAlign w:val="superscript"/>
        </w:rPr>
        <w:t>13</w:t>
      </w:r>
      <w:r>
        <w:rPr>
          <w:rFonts w:eastAsia="Times New Roman" w:cs="Times New Roman" w:ascii="Times New Roman" w:hAnsi="Times New Roman"/>
          <w:sz w:val="21"/>
        </w:rPr>
        <w:t xml:space="preserve"> should be that the reasonable period of time to implement panel or Appellate Body recommendations should not exceed 15 months from the date of adoption of a panel or Appellate Body report. However, that time may be shorter or longer, depending upon the particular circumstances.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4">
                <wp:simplePos x="0" y="0"/>
                <wp:positionH relativeFrom="column">
                  <wp:posOffset>0</wp:posOffset>
                </wp:positionH>
                <wp:positionV relativeFrom="paragraph">
                  <wp:posOffset>294005</wp:posOffset>
                </wp:positionV>
                <wp:extent cx="1837690" cy="0"/>
                <wp:effectExtent l="0" t="3175" r="0" b="3175"/>
                <wp:wrapNone/>
                <wp:docPr id="23"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3.15pt" to="144.65pt,23.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1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21"/>
          <w:vertAlign w:val="superscript"/>
        </w:rPr>
        <w:t>11</w:t>
      </w:r>
      <w:r>
        <w:rPr>
          <w:rFonts w:eastAsia="Times New Roman" w:cs="Times New Roman" w:ascii="Times New Roman" w:hAnsi="Times New Roman"/>
          <w:sz w:val="17"/>
        </w:rPr>
        <w:t>If a meeting of the DSB is not scheduled during this period, such a meeting of the DSB shall be held for this purpose.</w:t>
      </w:r>
    </w:p>
    <w:p>
      <w:pPr>
        <w:pStyle w:val="Normal"/>
        <w:spacing w:lineRule="exact" w:line="219"/>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uto" w:line="240"/>
        <w:ind w:firstLine="312" w:end="0"/>
        <w:rPr/>
      </w:pPr>
      <w:r>
        <w:rPr>
          <w:rFonts w:eastAsia="Times New Roman" w:cs="Times New Roman" w:ascii="Times New Roman" w:hAnsi="Times New Roman"/>
          <w:sz w:val="21"/>
          <w:vertAlign w:val="superscript"/>
        </w:rPr>
        <w:t>12</w:t>
      </w:r>
      <w:r>
        <w:rPr>
          <w:rFonts w:eastAsia="Times New Roman" w:cs="Times New Roman" w:ascii="Times New Roman" w:hAnsi="Times New Roman"/>
          <w:sz w:val="17"/>
        </w:rPr>
        <w:t>If the parties cannot agree on an arbitrator within ten days after referring the matter to arbitration, the arbitrator shall be appointed by the Director-General within ten days, after consulting the parties.</w:t>
      </w:r>
    </w:p>
    <w:p>
      <w:pPr>
        <w:pStyle w:val="Normal"/>
        <w:spacing w:lineRule="exact" w:line="241"/>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1906" w:h="16838"/>
          <w:pgMar w:left="1440" w:right="1440" w:gutter="0" w:header="0" w:top="669" w:footer="0" w:bottom="902"/>
          <w:pgNumType w:fmt="decimal"/>
          <w:formProt w:val="false"/>
          <w:textDirection w:val="lrTb"/>
          <w:docGrid w:type="default" w:linePitch="360" w:charSpace="0"/>
        </w:sectPr>
        <w:pStyle w:val="Normal"/>
        <w:spacing w:lineRule="atLeast" w:line="0"/>
        <w:ind w:start="320" w:end="0"/>
        <w:rPr/>
      </w:pPr>
      <w:r>
        <w:rPr>
          <w:rFonts w:eastAsia="Times New Roman" w:cs="Times New Roman" w:ascii="Times New Roman" w:hAnsi="Times New Roman"/>
          <w:sz w:val="21"/>
          <w:vertAlign w:val="superscript"/>
        </w:rPr>
        <w:t>13</w:t>
      </w:r>
      <w:r>
        <w:rPr>
          <w:rFonts w:eastAsia="Times New Roman" w:cs="Times New Roman" w:ascii="Times New Roman" w:hAnsi="Times New Roman"/>
          <w:sz w:val="17"/>
        </w:rPr>
        <w:t>The expression "arbitrator" shall be interpreted as referring either to an individual or a group.</w:t>
      </w:r>
    </w:p>
    <w:p>
      <w:pPr>
        <w:pStyle w:val="Normal"/>
        <w:spacing w:lineRule="atLeast" w:line="0"/>
        <w:ind w:start="8200" w:end="0"/>
        <w:rPr>
          <w:rFonts w:ascii="Times New Roman" w:hAnsi="Times New Roman" w:eastAsia="Times New Roman" w:cs="Times New Roman"/>
          <w:sz w:val="21"/>
        </w:rPr>
      </w:pPr>
      <w:bookmarkStart w:id="14" w:name="page15"/>
      <w:bookmarkEnd w:id="14"/>
      <w:r>
        <w:drawing>
          <wp:anchor behindDoc="1" distT="0" distB="0" distL="114935" distR="114935" simplePos="0" locked="0" layoutInCell="0" allowOverlap="1" relativeHeight="25">
            <wp:simplePos x="0" y="0"/>
            <wp:positionH relativeFrom="page">
              <wp:posOffset>2755900</wp:posOffset>
            </wp:positionH>
            <wp:positionV relativeFrom="page">
              <wp:posOffset>76200</wp:posOffset>
            </wp:positionV>
            <wp:extent cx="2101850" cy="355600"/>
            <wp:effectExtent l="0" t="0" r="0" b="0"/>
            <wp:wrapNone/>
            <wp:docPr id="24"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5" descr="" title=""/>
                    <pic:cNvPicPr>
                      <a:picLocks noChangeAspect="1" noChangeArrowheads="1"/>
                    </pic:cNvPicPr>
                  </pic:nvPicPr>
                  <pic:blipFill>
                    <a:blip r:embed="rId16"/>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Except where the panel or the Appellate Body has extended, pursuant to paragraph 9 of Article 12 or paragraph 5 of Article 17, the time of providing its report, the period from the date of establishment of the panel by the DSB until the date of determination of the reasonable period of time shall not exceed</w:t>
      </w:r>
    </w:p>
    <w:p>
      <w:pPr>
        <w:pStyle w:val="Normal"/>
        <w:spacing w:lineRule="exact" w:line="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6"/>
        </w:numPr>
        <w:tabs>
          <w:tab w:val="clear" w:pos="720"/>
          <w:tab w:val="left" w:pos="287"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months unless the parties to the dispute agree otherwise. Where either the panel or the Appellate Body has acted to extend the time of providing its report, the additional time taken shall be added to the 15-month period; provided that unless the parties to the dispute agree that there are exceptional circumstances, the total time shall not exceed 18 months.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7"/>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Where there is disagreement as to the existence or consistency with a covered agreement of measures taken to comply with the recommendations and rulings such dispute shall be decided through recourse to these dispute settlement procedures, including wherever possible resort to the original panel. The panel shall circulate its report within 90 days after the date of referral of the matter to it. When the panel considers that it cannot provide its report within this time frame, it shall inform the DSB in writing of the reasons for the delay together with an estimate of the period within which it will submit its report.</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7"/>
        </w:numPr>
        <w:tabs>
          <w:tab w:val="left" w:pos="720" w:leader="none"/>
        </w:tabs>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The DSB shall keep under surveillance the implementation of adopted recommendations or rulings. The issue of implementation of the recommendations or rulings may be raised at the DSB by any Member at any time following their adoption. Unless the DSB decides otherwise, the issue of implementation of the recommendations or rulings shall be placed on the agenda of the DSB meeting after six months following the date of establishment of the reasonable period of time pursuant to paragraph</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8"/>
        </w:numPr>
        <w:tabs>
          <w:tab w:val="clear" w:pos="720"/>
          <w:tab w:val="left" w:pos="166"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and shall remain on the DSB's agenda until the issue is resolved. At least 10 days prior to each such DSB meeting, the Member concerned shall provide the DSB with a status report in writing of its progress in the implementation of the recommendations or rulings.</w:t>
      </w:r>
    </w:p>
    <w:p>
      <w:pPr>
        <w:pStyle w:val="Normal"/>
        <w:spacing w:lineRule="exact" w:line="230"/>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9"/>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If the matter is one which has been raised by a developing country Member, the DSB shall consider what further action it might take which would be appropriate to the circumstances.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39"/>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If the case is one brought by a developing country Member, in considering what appropriate action might be taken, the DSB shall take into account not only the trade coverage of measures complained of, but also their impact on the economy of developing country Members concerned.</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22</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Compensation and the Suspension of Concessions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40"/>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Compensation and the suspension of concessions or other obligations are temporary measures available in the event that the recommendations and rulings are not implemented within a reasonable period of time. However, neither compensation nor the suspension of concessions or other obligations is preferred to full implementation of a recommendation to bring a measure into conformity with the covered agreements. Compensation is voluntary and, if granted, shall be consistent with the covered agreements.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089"/>
          <w:pgNumType w:fmt="decimal"/>
          <w:formProt w:val="false"/>
          <w:textDirection w:val="lrTb"/>
          <w:docGrid w:type="default" w:linePitch="360" w:charSpace="0"/>
        </w:sectPr>
        <w:pStyle w:val="Normal"/>
        <w:numPr>
          <w:ilvl w:val="0"/>
          <w:numId w:val="40"/>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If the Member concerned fails to bring the measure found to be inconsistent with a covered agreement into compliance therewith or otherwise comply with the recommendations and rulings within the reasonable period of time determined pursuant to paragraph 3 of Article 21, such Member shall, if so requested, and no later than the expiry of the reasonable period of time, enter into negotiations with any party having invoked the dispute settlement procedures, with a view to developing mutually acceptable compensation. If no satisfactory compensation has been agreed within 20 days after the date of expiry of the reasonable period of time, any party having invoked the dispute settlement procedures may request authorization from the DSB to suspend the application to the Member concerned of concessions or other obligations under the covered agreements.</w:t>
      </w:r>
    </w:p>
    <w:p>
      <w:pPr>
        <w:pStyle w:val="Normal"/>
        <w:spacing w:lineRule="atLeast" w:line="0"/>
        <w:rPr>
          <w:rFonts w:ascii="Times New Roman" w:hAnsi="Times New Roman" w:eastAsia="Times New Roman" w:cs="Times New Roman"/>
          <w:sz w:val="21"/>
        </w:rPr>
      </w:pPr>
      <w:bookmarkStart w:id="15" w:name="page16"/>
      <w:bookmarkEnd w:id="15"/>
      <w:r>
        <w:drawing>
          <wp:anchor behindDoc="1" distT="0" distB="0" distL="114935" distR="114935" simplePos="0" locked="0" layoutInCell="0" allowOverlap="1" relativeHeight="26">
            <wp:simplePos x="0" y="0"/>
            <wp:positionH relativeFrom="page">
              <wp:posOffset>2755900</wp:posOffset>
            </wp:positionH>
            <wp:positionV relativeFrom="page">
              <wp:posOffset>76200</wp:posOffset>
            </wp:positionV>
            <wp:extent cx="2101850" cy="355600"/>
            <wp:effectExtent l="0" t="0" r="0" b="0"/>
            <wp:wrapNone/>
            <wp:docPr id="25"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6" descr="" title=""/>
                    <pic:cNvPicPr>
                      <a:picLocks noChangeAspect="1" noChangeArrowheads="1"/>
                    </pic:cNvPicPr>
                  </pic:nvPicPr>
                  <pic:blipFill>
                    <a:blip r:embed="rId17"/>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368</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In considering what concessions or other obligations to suspend, the complaining party shall apply the following principles and procedures: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uto" w:line="266"/>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the general principle is that the complaining party should first seek to suspend concessions or other obligations with respect to the same sector(s) as that in which the panel or Appellate Body has found a violation or other nullification or impairment;</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uto" w:line="266"/>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if that party considers that it is not practicable or effective to suspend concessions or other obligations with respect to the same sector(s), it may seek to suspend concessions or other obligations in other sectors under the same agreement;</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uto" w:line="264"/>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if that party considers that it is not practicable or effective to suspend concessions or other obligations with respect to other sectors under the same agreement, and that the circumstances are serious enough, it may seek to suspend concessions or other obligations under another covered agreement;</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tLeast" w:line="0"/>
        <w:ind w:hanging="720" w:start="1440" w:end="0"/>
        <w:rPr>
          <w:rFonts w:ascii="Times New Roman" w:hAnsi="Times New Roman" w:eastAsia="Times New Roman" w:cs="Times New Roman"/>
          <w:sz w:val="21"/>
        </w:rPr>
      </w:pPr>
      <w:r>
        <w:rPr>
          <w:rFonts w:eastAsia="Times New Roman" w:cs="Times New Roman" w:ascii="Times New Roman" w:hAnsi="Times New Roman"/>
          <w:sz w:val="21"/>
        </w:rPr>
        <w:t>in applying the above principles, that party shall take into account:</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uto" w:line="266"/>
        <w:ind w:hanging="720" w:start="2160" w:end="0"/>
        <w:jc w:val="both"/>
        <w:rPr>
          <w:rFonts w:ascii="Times New Roman" w:hAnsi="Times New Roman" w:eastAsia="Times New Roman" w:cs="Times New Roman"/>
          <w:sz w:val="21"/>
        </w:rPr>
      </w:pPr>
      <w:r>
        <w:rPr>
          <w:rFonts w:eastAsia="Times New Roman" w:cs="Times New Roman" w:ascii="Times New Roman" w:hAnsi="Times New Roman"/>
          <w:sz w:val="21"/>
        </w:rPr>
        <w:t>the trade in the sector or under the agreement under which the panel or Appellate Body has found a violation or other nullification or impairment, and the importance of such trade to that party;</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uto" w:line="266"/>
        <w:ind w:hanging="720" w:start="2160" w:end="0"/>
        <w:jc w:val="both"/>
        <w:rPr>
          <w:rFonts w:ascii="Times New Roman" w:hAnsi="Times New Roman" w:eastAsia="Times New Roman" w:cs="Times New Roman"/>
          <w:sz w:val="21"/>
        </w:rPr>
      </w:pPr>
      <w:r>
        <w:rPr>
          <w:rFonts w:eastAsia="Times New Roman" w:cs="Times New Roman" w:ascii="Times New Roman" w:hAnsi="Times New Roman"/>
          <w:sz w:val="21"/>
        </w:rPr>
        <w:t>the broader economic elements related to the nullification or impairment and the broader economic consequences of the suspension of concessions or other obligations;</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uto" w:line="261"/>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if that party decides to request authorization to suspend concessions or other obligations pursuant to subparagraphs (b) or (c), it shall state the reasons therefor in its request. At the same time as the request is forwarded to the DSB, it also shall be forwarded to the relevant Councils and also, in the case of a request pursuant to subparagraph (b), the relevant sectoral bodies;</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tLeast" w:line="0"/>
        <w:ind w:hanging="720" w:start="1440" w:end="0"/>
        <w:rPr>
          <w:rFonts w:ascii="Times New Roman" w:hAnsi="Times New Roman" w:eastAsia="Times New Roman" w:cs="Times New Roman"/>
          <w:sz w:val="21"/>
        </w:rPr>
      </w:pPr>
      <w:r>
        <w:rPr>
          <w:rFonts w:eastAsia="Times New Roman" w:cs="Times New Roman" w:ascii="Times New Roman" w:hAnsi="Times New Roman"/>
          <w:sz w:val="21"/>
        </w:rPr>
        <w:t>for purposes of this paragraph, "sector" means: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tLeast" w:line="0"/>
        <w:ind w:hanging="720" w:start="2160" w:end="0"/>
        <w:rPr>
          <w:rFonts w:ascii="Times New Roman" w:hAnsi="Times New Roman" w:eastAsia="Times New Roman" w:cs="Times New Roman"/>
          <w:sz w:val="21"/>
        </w:rPr>
      </w:pPr>
      <w:r>
        <w:rPr>
          <w:rFonts w:eastAsia="Times New Roman" w:cs="Times New Roman" w:ascii="Times New Roman" w:hAnsi="Times New Roman"/>
          <w:sz w:val="21"/>
        </w:rPr>
        <w:t>with respect to goods, all goods;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uto" w:line="259"/>
        <w:ind w:hanging="720" w:start="2160" w:end="0"/>
        <w:rPr>
          <w:rFonts w:ascii="Times New Roman" w:hAnsi="Times New Roman" w:eastAsia="Times New Roman" w:cs="Times New Roman"/>
          <w:sz w:val="21"/>
        </w:rPr>
      </w:pPr>
      <w:r>
        <w:rPr>
          <w:rFonts w:eastAsia="Times New Roman" w:cs="Times New Roman" w:ascii="Times New Roman" w:hAnsi="Times New Roman"/>
          <w:sz w:val="21"/>
        </w:rPr>
        <w:t>with respect to services, a principal sector as identified in the current "Services Sectoral Classification List" which identifies such sectors;</w:t>
      </w:r>
      <w:r>
        <w:rPr>
          <w:rFonts w:eastAsia="Times New Roman" w:cs="Times New Roman" w:ascii="Times New Roman" w:hAnsi="Times New Roman"/>
          <w:sz w:val="24"/>
          <w:vertAlign w:val="superscript"/>
        </w:rPr>
        <w:t>14</w:t>
      </w:r>
    </w:p>
    <w:p>
      <w:pPr>
        <w:pStyle w:val="Normal"/>
        <w:spacing w:lineRule="exact" w:line="21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uto" w:line="264"/>
        <w:ind w:hanging="720" w:start="2160" w:end="0"/>
        <w:jc w:val="both"/>
        <w:rPr>
          <w:rFonts w:ascii="Times New Roman" w:hAnsi="Times New Roman" w:eastAsia="Times New Roman" w:cs="Times New Roman"/>
          <w:sz w:val="21"/>
        </w:rPr>
      </w:pPr>
      <w:r>
        <w:rPr>
          <w:rFonts w:eastAsia="Times New Roman" w:cs="Times New Roman" w:ascii="Times New Roman" w:hAnsi="Times New Roman"/>
          <w:sz w:val="21"/>
        </w:rPr>
        <w:t>with respect to trade-related intellectual property rights, each of the categories of intellectual property rights covered in Section 1, or Section 2, or Section 3, or Section 4, or Section 5, or Section 6, or Section 7 of Part II, or the obligations under Part III, or Part IV of the Agreement on TRIPS;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1"/>
        </w:numPr>
        <w:tabs>
          <w:tab w:val="clear" w:pos="720"/>
          <w:tab w:val="left" w:pos="1440" w:leader="none"/>
        </w:tabs>
        <w:spacing w:lineRule="atLeast" w:line="0"/>
        <w:ind w:hanging="720" w:start="1440" w:end="0"/>
        <w:rPr>
          <w:rFonts w:ascii="Times New Roman" w:hAnsi="Times New Roman" w:eastAsia="Times New Roman" w:cs="Times New Roman"/>
          <w:sz w:val="21"/>
        </w:rPr>
      </w:pPr>
      <w:r>
        <w:rPr>
          <w:rFonts w:eastAsia="Times New Roman" w:cs="Times New Roman" w:ascii="Times New Roman" w:hAnsi="Times New Roman"/>
          <w:sz w:val="21"/>
        </w:rPr>
        <w:t>for purposes of this paragraph, "agreement" means: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uto" w:line="266"/>
        <w:ind w:hanging="720" w:start="2160" w:end="0"/>
        <w:jc w:val="both"/>
        <w:rPr>
          <w:rFonts w:ascii="Times New Roman" w:hAnsi="Times New Roman" w:eastAsia="Times New Roman" w:cs="Times New Roman"/>
          <w:sz w:val="21"/>
        </w:rPr>
      </w:pPr>
      <w:r>
        <w:rPr>
          <w:rFonts w:eastAsia="Times New Roman" w:cs="Times New Roman" w:ascii="Times New Roman" w:hAnsi="Times New Roman"/>
          <w:sz w:val="21"/>
        </w:rPr>
        <w:t>with respect to goods, the agreements listed in Annex 1A of the WTO Agreement, taken as a whole as well as the Plurilateral Trade Agreements in so far as the relevant parties to the dispute are parties to these agreements;</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2"/>
          <w:numId w:val="41"/>
        </w:numPr>
        <w:tabs>
          <w:tab w:val="clear" w:pos="720"/>
          <w:tab w:val="left" w:pos="2160" w:leader="none"/>
        </w:tabs>
        <w:spacing w:lineRule="atLeast" w:line="0"/>
        <w:ind w:hanging="720" w:start="2160" w:end="0"/>
        <w:rPr>
          <w:rFonts w:ascii="Times New Roman" w:hAnsi="Times New Roman" w:eastAsia="Times New Roman" w:cs="Times New Roman"/>
          <w:sz w:val="21"/>
        </w:rPr>
      </w:pPr>
      <w:r>
        <w:rPr>
          <w:rFonts w:eastAsia="Times New Roman" w:cs="Times New Roman" w:ascii="Times New Roman" w:hAnsi="Times New Roman"/>
          <w:sz w:val="21"/>
        </w:rPr>
        <w:t>with respect to services, the GATS;</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208915</wp:posOffset>
                </wp:positionV>
                <wp:extent cx="1837690" cy="0"/>
                <wp:effectExtent l="0" t="3175" r="0" b="3175"/>
                <wp:wrapNone/>
                <wp:docPr id="26"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6.45pt" to="144.65pt,16.45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02"/>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21"/>
          <w:vertAlign w:val="superscript"/>
        </w:rPr>
        <w:t>14</w:t>
      </w:r>
      <w:r>
        <w:rPr>
          <w:rFonts w:eastAsia="Times New Roman" w:cs="Times New Roman" w:ascii="Times New Roman" w:hAnsi="Times New Roman"/>
          <w:sz w:val="17"/>
        </w:rPr>
        <w:t>The list in document MTN.GNS/W/120 identifies eleven sectors.</w:t>
      </w:r>
    </w:p>
    <w:p>
      <w:pPr>
        <w:sectPr>
          <w:type w:val="continuous"/>
          <w:pgSz w:w="11906" w:h="16838"/>
          <w:pgMar w:left="1440" w:right="1440" w:gutter="0" w:header="0" w:top="669" w:footer="0" w:bottom="902"/>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16" w:name="page17"/>
      <w:bookmarkEnd w:id="16"/>
      <w:r>
        <w:drawing>
          <wp:anchor behindDoc="1" distT="0" distB="0" distL="114935" distR="114935" simplePos="0" locked="0" layoutInCell="0" allowOverlap="1" relativeHeight="28">
            <wp:simplePos x="0" y="0"/>
            <wp:positionH relativeFrom="page">
              <wp:posOffset>2755900</wp:posOffset>
            </wp:positionH>
            <wp:positionV relativeFrom="page">
              <wp:posOffset>76200</wp:posOffset>
            </wp:positionV>
            <wp:extent cx="2101850" cy="355600"/>
            <wp:effectExtent l="0" t="0" r="0" b="0"/>
            <wp:wrapNone/>
            <wp:docPr id="27"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7" descr="" title=""/>
                    <pic:cNvPicPr>
                      <a:picLocks noChangeAspect="1" noChangeArrowheads="1"/>
                    </pic:cNvPicPr>
                  </pic:nvPicPr>
                  <pic:blipFill>
                    <a:blip r:embed="rId18"/>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369</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2"/>
        </w:numPr>
        <w:tabs>
          <w:tab w:val="clear" w:pos="720"/>
          <w:tab w:val="left" w:pos="2160" w:leader="none"/>
        </w:tabs>
        <w:spacing w:lineRule="atLeast" w:line="0"/>
        <w:ind w:hanging="720" w:start="2160" w:end="0"/>
        <w:rPr>
          <w:rFonts w:ascii="Times New Roman" w:hAnsi="Times New Roman" w:eastAsia="Times New Roman" w:cs="Times New Roman"/>
          <w:sz w:val="21"/>
        </w:rPr>
      </w:pPr>
      <w:r>
        <w:rPr>
          <w:rFonts w:eastAsia="Times New Roman" w:cs="Times New Roman" w:ascii="Times New Roman" w:hAnsi="Times New Roman"/>
          <w:sz w:val="21"/>
        </w:rPr>
        <w:t>with respect to intellectual property rights, the Agreement on TRIPS.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level of the suspension of concessions or other obligations authorized by the DSB shall be equivalent to the level of the nullification or impairment.</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DSB shall not authorize suspension of concessions or other obligations if a covered agreement prohibits such suspension.</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54"/>
        <w:jc w:val="both"/>
        <w:rPr>
          <w:rFonts w:ascii="Times New Roman" w:hAnsi="Times New Roman" w:eastAsia="Times New Roman" w:cs="Times New Roman"/>
          <w:sz w:val="21"/>
        </w:rPr>
      </w:pPr>
      <w:r>
        <w:rPr>
          <w:rFonts w:eastAsia="Times New Roman" w:cs="Times New Roman" w:ascii="Times New Roman" w:hAnsi="Times New Roman"/>
          <w:sz w:val="21"/>
        </w:rPr>
        <w:t>When the situation described in paragraph 2 occurs, the DSB, upon request, shall grant authorization to suspend concessions or other obligations within 30 days of the expiry of the reasonable period of time unless the DSB decides by consensus to reject the request. However, if the Member concerned objects to the level of suspension proposed, or claims that the principles and procedures set forth in paragraph 3 have not been followed where a complaining party has requested authorization to suspend concessions or other obligations pursuant to paragraph 3(b) or (c), the matter shall be referred to arbitration. Such arbitration shall be carried out by the original panel, if members are available, or by an arbitrator</w:t>
      </w:r>
      <w:r>
        <w:rPr>
          <w:rFonts w:eastAsia="Times New Roman" w:cs="Times New Roman" w:ascii="Times New Roman" w:hAnsi="Times New Roman"/>
          <w:sz w:val="24"/>
          <w:vertAlign w:val="superscript"/>
        </w:rPr>
        <w:t>15</w:t>
      </w:r>
      <w:r>
        <w:rPr>
          <w:rFonts w:eastAsia="Times New Roman" w:cs="Times New Roman" w:ascii="Times New Roman" w:hAnsi="Times New Roman"/>
          <w:sz w:val="21"/>
        </w:rPr>
        <w:t xml:space="preserve"> appointed by the Director-General and shall be completed within 60 days after the date of expiry of the reasonable period of time. Concessions or other obligations shall not be suspended during the course of the arbitration.</w:t>
      </w:r>
    </w:p>
    <w:p>
      <w:pPr>
        <w:pStyle w:val="Normal"/>
        <w:spacing w:lineRule="exact" w:line="24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54"/>
        <w:jc w:val="both"/>
        <w:rPr>
          <w:rFonts w:ascii="Times New Roman" w:hAnsi="Times New Roman" w:eastAsia="Times New Roman" w:cs="Times New Roman"/>
          <w:sz w:val="21"/>
        </w:rPr>
      </w:pPr>
      <w:r>
        <w:rPr>
          <w:rFonts w:eastAsia="Times New Roman" w:cs="Times New Roman" w:ascii="Times New Roman" w:hAnsi="Times New Roman"/>
          <w:sz w:val="21"/>
        </w:rPr>
        <w:t>The arbitrator</w:t>
      </w:r>
      <w:r>
        <w:rPr>
          <w:rFonts w:eastAsia="Times New Roman" w:cs="Times New Roman" w:ascii="Times New Roman" w:hAnsi="Times New Roman"/>
          <w:sz w:val="24"/>
          <w:vertAlign w:val="superscript"/>
        </w:rPr>
        <w:t>16</w:t>
      </w:r>
      <w:r>
        <w:rPr>
          <w:rFonts w:eastAsia="Times New Roman" w:cs="Times New Roman" w:ascii="Times New Roman" w:hAnsi="Times New Roman"/>
          <w:sz w:val="21"/>
        </w:rPr>
        <w:t xml:space="preserve"> acting pursuant to paragraph 6 shall not examine the nature of the concessions or other obligations to be suspended but shall determine whether the level of such suspension is equivalent to the level of nullification or impairment. The arbitrator may also determine if the proposed suspension of concessions or other obligations is allowed under the covered agreement. However, if the matter referred to arbitration includes a claim that the principles and procedures set forth in paragraph 3 have not been followed, the arbitrator shall examine that claim. In the event the arbitrator determines that those principles and procedures have not been followed, the complaining party shall apply them consistent with paragraph 3. The parties shall accept the arbitrator's decision as final and the parties concerned shall not seek a second arbitration. The DSB shall be informed promptly of the decision of the arbitrator and shall upon request, grant authorization to suspend concessions or other obligations where the request is consistent with the decision of the arbitrator, unless the DSB decides by consensus to reject the request.</w:t>
      </w:r>
    </w:p>
    <w:p>
      <w:pPr>
        <w:pStyle w:val="Normal"/>
        <w:spacing w:lineRule="exact" w:line="244"/>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suspension of concessions or other obligations shall be temporary and shall only be applied until such time as the measure found to be inconsistent with a covered agreement has been removed, or the Member that must implement recommendations or rulings provides a solution to the nullification or impairment of benefits, or a mutually satisfactory solution is reached. In accordance with paragraph 6 of Article 21, the DSB shall continue to keep under surveillance the implementation of adopted recommendations or rulings, including those cases where compensation has been provided or concessions or other obligations have been suspended but the recommendations to bring a measure into conformity with the covered agreements have not been implemented.</w:t>
      </w:r>
    </w:p>
    <w:p>
      <w:pPr>
        <w:pStyle w:val="Normal"/>
        <w:spacing w:lineRule="exact" w:line="239"/>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3"/>
        </w:numPr>
        <w:tabs>
          <w:tab w:val="left" w:pos="72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The dispute settlement provisions of the covered agreements may be invoked in respect of measures affecting their observance taken by regional or local governments or authorities within the territory of a Member. When the DSB has ruled that a provision of a covered agreement has not been observed, the responsible Member shall take such reasonable measures as may be available to it to ensure its observance. The provisions of the covered agreements and this Understanding relating to</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738505</wp:posOffset>
                </wp:positionV>
                <wp:extent cx="1837690" cy="0"/>
                <wp:effectExtent l="0" t="3175" r="0" b="3175"/>
                <wp:wrapNone/>
                <wp:docPr id="28"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8.15pt" to="144.65pt,58.1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20" w:end="0"/>
        <w:rPr/>
      </w:pPr>
      <w:r>
        <w:rPr>
          <w:rFonts w:eastAsia="Times New Roman" w:cs="Times New Roman" w:ascii="Times New Roman" w:hAnsi="Times New Roman"/>
          <w:sz w:val="21"/>
          <w:vertAlign w:val="superscript"/>
        </w:rPr>
        <w:t>15</w:t>
      </w:r>
      <w:r>
        <w:rPr>
          <w:rFonts w:eastAsia="Times New Roman" w:cs="Times New Roman" w:ascii="Times New Roman" w:hAnsi="Times New Roman"/>
          <w:sz w:val="17"/>
        </w:rPr>
        <w:t>The expression"arbitrator" shall be interpreted as referring either to an individual or a group.</w:t>
      </w:r>
    </w:p>
    <w:p>
      <w:pPr>
        <w:pStyle w:val="Normal"/>
        <w:spacing w:lineRule="exact" w:line="219"/>
        <w:rPr>
          <w:rFonts w:ascii="Times New Roman" w:hAnsi="Times New Roman" w:eastAsia="Times New Roman" w:cs="Times New Roman"/>
          <w:sz w:val="17"/>
        </w:rPr>
      </w:pPr>
      <w:r>
        <w:rPr>
          <w:rFonts w:eastAsia="Times New Roman" w:cs="Times New Roman" w:ascii="Times New Roman" w:hAnsi="Times New Roman"/>
          <w:sz w:val="17"/>
        </w:rPr>
      </w:r>
    </w:p>
    <w:p>
      <w:pPr>
        <w:sectPr>
          <w:type w:val="nextPage"/>
          <w:pgSz w:w="11906" w:h="16838"/>
          <w:pgMar w:left="1440" w:right="1440" w:gutter="0" w:header="0" w:top="669" w:footer="0" w:bottom="923"/>
          <w:pgNumType w:fmt="decimal"/>
          <w:formProt w:val="false"/>
          <w:textDirection w:val="lrTb"/>
          <w:docGrid w:type="default" w:linePitch="360" w:charSpace="0"/>
        </w:sectPr>
        <w:pStyle w:val="Normal"/>
        <w:spacing w:lineRule="auto" w:line="240"/>
        <w:ind w:firstLine="312" w:end="0"/>
        <w:rPr/>
      </w:pPr>
      <w:r>
        <w:rPr>
          <w:rFonts w:eastAsia="Times New Roman" w:cs="Times New Roman" w:ascii="Times New Roman" w:hAnsi="Times New Roman"/>
          <w:sz w:val="21"/>
          <w:vertAlign w:val="superscript"/>
        </w:rPr>
        <w:t>16</w:t>
      </w:r>
      <w:r>
        <w:rPr>
          <w:rFonts w:eastAsia="Times New Roman" w:cs="Times New Roman" w:ascii="Times New Roman" w:hAnsi="Times New Roman"/>
          <w:sz w:val="17"/>
        </w:rPr>
        <w:t>The expression "arbitrator" shall be interpreted as referring either to an individual or a group or to the members of the original panel when serving in the capacity of arbitrator.</w:t>
      </w:r>
    </w:p>
    <w:p>
      <w:pPr>
        <w:pStyle w:val="Normal"/>
        <w:spacing w:lineRule="atLeast" w:line="0"/>
        <w:rPr>
          <w:rFonts w:ascii="Times New Roman" w:hAnsi="Times New Roman" w:eastAsia="Times New Roman" w:cs="Times New Roman"/>
          <w:sz w:val="21"/>
        </w:rPr>
      </w:pPr>
      <w:bookmarkStart w:id="17" w:name="page18"/>
      <w:bookmarkEnd w:id="17"/>
      <w:r>
        <w:drawing>
          <wp:anchor behindDoc="1" distT="0" distB="0" distL="114935" distR="114935" simplePos="0" locked="0" layoutInCell="0" allowOverlap="1" relativeHeight="30">
            <wp:simplePos x="0" y="0"/>
            <wp:positionH relativeFrom="page">
              <wp:posOffset>2755900</wp:posOffset>
            </wp:positionH>
            <wp:positionV relativeFrom="page">
              <wp:posOffset>76200</wp:posOffset>
            </wp:positionV>
            <wp:extent cx="2101850" cy="355600"/>
            <wp:effectExtent l="0" t="0" r="0" b="0"/>
            <wp:wrapNone/>
            <wp:docPr id="29"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8" descr="" title=""/>
                    <pic:cNvPicPr>
                      <a:picLocks noChangeAspect="1" noChangeArrowheads="1"/>
                    </pic:cNvPicPr>
                  </pic:nvPicPr>
                  <pic:blipFill>
                    <a:blip r:embed="rId19"/>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370</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rPr/>
      </w:pPr>
      <w:r>
        <w:rPr>
          <w:rFonts w:eastAsia="Times New Roman" w:cs="Times New Roman" w:ascii="Times New Roman" w:hAnsi="Times New Roman"/>
          <w:sz w:val="21"/>
        </w:rPr>
        <w:t>compensation and suspension of concessions or other obligations apply in cases where it has not been possible to secure such observance.</w:t>
      </w:r>
      <w:r>
        <w:rPr>
          <w:rFonts w:eastAsia="Times New Roman" w:cs="Times New Roman" w:ascii="Times New Roman" w:hAnsi="Times New Roman"/>
          <w:sz w:val="24"/>
          <w:vertAlign w:val="superscript"/>
        </w:rPr>
        <w:t>17</w:t>
      </w: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7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23</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Strengthening of the Multilateral System</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44"/>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When Members seek the redress of a violation of obligations or other nullification or impairment of benefits under the covered agreements or an impediment to the attainment of any objective of the covered agreements, they shall have recourse to, and abide by, the rules and procedures of this Understanding.</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4"/>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In such cases, Members shall:</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4"/>
        </w:numPr>
        <w:tabs>
          <w:tab w:val="clear" w:pos="720"/>
          <w:tab w:val="left" w:pos="1440" w:leader="none"/>
        </w:tabs>
        <w:spacing w:lineRule="auto" w:line="259"/>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not make a determination to the effect that a violation has occurred, that benefits have been nullified or impaired or that the attainment of any objective of the covered agreements has been impeded, except through recourse to dispute settlement in accordance with the rules and procedures of this Understanding, and shall make any such determination consistent with the findings contained in the panel or Appellate Body report adopted by the DSB or an arbitration award rendered under this Understanding;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4"/>
        </w:numPr>
        <w:tabs>
          <w:tab w:val="clear" w:pos="720"/>
          <w:tab w:val="left" w:pos="1440" w:leader="none"/>
        </w:tabs>
        <w:spacing w:lineRule="auto" w:line="276"/>
        <w:ind w:hanging="720" w:start="1440" w:end="0"/>
        <w:rPr>
          <w:rFonts w:ascii="Times New Roman" w:hAnsi="Times New Roman" w:eastAsia="Times New Roman" w:cs="Times New Roman"/>
          <w:sz w:val="21"/>
        </w:rPr>
      </w:pPr>
      <w:r>
        <w:rPr>
          <w:rFonts w:eastAsia="Times New Roman" w:cs="Times New Roman" w:ascii="Times New Roman" w:hAnsi="Times New Roman"/>
          <w:sz w:val="21"/>
        </w:rPr>
        <w:t>follow the procedures set forth in Article 21 to determine the reasonable period of time for the Member concerned to implement the recommendations and rulings; and</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1"/>
          <w:numId w:val="44"/>
        </w:numPr>
        <w:tabs>
          <w:tab w:val="clear" w:pos="720"/>
          <w:tab w:val="left" w:pos="1440" w:leader="none"/>
        </w:tabs>
        <w:spacing w:lineRule="auto" w:line="261"/>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follow the procedures set forth in Article 22 to determine the level of suspension of concessions or other obligations and obtain DSB authorization in accordance with those procedures before suspending concessions or other obligations under the covered agreements in response to the failure of the Member concerned to implement the recommendations and rulings within that reasonable period of time.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24</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Special Procedures Involving Least-Developed Country Members</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45"/>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At all stages of the determination of the causes of a dispute and of dispute settlement procedures involving a least-developed country Member, particular consideration shall be given to the special situation of least-developed country Members. In this regard, Members shall exercise due restraint in raising matters under these procedures involving a least-developed country Member. If nullification or impairment is found to result from a measure taken by a least-developed country Member, complaining parties shall exercise due restraint in asking for compensation or seeking authorization to suspend the application of concessions or other obligations pursuant to these procedures.</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5"/>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In dispute settlement cases involving a least-developed country Member, where a satisfactory solution has not been found in the course of consultations the Director-General or the Chairman of the DSB shall, upon request by a least-developed country Member offer their good offices, conciliation and mediation with a view to assisting the parties to settle the dispute, before a request for a panel</w:t>
      </w:r>
    </w:p>
    <w:p>
      <w:pPr>
        <w:pStyle w:val="Normal"/>
        <w:spacing w:lineRule="exact" w:line="20"/>
        <w:rPr>
          <w:rFonts w:ascii="Times New Roman" w:hAnsi="Times New Roman" w:eastAsia="Times New Roman" w:cs="Times New Roman"/>
          <w:sz w:val="21"/>
        </w:rPr>
      </w:pPr>
      <w:r>
        <w:rPr>
          <w:rFonts w:eastAsia="Times New Roman" w:cs="Times New Roman" w:ascii="Times New Roman" w:hAnsi="Times New Roman"/>
          <w:sz w:val="21"/>
        </w:rPr>
        <mc:AlternateContent>
          <mc:Choice Requires="wps">
            <w:drawing>
              <wp:anchor behindDoc="1" distT="0" distB="0" distL="114935" distR="114935" simplePos="0" locked="0" layoutInCell="1" allowOverlap="1" relativeHeight="31">
                <wp:simplePos x="0" y="0"/>
                <wp:positionH relativeFrom="column">
                  <wp:posOffset>0</wp:posOffset>
                </wp:positionH>
                <wp:positionV relativeFrom="paragraph">
                  <wp:posOffset>229870</wp:posOffset>
                </wp:positionV>
                <wp:extent cx="1837690" cy="0"/>
                <wp:effectExtent l="0" t="3175" r="0" b="3175"/>
                <wp:wrapNone/>
                <wp:docPr id="30" name=""/>
                <a:graphic xmlns:a="http://schemas.openxmlformats.org/drawingml/2006/main">
                  <a:graphicData uri="http://schemas.microsoft.com/office/word/2010/wordprocessingShape">
                    <wps:wsp>
                      <wps:cNvSpPr/>
                      <wps:spPr>
                        <a:xfrm>
                          <a:off x="0" y="0"/>
                          <a:ext cx="183780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8.1pt" to="144.65pt,18.1pt" stroked="t" o:allowincell="f" style="position:absolute">
                <v:stroke color="black" weight="6480" joinstyle="miter" endcap="flat"/>
                <v:fill o:detectmouseclick="t" on="false"/>
                <w10:wrap type="none"/>
              </v:line>
            </w:pict>
          </mc:Fallback>
        </mc:AlternateContent>
      </w:r>
    </w:p>
    <w:p>
      <w:pPr>
        <w:sectPr>
          <w:type w:val="nextPage"/>
          <w:pgSz w:w="11906" w:h="16838"/>
          <w:pgMar w:left="1440" w:right="1440" w:gutter="0" w:header="0" w:top="669" w:footer="0" w:bottom="91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4"/>
        <w:ind w:firstLine="312" w:end="0"/>
        <w:jc w:val="both"/>
        <w:rPr/>
      </w:pPr>
      <w:r>
        <w:rPr>
          <w:rFonts w:eastAsia="Times New Roman" w:cs="Times New Roman" w:ascii="Times New Roman" w:hAnsi="Times New Roman"/>
          <w:sz w:val="21"/>
          <w:vertAlign w:val="superscript"/>
        </w:rPr>
        <w:t>17</w:t>
      </w:r>
      <w:r>
        <w:rPr>
          <w:rFonts w:eastAsia="Times New Roman" w:cs="Times New Roman" w:ascii="Times New Roman" w:hAnsi="Times New Roman"/>
          <w:sz w:val="17"/>
        </w:rPr>
        <w:t>Where the provisions of any covered agreement concerning measures taken by regional or local governments or authorities within the territory of a Member contain provisions different from the provisions of this paragraph, the provisions of such covered agreement shall prevail.</w:t>
      </w:r>
    </w:p>
    <w:p>
      <w:pPr>
        <w:sectPr>
          <w:type w:val="continuous"/>
          <w:pgSz w:w="11906" w:h="16838"/>
          <w:pgMar w:left="1440" w:right="1440" w:gutter="0" w:header="0" w:top="669" w:footer="0" w:bottom="913"/>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18" w:name="page19"/>
      <w:bookmarkEnd w:id="18"/>
      <w:r>
        <w:drawing>
          <wp:anchor behindDoc="1" distT="0" distB="0" distL="114935" distR="114935" simplePos="0" locked="0" layoutInCell="0" allowOverlap="1" relativeHeight="32">
            <wp:simplePos x="0" y="0"/>
            <wp:positionH relativeFrom="page">
              <wp:posOffset>2755900</wp:posOffset>
            </wp:positionH>
            <wp:positionV relativeFrom="page">
              <wp:posOffset>76200</wp:posOffset>
            </wp:positionV>
            <wp:extent cx="2101850" cy="355600"/>
            <wp:effectExtent l="0" t="0" r="0" b="0"/>
            <wp:wrapNone/>
            <wp:docPr id="31" name="Image1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9" descr="" title=""/>
                    <pic:cNvPicPr>
                      <a:picLocks noChangeAspect="1" noChangeArrowheads="1"/>
                    </pic:cNvPicPr>
                  </pic:nvPicPr>
                  <pic:blipFill>
                    <a:blip r:embed="rId20"/>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371</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rPr>
          <w:rFonts w:ascii="Times New Roman" w:hAnsi="Times New Roman" w:eastAsia="Times New Roman" w:cs="Times New Roman"/>
          <w:sz w:val="21"/>
        </w:rPr>
      </w:pPr>
      <w:r>
        <w:rPr>
          <w:rFonts w:eastAsia="Times New Roman" w:cs="Times New Roman" w:ascii="Times New Roman" w:hAnsi="Times New Roman"/>
          <w:sz w:val="21"/>
        </w:rPr>
        <w:t>is made. The Director-General or the Chairman of the DSB, in providing the above assistance, may consult any source which either deems appropriate.</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7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25</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1"/>
          <w:numId w:val="46"/>
        </w:numPr>
        <w:tabs>
          <w:tab w:val="clear" w:pos="720"/>
          <w:tab w:val="left" w:pos="4180" w:leader="none"/>
        </w:tabs>
        <w:spacing w:lineRule="atLeast" w:line="0"/>
        <w:ind w:hanging="158" w:start="4180" w:end="0"/>
        <w:rPr>
          <w:rFonts w:ascii="Times New Roman" w:hAnsi="Times New Roman" w:eastAsia="Times New Roman" w:cs="Times New Roman"/>
          <w:i/>
          <w:i/>
          <w:sz w:val="21"/>
        </w:rPr>
      </w:pPr>
      <w:r>
        <w:rPr>
          <w:rFonts w:eastAsia="Times New Roman" w:cs="Times New Roman" w:ascii="Times New Roman" w:hAnsi="Times New Roman"/>
          <w:i/>
          <w:sz w:val="21"/>
        </w:rPr>
        <w:t>rbitration</w:t>
      </w:r>
    </w:p>
    <w:p>
      <w:pPr>
        <w:pStyle w:val="Normal"/>
        <w:spacing w:lineRule="exact" w:line="276"/>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47"/>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Expeditious arbitration within the WTO as an alternative means of dispute settlement can facilitate the solution of certain disputes that concern issues that are clearly defined by both parties.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7"/>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Except as otherwise provided in this Understanding, resort to arbitration shall be subject to mutual agreement of the parties which shall agree on the procedures to be followed. Agreements to resort to arbitration shall be notified to all Members sufficiently in advance of the actual commencement of the arbitration process.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7"/>
        </w:numPr>
        <w:tabs>
          <w:tab w:val="left" w:pos="72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Other Members may become party to an arbitration proceeding only upon the agreement of the parties which have agreed to have recourse to arbitration. The parties to the proceeding shall agree to abide by the arbitration award. Arbitration awards shall be notified to the DSB and the Council or Committee of any relevant agreement where any Member may raise any point relating thereto.</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7"/>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 xml:space="preserve">Articles 21 and 22 of this Understanding shall apply </w:t>
      </w:r>
      <w:r>
        <w:rPr>
          <w:rFonts w:eastAsia="Times New Roman" w:cs="Times New Roman" w:ascii="Times New Roman" w:hAnsi="Times New Roman"/>
          <w:i/>
          <w:sz w:val="21"/>
        </w:rPr>
        <w:t>mutatis mutandis</w:t>
      </w:r>
      <w:r>
        <w:rPr>
          <w:rFonts w:eastAsia="Times New Roman" w:cs="Times New Roman" w:ascii="Times New Roman" w:hAnsi="Times New Roman"/>
          <w:sz w:val="21"/>
        </w:rPr>
        <w:t xml:space="preserve"> to arbitration awards.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440"/>
        <w:gridCol w:w="8580"/>
      </w:tblGrid>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580" w:type="dxa"/>
            <w:tcBorders/>
          </w:tcPr>
          <w:p>
            <w:pPr>
              <w:pStyle w:val="Normal"/>
              <w:spacing w:lineRule="atLeast" w:line="0"/>
              <w:ind w:start="3620" w:end="0"/>
              <w:rPr>
                <w:rFonts w:ascii="Times New Roman" w:hAnsi="Times New Roman" w:eastAsia="Times New Roman" w:cs="Times New Roman"/>
                <w:i/>
                <w:i/>
                <w:sz w:val="21"/>
              </w:rPr>
            </w:pPr>
            <w:r>
              <w:rPr>
                <w:rFonts w:eastAsia="Times New Roman" w:cs="Times New Roman" w:ascii="Times New Roman" w:hAnsi="Times New Roman"/>
                <w:i/>
                <w:sz w:val="21"/>
              </w:rPr>
              <w:t>A rticle 26</w:t>
            </w:r>
          </w:p>
        </w:tc>
      </w:tr>
      <w:tr>
        <w:trPr>
          <w:trHeight w:val="515" w:hRule="atLeast"/>
        </w:trPr>
        <w:tc>
          <w:tcPr>
            <w:tcW w:w="440" w:type="dxa"/>
            <w:tcBorders/>
          </w:tcPr>
          <w:p>
            <w:pPr>
              <w:pStyle w:val="Normal"/>
              <w:spacing w:lineRule="atLeast" w:line="0"/>
              <w:ind w:end="174"/>
              <w:jc w:val="end"/>
              <w:rPr>
                <w:rFonts w:ascii="Times New Roman" w:hAnsi="Times New Roman" w:eastAsia="Times New Roman" w:cs="Times New Roman"/>
                <w:w w:val="88"/>
                <w:sz w:val="21"/>
              </w:rPr>
            </w:pPr>
            <w:r>
              <w:rPr>
                <w:rFonts w:eastAsia="Times New Roman" w:cs="Times New Roman" w:ascii="Times New Roman" w:hAnsi="Times New Roman"/>
                <w:w w:val="88"/>
                <w:sz w:val="21"/>
              </w:rPr>
              <w:t>1.</w:t>
            </w:r>
          </w:p>
        </w:tc>
        <w:tc>
          <w:tcPr>
            <w:tcW w:w="8580" w:type="dxa"/>
            <w:tcBorders/>
          </w:tcPr>
          <w:p>
            <w:pPr>
              <w:pStyle w:val="Normal"/>
              <w:spacing w:lineRule="atLeast" w:line="0"/>
              <w:ind w:start="280" w:end="0"/>
              <w:rPr>
                <w:rFonts w:ascii="Times New Roman" w:hAnsi="Times New Roman" w:eastAsia="Times New Roman" w:cs="Times New Roman"/>
                <w:i/>
                <w:i/>
                <w:sz w:val="21"/>
              </w:rPr>
            </w:pPr>
            <w:r>
              <w:rPr>
                <w:rFonts w:eastAsia="Times New Roman" w:cs="Times New Roman" w:ascii="Times New Roman" w:hAnsi="Times New Roman"/>
                <w:i/>
                <w:sz w:val="21"/>
              </w:rPr>
              <w:t>Non-V iolation Complaints of   the Type Described in Paragraph 1(b) of A rticle X X III of</w:t>
            </w:r>
          </w:p>
        </w:tc>
      </w:tr>
      <w:tr>
        <w:trPr>
          <w:trHeight w:val="263" w:hRule="atLeast"/>
        </w:trPr>
        <w:tc>
          <w:tcPr>
            <w:tcW w:w="440" w:type="dxa"/>
            <w:tcBorders/>
          </w:tcPr>
          <w:p>
            <w:pPr>
              <w:pStyle w:val="Normal"/>
              <w:snapToGrid w:val="false"/>
              <w:spacing w:lineRule="atLeast" w:line="0"/>
              <w:rPr>
                <w:rFonts w:ascii="Times New Roman" w:hAnsi="Times New Roman" w:eastAsia="Times New Roman" w:cs="Times New Roman"/>
                <w:i/>
                <w:i/>
                <w:sz w:val="22"/>
              </w:rPr>
            </w:pPr>
            <w:r>
              <w:rPr>
                <w:rFonts w:eastAsia="Times New Roman" w:cs="Times New Roman" w:ascii="Times New Roman" w:hAnsi="Times New Roman"/>
                <w:i/>
                <w:sz w:val="22"/>
              </w:rPr>
            </w:r>
          </w:p>
        </w:tc>
        <w:tc>
          <w:tcPr>
            <w:tcW w:w="8580" w:type="dxa"/>
            <w:tcBorders/>
          </w:tcPr>
          <w:p>
            <w:pPr>
              <w:pStyle w:val="Normal"/>
              <w:spacing w:lineRule="atLeast" w:line="0"/>
              <w:ind w:start="280" w:end="0"/>
              <w:rPr>
                <w:rFonts w:ascii="Times New Roman" w:hAnsi="Times New Roman" w:eastAsia="Times New Roman" w:cs="Times New Roman"/>
                <w:i/>
                <w:i/>
                <w:sz w:val="21"/>
              </w:rPr>
            </w:pPr>
            <w:r>
              <w:rPr>
                <w:rFonts w:eastAsia="Times New Roman" w:cs="Times New Roman" w:ascii="Times New Roman" w:hAnsi="Times New Roman"/>
                <w:i/>
                <w:sz w:val="21"/>
              </w:rPr>
              <w:t>GATT 1994</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Where the provisions of paragraph 1(b) of Article XXIII of GATT 1994 are applicable to a covered agreement, a panel or the Appellate Body may only make rulings and recommendations where a party to the dispute considers that any benefit accruing to it directly or indirectly under the relevant covered agreement is being nullified or impaired or the attainment of any objective of that Agreement is being impeded as a result of the application by a Member of any measure, whether or not it conflicts with the provisions of that Agreement. Where and to the extent that such party considers and a panel or the Appellate Body determines that a case concerns a measure that does not conflict with the provisions of a covered agreement to which the provisions of paragraph 1(b) of Article XXIII of GATT 1994 are applicable, the procedures in this Understanding shall apply, subject to the following:</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8"/>
        </w:numPr>
        <w:tabs>
          <w:tab w:val="clear" w:pos="720"/>
          <w:tab w:val="left" w:pos="1440" w:leader="none"/>
        </w:tabs>
        <w:spacing w:lineRule="auto" w:line="276"/>
        <w:ind w:hanging="720" w:start="1440" w:end="0"/>
        <w:rPr>
          <w:rFonts w:ascii="Times New Roman" w:hAnsi="Times New Roman" w:eastAsia="Times New Roman" w:cs="Times New Roman"/>
          <w:sz w:val="21"/>
        </w:rPr>
      </w:pPr>
      <w:r>
        <w:rPr>
          <w:rFonts w:eastAsia="Times New Roman" w:cs="Times New Roman" w:ascii="Times New Roman" w:hAnsi="Times New Roman"/>
          <w:sz w:val="21"/>
        </w:rPr>
        <w:t>the complaining party shall present a detailed justification in support of any complaint relating to a measure which does not conflict with the relevant covered agreement;</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48"/>
        </w:numPr>
        <w:tabs>
          <w:tab w:val="clear" w:pos="720"/>
          <w:tab w:val="left" w:pos="1440" w:leader="none"/>
        </w:tabs>
        <w:spacing w:lineRule="auto" w:line="261"/>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where a measure has been found to nullify or impair benefits under, or impede the attainment of objectives, of the relevant covered agreement without violation thereof, there is no obligation to withdraw the measure. However, in such cases, the panel or the Appellate Body shall recommend that the Member concerned make a mutually satisfactory adjustment;</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088"/>
          <w:pgNumType w:fmt="decimal"/>
          <w:formProt w:val="false"/>
          <w:textDirection w:val="lrTb"/>
          <w:docGrid w:type="default" w:linePitch="360" w:charSpace="0"/>
        </w:sectPr>
        <w:pStyle w:val="Normal"/>
        <w:numPr>
          <w:ilvl w:val="0"/>
          <w:numId w:val="48"/>
        </w:numPr>
        <w:tabs>
          <w:tab w:val="clear" w:pos="720"/>
          <w:tab w:val="left" w:pos="1440" w:leader="none"/>
        </w:tabs>
        <w:spacing w:lineRule="auto" w:line="261"/>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notwithstanding the provisions of Article 21, the arbitration provided for in paragraph 3 of Article 21, upon request of either party, may include a determination of the level of benefits which have been nullified or impaired, and may also suggest ways and means of reaching a mutually satisfactory adjustment; such suggestions shall not be binding upon the parties to the dispute;</w:t>
      </w:r>
    </w:p>
    <w:p>
      <w:pPr>
        <w:pStyle w:val="Normal"/>
        <w:spacing w:lineRule="atLeast" w:line="0"/>
        <w:rPr>
          <w:rFonts w:ascii="Times New Roman" w:hAnsi="Times New Roman" w:eastAsia="Times New Roman" w:cs="Times New Roman"/>
          <w:sz w:val="21"/>
        </w:rPr>
      </w:pPr>
      <w:bookmarkStart w:id="19" w:name="page20"/>
      <w:bookmarkEnd w:id="19"/>
      <w:r>
        <w:drawing>
          <wp:anchor behindDoc="1" distT="0" distB="0" distL="114935" distR="114935" simplePos="0" locked="0" layoutInCell="0" allowOverlap="1" relativeHeight="33">
            <wp:simplePos x="0" y="0"/>
            <wp:positionH relativeFrom="page">
              <wp:posOffset>2755900</wp:posOffset>
            </wp:positionH>
            <wp:positionV relativeFrom="page">
              <wp:posOffset>76200</wp:posOffset>
            </wp:positionV>
            <wp:extent cx="2101850" cy="355600"/>
            <wp:effectExtent l="0" t="0" r="0" b="0"/>
            <wp:wrapNone/>
            <wp:docPr id="32" name="Image2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 descr="" title=""/>
                    <pic:cNvPicPr>
                      <a:picLocks noChangeAspect="1" noChangeArrowheads="1"/>
                    </pic:cNvPicPr>
                  </pic:nvPicPr>
                  <pic:blipFill>
                    <a:blip r:embed="rId21"/>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9"/>
        </w:numPr>
        <w:tabs>
          <w:tab w:val="clear" w:pos="720"/>
          <w:tab w:val="left" w:pos="1440" w:leader="none"/>
        </w:tabs>
        <w:spacing w:lineRule="auto" w:line="276"/>
        <w:ind w:hanging="720" w:start="1440" w:end="0"/>
        <w:rPr>
          <w:rFonts w:ascii="Times New Roman" w:hAnsi="Times New Roman" w:eastAsia="Times New Roman" w:cs="Times New Roman"/>
          <w:sz w:val="21"/>
        </w:rPr>
      </w:pPr>
      <w:r>
        <w:rPr>
          <w:rFonts w:eastAsia="Times New Roman" w:cs="Times New Roman" w:ascii="Times New Roman" w:hAnsi="Times New Roman"/>
          <w:sz w:val="21"/>
        </w:rPr>
        <w:t>notwithstanding the provisions of paragraph 1 of Article 22, compensation may be part of a mutually satisfactory adjustment as final settlement of the dispute.</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0"/>
        </w:numPr>
        <w:tabs>
          <w:tab w:val="left" w:pos="720" w:leader="none"/>
        </w:tabs>
        <w:spacing w:lineRule="auto" w:line="386"/>
        <w:ind w:hanging="720" w:start="720" w:end="0"/>
        <w:rPr>
          <w:rFonts w:ascii="Times New Roman" w:hAnsi="Times New Roman" w:eastAsia="Times New Roman" w:cs="Times New Roman"/>
          <w:sz w:val="21"/>
        </w:rPr>
      </w:pPr>
      <w:r>
        <w:rPr>
          <w:rFonts w:eastAsia="Times New Roman" w:cs="Times New Roman" w:ascii="Times New Roman" w:hAnsi="Times New Roman"/>
          <w:i/>
          <w:sz w:val="21"/>
        </w:rPr>
        <w:t xml:space="preserve">Complaints of the Type Described in Paragraph 1(c) of A rticle X X III of GATT 1994 </w:t>
      </w:r>
      <w:r>
        <w:rPr>
          <w:rFonts w:eastAsia="Times New Roman" w:cs="Times New Roman" w:ascii="Times New Roman" w:hAnsi="Times New Roman"/>
          <w:sz w:val="21"/>
        </w:rPr>
        <w:t>Where the provisions of paragraph 1(c) of Article XXIII of GATT 1994 are applicable to a</w:t>
      </w:r>
    </w:p>
    <w:p>
      <w:pPr>
        <w:pStyle w:val="Normal"/>
        <w:spacing w:lineRule="exact" w:line="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56"/>
        <w:jc w:val="both"/>
        <w:rPr>
          <w:rFonts w:ascii="Times New Roman" w:hAnsi="Times New Roman" w:eastAsia="Times New Roman" w:cs="Times New Roman"/>
          <w:sz w:val="21"/>
        </w:rPr>
      </w:pPr>
      <w:r>
        <w:rPr>
          <w:rFonts w:eastAsia="Times New Roman" w:cs="Times New Roman" w:ascii="Times New Roman" w:hAnsi="Times New Roman"/>
          <w:sz w:val="21"/>
        </w:rPr>
        <w:t>covered agreement, a panel may only make rulings and recommendations where a party considers that any benefit accruing to it directly or indirectly under the relevant covered agreement is being nullified or impaired or the attainment of any objective of that Agreement is being impeded as a result of the existence of any situation other than those to which the provisions of paragraphs 1(a) and 1(b) of Article XXIII of GATT 1994 are applicable. Where and to the extent that such party considers and a panel determines that the matter is covered by this paragraph, the procedures of this Understanding shall apply only up to and including the point in the proceedings where the panel report has been circulated to the Members. The dispute settlement rules and procedures contained in the Decision of 12 April 1989 (BISD 36S/61-67) shall apply to consideration for adoption, and surveillance and implementation of recommendations and rulings. The following shall also apply:</w:t>
      </w:r>
    </w:p>
    <w:p>
      <w:pPr>
        <w:pStyle w:val="Normal"/>
        <w:spacing w:lineRule="exact" w:line="242"/>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1"/>
        </w:numPr>
        <w:tabs>
          <w:tab w:val="clear" w:pos="720"/>
          <w:tab w:val="left" w:pos="1440" w:leader="none"/>
        </w:tabs>
        <w:spacing w:lineRule="auto" w:line="276"/>
        <w:ind w:hanging="720" w:start="1440" w:end="0"/>
        <w:rPr>
          <w:rFonts w:ascii="Times New Roman" w:hAnsi="Times New Roman" w:eastAsia="Times New Roman" w:cs="Times New Roman"/>
          <w:sz w:val="21"/>
        </w:rPr>
      </w:pPr>
      <w:r>
        <w:rPr>
          <w:rFonts w:eastAsia="Times New Roman" w:cs="Times New Roman" w:ascii="Times New Roman" w:hAnsi="Times New Roman"/>
          <w:sz w:val="21"/>
        </w:rPr>
        <w:t>the complaining party shall present a detailed justification in support of any argument made with respect to issues covered under this paragraph;</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1"/>
        </w:numPr>
        <w:tabs>
          <w:tab w:val="clear" w:pos="720"/>
          <w:tab w:val="left" w:pos="1440" w:leader="none"/>
        </w:tabs>
        <w:spacing w:lineRule="auto" w:line="264"/>
        <w:ind w:hanging="720" w:start="1440" w:end="0"/>
        <w:jc w:val="both"/>
        <w:rPr>
          <w:rFonts w:ascii="Times New Roman" w:hAnsi="Times New Roman" w:eastAsia="Times New Roman" w:cs="Times New Roman"/>
          <w:sz w:val="21"/>
        </w:rPr>
      </w:pPr>
      <w:r>
        <w:rPr>
          <w:rFonts w:eastAsia="Times New Roman" w:cs="Times New Roman" w:ascii="Times New Roman" w:hAnsi="Times New Roman"/>
          <w:sz w:val="21"/>
        </w:rPr>
        <w:t>in cases involving matters covered by this paragraph, if a panel finds that cases also involve dispute settlement matters other than those covered by this paragraph, the panel shall circulate a report to the DSB addressing any such matters and a separate report on matters falling under this paragraph.</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A rticle 27</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tLeast" w:line="0"/>
        <w:jc w:val="center"/>
        <w:rPr>
          <w:rFonts w:ascii="Times New Roman" w:hAnsi="Times New Roman" w:eastAsia="Times New Roman" w:cs="Times New Roman"/>
          <w:i/>
          <w:i/>
          <w:sz w:val="21"/>
        </w:rPr>
      </w:pPr>
      <w:r>
        <w:rPr>
          <w:rFonts w:eastAsia="Times New Roman" w:cs="Times New Roman" w:ascii="Times New Roman" w:hAnsi="Times New Roman"/>
          <w:i/>
          <w:sz w:val="21"/>
        </w:rPr>
        <w:t>Responsibilities of the Secretariat</w:t>
      </w: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numPr>
          <w:ilvl w:val="0"/>
          <w:numId w:val="52"/>
        </w:numPr>
        <w:tabs>
          <w:tab w:val="left" w:pos="72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Secretariat shall have the responsibility of assisting panels, especially on the legal, historical and procedural aspects of the matters dealt with, and of providing secretarial and technical support.</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2"/>
        </w:numPr>
        <w:tabs>
          <w:tab w:val="left" w:pos="72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While the Secretariat assists Members in respect of dispute settlement at their request, there may also be a need to provide additional legal advice and assistance in respect of dispute settlement to developing country Members. To this end, the Secretariat shall make available a qualified legal expert from the WTO technical cooperation services to any developing country Member which so requests. This expert shall assist the developing country Member in a manner ensuring the continued impartiality of the Secretariat.</w:t>
      </w:r>
    </w:p>
    <w:p>
      <w:p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numPr>
          <w:ilvl w:val="0"/>
          <w:numId w:val="52"/>
        </w:numPr>
        <w:tabs>
          <w:tab w:val="left" w:pos="72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The Secretariat shall conduct special training courses for interested Members concerning these dispute settlement procedures and practices so as to enable Members' experts to be better informed in this regard.</w:t>
      </w:r>
    </w:p>
    <w:p>
      <w:pPr>
        <w:pStyle w:val="Normal"/>
        <w:spacing w:lineRule="atLeast" w:line="0"/>
        <w:ind w:start="8200" w:end="0"/>
        <w:rPr>
          <w:rFonts w:ascii="Times New Roman" w:hAnsi="Times New Roman" w:eastAsia="Times New Roman" w:cs="Times New Roman"/>
          <w:sz w:val="21"/>
        </w:rPr>
      </w:pPr>
      <w:bookmarkStart w:id="20" w:name="page21"/>
      <w:bookmarkEnd w:id="20"/>
      <w:r>
        <w:drawing>
          <wp:anchor behindDoc="1" distT="0" distB="0" distL="114935" distR="114935" simplePos="0" locked="0" layoutInCell="0" allowOverlap="1" relativeHeight="34">
            <wp:simplePos x="0" y="0"/>
            <wp:positionH relativeFrom="page">
              <wp:posOffset>2755900</wp:posOffset>
            </wp:positionH>
            <wp:positionV relativeFrom="page">
              <wp:posOffset>76200</wp:posOffset>
            </wp:positionV>
            <wp:extent cx="2101850" cy="355600"/>
            <wp:effectExtent l="0" t="0" r="0" b="0"/>
            <wp:wrapNone/>
            <wp:docPr id="33" name="Image2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 descr="" title=""/>
                    <pic:cNvPicPr>
                      <a:picLocks noChangeAspect="1" noChangeArrowheads="1"/>
                    </pic:cNvPicPr>
                  </pic:nvPicPr>
                  <pic:blipFill>
                    <a:blip r:embed="rId22"/>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373</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APPENDIX 1</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AGREEMENTS COVERED BY THE UNDERSTANDING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3"/>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Agreement Establishing the World Trade Organization</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3"/>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Multilateral Trade Agreements</w:t>
      </w:r>
    </w:p>
    <w:p>
      <w:pPr>
        <w:sectPr>
          <w:type w:val="nextPage"/>
          <w:pgSz w:w="11906" w:h="16838"/>
          <w:pgMar w:left="1440" w:right="1440" w:gutter="0" w:header="0" w:top="669" w:footer="0" w:bottom="1440"/>
          <w:pgNumType w:fmt="decimal"/>
          <w:formProt w:val="false"/>
          <w:textDirection w:val="lrTb"/>
          <w:docGrid w:type="default" w:linePitch="360" w:charSpace="0"/>
        </w:sectPr>
      </w:pP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Annex 1A:</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Annex 1B:</w:t>
      </w:r>
    </w:p>
    <w:p>
      <w:pPr>
        <w:pStyle w:val="Normal"/>
        <w:spacing w:lineRule="exact" w:line="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Annex 1C:</w:t>
      </w:r>
    </w:p>
    <w:p>
      <w:pPr>
        <w:pStyle w:val="Normal"/>
        <w:spacing w:lineRule="exact" w:line="277"/>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Multilateral Agreements on Trade in Goods</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General Agreement on Trade in Services</w:t>
      </w:r>
    </w:p>
    <w:p>
      <w:pPr>
        <w:pStyle w:val="Normal"/>
        <w:spacing w:lineRule="exact" w:line="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Agreement on Trade-Related Aspects of Intellectual Property Rights</w:t>
      </w:r>
    </w:p>
    <w:p>
      <w:pPr>
        <w:sectPr>
          <w:type w:val="continuous"/>
          <w:pgSz w:w="11906" w:h="16838"/>
          <w:pgMar w:left="1440" w:right="1440" w:gutter="0" w:header="0" w:top="669" w:footer="0" w:bottom="1440"/>
          <w:cols w:num="2" w:equalWidth="false" w:sep="false">
            <w:col w:w="1700" w:space="460"/>
            <w:col w:w="6860"/>
          </w:cols>
          <w:formProt w:val="false"/>
          <w:textDirection w:val="lrTb"/>
          <w:docGrid w:type="default" w:linePitch="360" w:charSpace="0"/>
        </w:sectPr>
      </w:pP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Annex 2:</w:t>
      </w:r>
    </w:p>
    <w:p>
      <w:pPr>
        <w:pStyle w:val="Normal"/>
        <w:spacing w:lineRule="exact" w:line="27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Understanding on Rules and Procedures Governing the Settlement of Disputes</w:t>
      </w:r>
    </w:p>
    <w:p>
      <w:pPr>
        <w:sectPr>
          <w:type w:val="continuous"/>
          <w:pgSz w:w="11906" w:h="16838"/>
          <w:pgMar w:left="1440" w:right="1440" w:gutter="0" w:header="0" w:top="669" w:footer="0" w:bottom="1440"/>
          <w:cols w:num="2" w:equalWidth="false" w:sep="false">
            <w:col w:w="1540" w:space="620"/>
            <w:col w:w="6860"/>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4"/>
        </w:numPr>
        <w:tabs>
          <w:tab w:val="left" w:pos="720" w:leader="none"/>
        </w:tabs>
        <w:spacing w:lineRule="atLeast" w:line="0"/>
        <w:ind w:hanging="720" w:start="720" w:end="0"/>
        <w:rPr>
          <w:rFonts w:ascii="Times New Roman" w:hAnsi="Times New Roman" w:eastAsia="Times New Roman" w:cs="Times New Roman"/>
          <w:sz w:val="21"/>
        </w:rPr>
      </w:pPr>
      <w:r>
        <w:rPr>
          <w:rFonts w:eastAsia="Times New Roman" w:cs="Times New Roman" w:ascii="Times New Roman" w:hAnsi="Times New Roman"/>
          <w:sz w:val="21"/>
        </w:rPr>
        <w:t>Plurilateral Trade Agreements</w:t>
      </w:r>
    </w:p>
    <w:p>
      <w:pPr>
        <w:pStyle w:val="Normal"/>
        <w:spacing w:lineRule="exact" w:line="276"/>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hanging="1440" w:start="2160" w:end="3240"/>
        <w:rPr/>
      </w:pPr>
      <w:r>
        <w:rPr>
          <w:rFonts w:eastAsia="Times New Roman" w:cs="Times New Roman" w:ascii="Times New Roman" w:hAnsi="Times New Roman"/>
          <w:sz w:val="21"/>
        </w:rPr>
        <w:t>Annex 4:Agreement on Trade in Civil Aircraft Agreement on Government Procurement International Dairy Agreement International Bovine Meat Agreement</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64"/>
        <w:ind w:firstLine="720" w:end="0"/>
        <w:jc w:val="both"/>
        <w:rPr>
          <w:rFonts w:ascii="Times New Roman" w:hAnsi="Times New Roman" w:eastAsia="Times New Roman" w:cs="Times New Roman"/>
          <w:sz w:val="21"/>
        </w:rPr>
      </w:pPr>
      <w:r>
        <w:rPr>
          <w:rFonts w:eastAsia="Times New Roman" w:cs="Times New Roman" w:ascii="Times New Roman" w:hAnsi="Times New Roman"/>
          <w:sz w:val="21"/>
        </w:rPr>
        <w:t>The applicability of this Understanding to the Plurilateral Trade Agreements shall be subject to the adoption of a decision by the parties to each agreement setting out the terms for the application of the Understanding to the individual agreement, including any special or additional rules or procedures for inclusion in Appendix 2, as notified to the DSB.</w:t>
      </w:r>
    </w:p>
    <w:p>
      <w:pPr>
        <w:sectPr>
          <w:type w:val="continuous"/>
          <w:pgSz w:w="11906" w:h="16838"/>
          <w:pgMar w:left="1440" w:right="1440" w:gutter="0" w:header="0" w:top="669" w:footer="0" w:bottom="1440"/>
          <w:formProt w:val="false"/>
          <w:textDirection w:val="lrTb"/>
          <w:docGrid w:type="default" w:linePitch="360" w:charSpace="0"/>
        </w:sectPr>
      </w:pPr>
    </w:p>
    <w:p>
      <w:pPr>
        <w:pStyle w:val="Normal"/>
        <w:spacing w:lineRule="atLeast" w:line="0"/>
        <w:rPr>
          <w:rFonts w:ascii="Times New Roman" w:hAnsi="Times New Roman" w:eastAsia="Times New Roman" w:cs="Times New Roman"/>
          <w:sz w:val="21"/>
        </w:rPr>
      </w:pPr>
      <w:bookmarkStart w:id="21" w:name="page22"/>
      <w:bookmarkEnd w:id="21"/>
      <w:r>
        <w:drawing>
          <wp:anchor behindDoc="1" distT="0" distB="0" distL="114935" distR="114935" simplePos="0" locked="0" layoutInCell="0" allowOverlap="1" relativeHeight="35">
            <wp:simplePos x="0" y="0"/>
            <wp:positionH relativeFrom="page">
              <wp:posOffset>2755900</wp:posOffset>
            </wp:positionH>
            <wp:positionV relativeFrom="page">
              <wp:posOffset>76200</wp:posOffset>
            </wp:positionV>
            <wp:extent cx="2101850" cy="355600"/>
            <wp:effectExtent l="0" t="0" r="0" b="0"/>
            <wp:wrapNone/>
            <wp:docPr id="34" name="Image2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2" descr="" title=""/>
                    <pic:cNvPicPr>
                      <a:picLocks noChangeAspect="1" noChangeArrowheads="1"/>
                    </pic:cNvPicPr>
                  </pic:nvPicPr>
                  <pic:blipFill>
                    <a:blip r:embed="rId23"/>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APPENDIX 2</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SPECIAL OR ADDITIONAL RULES AND PROCEDURES</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CONTAINED IN THE COVERED AGREEMENTS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rPr/>
      </w:pPr>
      <w:r>
        <w:rPr>
          <w:rFonts w:eastAsia="Times New Roman" w:cs="Times New Roman" w:ascii="Times New Roman" w:hAnsi="Times New Roman"/>
          <w:i/>
          <w:sz w:val="21"/>
        </w:rPr>
        <w:t>A greement</w:t>
      </w:r>
      <w:r>
        <w:rPr>
          <w:rFonts w:eastAsia="Times New Roman" w:cs="Times New Roman" w:ascii="Times New Roman" w:hAnsi="Times New Roman"/>
        </w:rPr>
        <w:tab/>
      </w:r>
      <w:r>
        <w:rPr>
          <w:rFonts w:eastAsia="Times New Roman" w:cs="Times New Roman" w:ascii="Times New Roman" w:hAnsi="Times New Roman"/>
          <w:i/>
          <w:sz w:val="21"/>
        </w:rPr>
        <w:t>Rules and Procedures</w:t>
      </w:r>
    </w:p>
    <w:p>
      <w:pPr>
        <w:sectPr>
          <w:type w:val="nextPage"/>
          <w:pgSz w:w="11906" w:h="16838"/>
          <w:pgMar w:left="1440" w:right="1440" w:gutter="0" w:header="0" w:top="669" w:footer="0" w:bottom="1440"/>
          <w:pgNumType w:fmt="decimal"/>
          <w:formProt w:val="false"/>
          <w:textDirection w:val="lrTb"/>
          <w:docGrid w:type="default" w:linePitch="360" w:charSpace="0"/>
        </w:sectPr>
      </w:pPr>
    </w:p>
    <w:p>
      <w:pPr>
        <w:pStyle w:val="Normal"/>
        <w:spacing w:lineRule="exact" w:line="277"/>
        <w:rPr>
          <w:rFonts w:ascii="Times New Roman" w:hAnsi="Times New Roman" w:eastAsia="Times New Roman" w:cs="Times New Roman"/>
          <w:i/>
          <w:i/>
          <w:sz w:val="21"/>
        </w:rPr>
      </w:pPr>
      <w:r>
        <w:rPr>
          <w:rFonts w:eastAsia="Times New Roman" w:cs="Times New Roman" w:ascii="Times New Roman" w:hAnsi="Times New Roman"/>
          <w:i/>
          <w:sz w:val="21"/>
        </w:rPr>
      </w:r>
    </w:p>
    <w:p>
      <w:pPr>
        <w:pStyle w:val="Normal"/>
        <w:spacing w:lineRule="auto" w:line="276"/>
        <w:ind w:hanging="719" w:start="720" w:end="1100"/>
        <w:rPr>
          <w:rFonts w:ascii="Times New Roman" w:hAnsi="Times New Roman" w:eastAsia="Times New Roman" w:cs="Times New Roman"/>
          <w:sz w:val="21"/>
        </w:rPr>
      </w:pPr>
      <w:r>
        <w:rPr>
          <w:rFonts w:eastAsia="Times New Roman" w:cs="Times New Roman" w:ascii="Times New Roman" w:hAnsi="Times New Roman"/>
          <w:sz w:val="21"/>
        </w:rPr>
        <w:t>Agreement on the Application of Sanitary and Phytosanitary Measures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Agreement on Textiles and Clothing</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Agreement on Technical Barriers to Trade</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hanging="719" w:start="720" w:end="900"/>
        <w:rPr>
          <w:rFonts w:ascii="Times New Roman" w:hAnsi="Times New Roman" w:eastAsia="Times New Roman" w:cs="Times New Roman"/>
          <w:sz w:val="21"/>
        </w:rPr>
      </w:pPr>
      <w:r>
        <w:rPr>
          <w:rFonts w:eastAsia="Times New Roman" w:cs="Times New Roman" w:ascii="Times New Roman" w:hAnsi="Times New Roman"/>
          <w:sz w:val="21"/>
        </w:rPr>
        <w:t>Agreement on Implementation of Article VI of GATT 1994</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hanging="719" w:start="720" w:end="840"/>
        <w:rPr>
          <w:rFonts w:ascii="Times New Roman" w:hAnsi="Times New Roman" w:eastAsia="Times New Roman" w:cs="Times New Roman"/>
          <w:sz w:val="21"/>
        </w:rPr>
      </w:pPr>
      <w:r>
        <w:rPr>
          <w:rFonts w:eastAsia="Times New Roman" w:cs="Times New Roman" w:ascii="Times New Roman" w:hAnsi="Times New Roman"/>
          <w:sz w:val="21"/>
        </w:rPr>
        <w:t>Agreement on Implementation of Article VII of GATT 1994</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Agreement on Subsidies and Countervailing Measures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hanging="719" w:start="720" w:end="1180"/>
        <w:rPr>
          <w:rFonts w:ascii="Times New Roman" w:hAnsi="Times New Roman" w:eastAsia="Times New Roman" w:cs="Times New Roman"/>
          <w:sz w:val="21"/>
        </w:rPr>
      </w:pPr>
      <w:r>
        <w:rPr>
          <w:rFonts w:eastAsia="Times New Roman" w:cs="Times New Roman" w:ascii="Times New Roman" w:hAnsi="Times New Roman"/>
          <w:sz w:val="21"/>
        </w:rPr>
        <w:t>General Agreement on Trade in Services Annex on Financial Services Annex on Air Transport Services</w:t>
      </w:r>
    </w:p>
    <w:p>
      <w:pPr>
        <w:pStyle w:val="Normal"/>
        <w:spacing w:lineRule="exact" w:line="22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Decision on Certain Dispute Settlement</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720" w:end="0"/>
        <w:rPr>
          <w:rFonts w:ascii="Times New Roman" w:hAnsi="Times New Roman" w:eastAsia="Times New Roman" w:cs="Times New Roman"/>
          <w:sz w:val="21"/>
        </w:rPr>
      </w:pPr>
      <w:r>
        <w:rPr>
          <w:rFonts w:eastAsia="Times New Roman" w:cs="Times New Roman" w:ascii="Times New Roman" w:hAnsi="Times New Roman"/>
          <w:sz w:val="21"/>
        </w:rPr>
        <w:t>Procedures for the GATS</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11.2</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2.14, 2.21, 4.4, 5.2, 5.4, 5.6, 6.9,</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6.10, 6.11, 8.1 through 8.12</w:t>
      </w: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780" w:leader="none"/>
        </w:tabs>
        <w:spacing w:lineRule="atLeast" w:line="0"/>
        <w:rPr/>
      </w:pPr>
      <w:r>
        <w:rPr>
          <w:rFonts w:eastAsia="Times New Roman" w:cs="Times New Roman" w:ascii="Times New Roman" w:hAnsi="Times New Roman"/>
          <w:sz w:val="21"/>
        </w:rPr>
        <w:t>14.2 through 14.4,</w:t>
        <w:tab/>
        <w:t>Annex 2</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17.4 through 17.7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19.3 through 19.5, Annex II.2(f), 3, 9, 21</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end="40"/>
        <w:rPr>
          <w:rFonts w:ascii="Times New Roman" w:hAnsi="Times New Roman" w:eastAsia="Times New Roman" w:cs="Times New Roman"/>
          <w:sz w:val="21"/>
        </w:rPr>
      </w:pPr>
      <w:r>
        <w:rPr>
          <w:rFonts w:eastAsia="Times New Roman" w:cs="Times New Roman" w:ascii="Times New Roman" w:hAnsi="Times New Roman"/>
          <w:sz w:val="21"/>
        </w:rPr>
        <w:t>4.2 through 4.12, 6.6, 7.2 through 7.10, 8.5, footnote 35, 24.4, 27.7, Annex V</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XXII:3, XXIII:3</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4</w:t>
      </w:r>
    </w:p>
    <w:p>
      <w:pPr>
        <w:pStyle w:val="Normal"/>
        <w:spacing w:lineRule="exact" w:line="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4</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 through 5</w:t>
      </w:r>
    </w:p>
    <w:p>
      <w:pPr>
        <w:sectPr>
          <w:type w:val="continuous"/>
          <w:pgSz w:w="11906" w:h="16838"/>
          <w:pgMar w:left="1440" w:right="1440" w:gutter="0" w:header="0" w:top="669" w:footer="0" w:bottom="1440"/>
          <w:cols w:num="2" w:equalWidth="false" w:sep="false">
            <w:col w:w="4880" w:space="160"/>
            <w:col w:w="398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720" w:end="0"/>
        <w:rPr>
          <w:rFonts w:ascii="Times New Roman" w:hAnsi="Times New Roman" w:eastAsia="Times New Roman" w:cs="Times New Roman"/>
          <w:sz w:val="21"/>
        </w:rPr>
      </w:pPr>
      <w:r>
        <w:rPr>
          <w:rFonts w:eastAsia="Times New Roman" w:cs="Times New Roman" w:ascii="Times New Roman" w:hAnsi="Times New Roman"/>
          <w:sz w:val="21"/>
        </w:rPr>
        <w:t>The list of rules and procedures in this Appendix includes provisions where only a part of the provision may be relevant in this context.</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uto" w:line="276"/>
        <w:ind w:firstLine="720" w:end="0"/>
        <w:rPr>
          <w:rFonts w:ascii="Times New Roman" w:hAnsi="Times New Roman" w:eastAsia="Times New Roman" w:cs="Times New Roman"/>
          <w:sz w:val="21"/>
        </w:rPr>
      </w:pPr>
      <w:r>
        <w:rPr>
          <w:rFonts w:eastAsia="Times New Roman" w:cs="Times New Roman" w:ascii="Times New Roman" w:hAnsi="Times New Roman"/>
          <w:sz w:val="21"/>
        </w:rPr>
        <w:t>Any special or additional rules or procedures in the Plurilateral Trade Agreements as determined by the competent bodies of each agreement and as notified to the DSB.</w:t>
      </w:r>
    </w:p>
    <w:p>
      <w:pPr>
        <w:sectPr>
          <w:type w:val="continuous"/>
          <w:pgSz w:w="11906" w:h="16838"/>
          <w:pgMar w:left="1440" w:right="1440" w:gutter="0" w:header="0" w:top="669" w:footer="0" w:bottom="1440"/>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22" w:name="page23"/>
      <w:bookmarkEnd w:id="22"/>
      <w:r>
        <w:drawing>
          <wp:anchor behindDoc="1" distT="0" distB="0" distL="114935" distR="114935" simplePos="0" locked="0" layoutInCell="0" allowOverlap="1" relativeHeight="36">
            <wp:simplePos x="0" y="0"/>
            <wp:positionH relativeFrom="page">
              <wp:posOffset>2755900</wp:posOffset>
            </wp:positionH>
            <wp:positionV relativeFrom="page">
              <wp:posOffset>76200</wp:posOffset>
            </wp:positionV>
            <wp:extent cx="2101850" cy="355600"/>
            <wp:effectExtent l="0" t="0" r="0" b="0"/>
            <wp:wrapNone/>
            <wp:docPr id="35" name="Image2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3" descr="" title=""/>
                    <pic:cNvPicPr>
                      <a:picLocks noChangeAspect="1" noChangeArrowheads="1"/>
                    </pic:cNvPicPr>
                  </pic:nvPicPr>
                  <pic:blipFill>
                    <a:blip r:embed="rId24"/>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375</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APPENDIX 3</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WORKING PROCEDURES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5"/>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In its proceedings the panel shall follow the relevant provisions of this Understanding. In addition, the following working procedures shall apply.</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panel shall meet in closed session. The parties to the dispute, and interested parties, shall be present at the meetings only when invited by the panel to appear before it.</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deliberations of the panel and the documents submitted to it shall be kept confidential. Nothing in this Understanding shall preclude a party to a dispute from disclosing statements of its own positions to the public. Members shall treat as confidential information submitted by another Member to the panel which that Member has designated as confidential. Where a party to a dispute submits a confidential version of its written submissions to the panel, it shall also, upon request of a Member, provide a non-confidential summary of the information contained in its submissions that could be disclosed to the public.</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9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76"/>
        <w:jc w:val="both"/>
        <w:rPr>
          <w:rFonts w:ascii="Times New Roman" w:hAnsi="Times New Roman" w:eastAsia="Times New Roman" w:cs="Times New Roman"/>
          <w:sz w:val="21"/>
        </w:rPr>
      </w:pPr>
      <w:r>
        <w:rPr>
          <w:rFonts w:eastAsia="Times New Roman" w:cs="Times New Roman" w:ascii="Times New Roman" w:hAnsi="Times New Roman"/>
          <w:sz w:val="21"/>
        </w:rPr>
        <w:t>Before the first substantive meeting of the panel with the parties, the parties to the dispute shall transmit to the panel written submissions in which they present the facts of the case and their arguments.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At its first substantive meeting with the parties, the panel shall ask the party which has brought the complaint to present its case. Subsequently, and still at the same meeting, the party against which the complaint has been brought shall be asked to present its point of view.</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All third parties which have notified their interest in the dispute to the DSB shall be invited in writing to present their views during a session of the first substantive meeting of the panel set aside for that purpose. All such third parties may be present during the entirety of this session.</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66"/>
        <w:jc w:val="both"/>
        <w:rPr>
          <w:rFonts w:ascii="Times New Roman" w:hAnsi="Times New Roman" w:eastAsia="Times New Roman" w:cs="Times New Roman"/>
          <w:sz w:val="21"/>
        </w:rPr>
      </w:pPr>
      <w:r>
        <w:rPr>
          <w:rFonts w:eastAsia="Times New Roman" w:cs="Times New Roman" w:ascii="Times New Roman" w:hAnsi="Times New Roman"/>
          <w:sz w:val="21"/>
        </w:rPr>
        <w:t>Formal rebuttals shall be made at a second substantive meeting of the panel. The party complained against shall have the right to take the floor first to be followed by the complaining party. The parties shall submit, prior to that meeting, written rebuttals to the panel.</w:t>
      </w:r>
    </w:p>
    <w:p>
      <w:pPr>
        <w:pStyle w:val="Normal"/>
        <w:spacing w:lineRule="exact" w:line="22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panel may at any time put questions to the parties and ask them for explanations either in the course of a meeting with the parties or in writing.</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The parties to the dispute and any third party invited to present its views in accordance with Article 10 shall make available to the panel a written version of their oral statements.</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6"/>
        </w:numPr>
        <w:tabs>
          <w:tab w:val="clear" w:pos="720"/>
          <w:tab w:val="left" w:pos="600" w:leader="none"/>
        </w:tabs>
        <w:spacing w:lineRule="auto" w:line="264"/>
        <w:jc w:val="both"/>
        <w:rPr>
          <w:rFonts w:ascii="Times New Roman" w:hAnsi="Times New Roman" w:eastAsia="Times New Roman" w:cs="Times New Roman"/>
          <w:sz w:val="21"/>
        </w:rPr>
      </w:pPr>
      <w:r>
        <w:rPr>
          <w:rFonts w:eastAsia="Times New Roman" w:cs="Times New Roman" w:ascii="Times New Roman" w:hAnsi="Times New Roman"/>
          <w:sz w:val="21"/>
        </w:rPr>
        <w:t>In the interest of full transparency, the presentations, rebuttals and statements referred to in paragraphs 5 to 9 shall be made in the presence of the parties. Moreover, each party's written submissions, including any comments on the descriptive part of the report and responses to questions put by the panel, shall be made available to the other party or parties.</w:t>
      </w:r>
    </w:p>
    <w:p>
      <w:pPr>
        <w:pStyle w:val="Normal"/>
        <w:spacing w:lineRule="exact" w:line="233"/>
        <w:rPr>
          <w:rFonts w:ascii="Times New Roman" w:hAnsi="Times New Roman" w:eastAsia="Times New Roman" w:cs="Times New Roman"/>
          <w:sz w:val="21"/>
        </w:rPr>
      </w:pPr>
      <w:r>
        <w:rPr>
          <w:rFonts w:eastAsia="Times New Roman" w:cs="Times New Roman" w:ascii="Times New Roman" w:hAnsi="Times New Roman"/>
          <w:sz w:val="21"/>
        </w:rPr>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numPr>
          <w:ilvl w:val="0"/>
          <w:numId w:val="56"/>
        </w:numPr>
        <w:tabs>
          <w:tab w:val="clear" w:pos="720"/>
          <w:tab w:val="left" w:pos="600" w:leader="none"/>
        </w:tabs>
        <w:spacing w:lineRule="atLeast" w:line="0"/>
        <w:ind w:hanging="600" w:start="600" w:end="0"/>
        <w:rPr>
          <w:rFonts w:ascii="Times New Roman" w:hAnsi="Times New Roman" w:eastAsia="Times New Roman" w:cs="Times New Roman"/>
          <w:sz w:val="21"/>
        </w:rPr>
      </w:pPr>
      <w:r>
        <w:rPr>
          <w:rFonts w:eastAsia="Times New Roman" w:cs="Times New Roman" w:ascii="Times New Roman" w:hAnsi="Times New Roman"/>
          <w:sz w:val="21"/>
        </w:rPr>
        <w:t>Any additional procedures specific to the panel.</w:t>
      </w:r>
    </w:p>
    <w:p>
      <w:pPr>
        <w:pStyle w:val="Normal"/>
        <w:spacing w:lineRule="atLeast" w:line="0"/>
        <w:rPr>
          <w:rFonts w:ascii="Times New Roman" w:hAnsi="Times New Roman" w:eastAsia="Times New Roman" w:cs="Times New Roman"/>
          <w:sz w:val="21"/>
        </w:rPr>
      </w:pPr>
      <w:bookmarkStart w:id="23" w:name="page24"/>
      <w:bookmarkEnd w:id="23"/>
      <w:r>
        <w:drawing>
          <wp:anchor behindDoc="1" distT="0" distB="0" distL="114935" distR="114935" simplePos="0" locked="0" layoutInCell="0" allowOverlap="1" relativeHeight="37">
            <wp:simplePos x="0" y="0"/>
            <wp:positionH relativeFrom="page">
              <wp:posOffset>2755900</wp:posOffset>
            </wp:positionH>
            <wp:positionV relativeFrom="page">
              <wp:posOffset>76200</wp:posOffset>
            </wp:positionV>
            <wp:extent cx="2101850" cy="355600"/>
            <wp:effectExtent l="0" t="0" r="0" b="0"/>
            <wp:wrapNone/>
            <wp:docPr id="36" name="Image2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 descr="" title=""/>
                    <pic:cNvPicPr>
                      <a:picLocks noChangeAspect="1" noChangeArrowheads="1"/>
                    </pic:cNvPicPr>
                  </pic:nvPicPr>
                  <pic:blipFill>
                    <a:blip r:embed="rId25"/>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376</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7"/>
        </w:numPr>
        <w:tabs>
          <w:tab w:val="clear" w:pos="720"/>
          <w:tab w:val="left" w:pos="600" w:leader="none"/>
        </w:tabs>
        <w:spacing w:lineRule="atLeast" w:line="0"/>
        <w:ind w:hanging="600" w:start="600" w:end="0"/>
        <w:rPr>
          <w:rFonts w:ascii="Times New Roman" w:hAnsi="Times New Roman" w:eastAsia="Times New Roman" w:cs="Times New Roman"/>
          <w:sz w:val="21"/>
        </w:rPr>
      </w:pPr>
      <w:r>
        <w:rPr>
          <w:rFonts w:eastAsia="Times New Roman" w:cs="Times New Roman" w:ascii="Times New Roman" w:hAnsi="Times New Roman"/>
          <w:sz w:val="21"/>
        </w:rPr>
        <w:t>Proposed timetable for panel work:</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58"/>
        </w:numPr>
        <w:tabs>
          <w:tab w:val="clear" w:pos="720"/>
          <w:tab w:val="left" w:pos="1200" w:leader="none"/>
        </w:tabs>
        <w:spacing w:lineRule="atLeast" w:line="0"/>
        <w:ind w:hanging="600" w:start="1200" w:end="0"/>
        <w:rPr>
          <w:rFonts w:ascii="Times New Roman" w:hAnsi="Times New Roman" w:eastAsia="Times New Roman" w:cs="Times New Roman"/>
          <w:sz w:val="21"/>
        </w:rPr>
      </w:pPr>
      <w:r>
        <w:rPr>
          <w:rFonts w:eastAsia="Times New Roman" w:cs="Times New Roman" w:ascii="Times New Roman" w:hAnsi="Times New Roman"/>
          <w:sz w:val="21"/>
        </w:rPr>
        <w:t>Receipt of first written submissions of the parties:</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tbl>
      <w:tblPr>
        <w:tblW w:w="7820" w:type="dxa"/>
        <w:jc w:val="start"/>
        <w:tblInd w:w="1200" w:type="dxa"/>
        <w:tblLayout w:type="fixed"/>
        <w:tblCellMar>
          <w:top w:w="0" w:type="dxa"/>
          <w:start w:w="0" w:type="dxa"/>
          <w:bottom w:w="0" w:type="dxa"/>
          <w:end w:w="0" w:type="dxa"/>
        </w:tblCellMar>
      </w:tblPr>
      <w:tblGrid>
        <w:gridCol w:w="420"/>
        <w:gridCol w:w="3980"/>
        <w:gridCol w:w="2380"/>
        <w:gridCol w:w="1040"/>
      </w:tblGrid>
      <w:tr>
        <w:trPr>
          <w:trHeight w:val="259" w:hRule="atLeast"/>
        </w:trPr>
        <w:tc>
          <w:tcPr>
            <w:tcW w:w="420" w:type="dxa"/>
            <w:tcBorders/>
          </w:tcPr>
          <w:p>
            <w:pPr>
              <w:pStyle w:val="Normal"/>
              <w:spacing w:lineRule="atLeast" w:line="0"/>
              <w:ind w:end="54"/>
              <w:jc w:val="end"/>
              <w:rPr>
                <w:rFonts w:ascii="Times New Roman" w:hAnsi="Times New Roman" w:eastAsia="Times New Roman" w:cs="Times New Roman"/>
                <w:w w:val="97"/>
                <w:sz w:val="21"/>
              </w:rPr>
            </w:pPr>
            <w:r>
              <w:rPr>
                <w:rFonts w:eastAsia="Times New Roman" w:cs="Times New Roman" w:ascii="Times New Roman" w:hAnsi="Times New Roman"/>
                <w:w w:val="97"/>
                <w:sz w:val="21"/>
              </w:rPr>
              <w:t>(1)</w:t>
            </w:r>
          </w:p>
        </w:tc>
        <w:tc>
          <w:tcPr>
            <w:tcW w:w="39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complaining Party:</w:t>
            </w:r>
          </w:p>
        </w:tc>
        <w:tc>
          <w:tcPr>
            <w:tcW w:w="238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1040" w:type="dxa"/>
            <w:tcBorders/>
          </w:tcPr>
          <w:p>
            <w:pPr>
              <w:pStyle w:val="Normal"/>
              <w:spacing w:lineRule="atLeast" w:line="0"/>
              <w:ind w:start="160" w:end="0"/>
              <w:rPr>
                <w:rFonts w:ascii="Times New Roman" w:hAnsi="Times New Roman" w:eastAsia="Times New Roman" w:cs="Times New Roman"/>
                <w:sz w:val="21"/>
              </w:rPr>
            </w:pPr>
            <w:r>
              <w:rPr>
                <w:rFonts w:eastAsia="Times New Roman" w:cs="Times New Roman" w:ascii="Times New Roman" w:hAnsi="Times New Roman"/>
                <w:sz w:val="21"/>
              </w:rPr>
              <w:t>3-6 weeks</w:t>
            </w:r>
          </w:p>
        </w:tc>
      </w:tr>
      <w:tr>
        <w:trPr>
          <w:trHeight w:val="263" w:hRule="atLeast"/>
        </w:trPr>
        <w:tc>
          <w:tcPr>
            <w:tcW w:w="420" w:type="dxa"/>
            <w:tcBorders/>
          </w:tcPr>
          <w:p>
            <w:pPr>
              <w:pStyle w:val="Normal"/>
              <w:spacing w:lineRule="atLeast" w:line="0"/>
              <w:ind w:end="54"/>
              <w:jc w:val="end"/>
              <w:rPr>
                <w:rFonts w:ascii="Times New Roman" w:hAnsi="Times New Roman" w:eastAsia="Times New Roman" w:cs="Times New Roman"/>
                <w:w w:val="97"/>
                <w:sz w:val="21"/>
              </w:rPr>
            </w:pPr>
            <w:r>
              <w:rPr>
                <w:rFonts w:eastAsia="Times New Roman" w:cs="Times New Roman" w:ascii="Times New Roman" w:hAnsi="Times New Roman"/>
                <w:w w:val="97"/>
                <w:sz w:val="21"/>
              </w:rPr>
              <w:t>(2)</w:t>
            </w:r>
          </w:p>
        </w:tc>
        <w:tc>
          <w:tcPr>
            <w:tcW w:w="39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Party complained against:</w:t>
            </w:r>
          </w:p>
        </w:tc>
        <w:tc>
          <w:tcPr>
            <w:tcW w:w="238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1040" w:type="dxa"/>
            <w:tcBorders/>
          </w:tcPr>
          <w:p>
            <w:pPr>
              <w:pStyle w:val="Normal"/>
              <w:spacing w:lineRule="atLeast" w:line="0"/>
              <w:ind w:start="160" w:end="0"/>
              <w:rPr>
                <w:rFonts w:ascii="Times New Roman" w:hAnsi="Times New Roman" w:eastAsia="Times New Roman" w:cs="Times New Roman"/>
                <w:sz w:val="21"/>
              </w:rPr>
            </w:pPr>
            <w:r>
              <w:rPr>
                <w:rFonts w:eastAsia="Times New Roman" w:cs="Times New Roman" w:ascii="Times New Roman" w:hAnsi="Times New Roman"/>
                <w:sz w:val="21"/>
              </w:rPr>
              <w:t>2-3 weeks</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9"/>
        </w:numPr>
        <w:tabs>
          <w:tab w:val="clear" w:pos="720"/>
          <w:tab w:val="left" w:pos="1200" w:leader="none"/>
        </w:tabs>
        <w:spacing w:lineRule="atLeast" w:line="0"/>
        <w:ind w:hanging="600" w:start="1200" w:end="0"/>
        <w:rPr>
          <w:rFonts w:ascii="Times New Roman" w:hAnsi="Times New Roman" w:eastAsia="Times New Roman" w:cs="Times New Roman"/>
          <w:sz w:val="21"/>
        </w:rPr>
      </w:pPr>
      <w:r>
        <w:rPr>
          <w:rFonts w:eastAsia="Times New Roman" w:cs="Times New Roman" w:ascii="Times New Roman" w:hAnsi="Times New Roman"/>
          <w:sz w:val="21"/>
        </w:rPr>
        <w:t>Date, time and place of first substantive meeting</w:t>
      </w:r>
    </w:p>
    <w:p>
      <w:pPr>
        <w:sectPr>
          <w:type w:val="nextPage"/>
          <w:pgSz w:w="11906" w:h="16838"/>
          <w:pgMar w:left="1440" w:right="1440" w:gutter="0" w:header="0" w:top="669" w:footer="0" w:bottom="1440"/>
          <w:pgNumType w:fmt="decimal"/>
          <w:formProt w:val="false"/>
          <w:textDirection w:val="lrTb"/>
          <w:docGrid w:type="default" w:linePitch="360" w:charSpace="0"/>
        </w:sectPr>
      </w:pP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2780" w:leader="none"/>
        </w:tabs>
        <w:spacing w:lineRule="atLeast" w:line="0"/>
        <w:ind w:start="1200" w:end="0"/>
        <w:rPr/>
      </w:pPr>
      <w:r>
        <w:rPr>
          <w:rFonts w:eastAsia="Times New Roman" w:cs="Times New Roman" w:ascii="Times New Roman" w:hAnsi="Times New Roman"/>
          <w:sz w:val="21"/>
        </w:rPr>
        <w:t>with the parties;</w:t>
        <w:tab/>
        <w:t>third party session:</w:t>
      </w:r>
    </w:p>
    <w:p>
      <w:pPr>
        <w:pStyle w:val="Normal"/>
        <w:spacing w:lineRule="exact" w:line="2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w:t>
      </w:r>
    </w:p>
    <w:p>
      <w:pPr>
        <w:pStyle w:val="Normal"/>
        <w:spacing w:lineRule="exact" w:line="2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1-2 weeks</w:t>
      </w:r>
    </w:p>
    <w:p>
      <w:pPr>
        <w:sectPr>
          <w:type w:val="continuous"/>
          <w:pgSz w:w="11906" w:h="16838"/>
          <w:pgMar w:left="1440" w:right="1440" w:gutter="0" w:header="0" w:top="669" w:footer="0" w:bottom="1440"/>
          <w:cols w:num="3" w:equalWidth="false" w:sep="false">
            <w:col w:w="6340" w:space="720"/>
            <w:col w:w="760" w:space="320"/>
            <w:col w:w="880"/>
          </w:cols>
          <w:formProt w:val="false"/>
          <w:textDirection w:val="lrTb"/>
          <w:docGrid w:type="default" w:linePitch="360" w:charSpace="0"/>
        </w:sectPr>
      </w:pP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180" w:leader="none"/>
        </w:tabs>
        <w:spacing w:lineRule="atLeast" w:line="0"/>
        <w:ind w:start="600" w:end="0"/>
        <w:rPr/>
      </w:pPr>
      <w:r>
        <w:rPr>
          <w:rFonts w:eastAsia="Times New Roman" w:cs="Times New Roman" w:ascii="Times New Roman" w:hAnsi="Times New Roman"/>
          <w:sz w:val="21"/>
        </w:rPr>
        <w:t>(c)</w:t>
      </w:r>
      <w:r>
        <w:rPr>
          <w:rFonts w:eastAsia="Times New Roman" w:cs="Times New Roman" w:ascii="Times New Roman" w:hAnsi="Times New Roman"/>
        </w:rPr>
        <w:tab/>
      </w:r>
      <w:r>
        <w:rPr>
          <w:rFonts w:eastAsia="Times New Roman" w:cs="Times New Roman" w:ascii="Times New Roman" w:hAnsi="Times New Roman"/>
          <w:sz w:val="21"/>
        </w:rPr>
        <w:t>Receipt of written rebuttals of the parties:</w:t>
      </w:r>
    </w:p>
    <w:p>
      <w:pPr>
        <w:pStyle w:val="Normal"/>
        <w:spacing w:lineRule="exact" w:line="27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w:t>
      </w:r>
    </w:p>
    <w:p>
      <w:pPr>
        <w:pStyle w:val="Normal"/>
        <w:spacing w:lineRule="exact" w:line="27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2-3 weeks</w:t>
      </w:r>
    </w:p>
    <w:p>
      <w:pPr>
        <w:sectPr>
          <w:type w:val="continuous"/>
          <w:pgSz w:w="11906" w:h="16838"/>
          <w:pgMar w:left="1440" w:right="1440" w:gutter="0" w:header="0" w:top="669" w:footer="0" w:bottom="1440"/>
          <w:cols w:num="3" w:equalWidth="false" w:sep="false">
            <w:col w:w="6340" w:space="720"/>
            <w:col w:w="760" w:space="320"/>
            <w:col w:w="880"/>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0"/>
        </w:numPr>
        <w:tabs>
          <w:tab w:val="clear" w:pos="720"/>
          <w:tab w:val="left" w:pos="1200" w:leader="none"/>
        </w:tabs>
        <w:spacing w:lineRule="atLeast" w:line="0"/>
        <w:ind w:hanging="600" w:start="1200" w:end="0"/>
        <w:rPr>
          <w:rFonts w:ascii="Times New Roman" w:hAnsi="Times New Roman" w:eastAsia="Times New Roman" w:cs="Times New Roman"/>
          <w:sz w:val="21"/>
        </w:rPr>
      </w:pPr>
      <w:r>
        <w:rPr>
          <w:rFonts w:eastAsia="Times New Roman" w:cs="Times New Roman" w:ascii="Times New Roman" w:hAnsi="Times New Roman"/>
          <w:sz w:val="21"/>
        </w:rPr>
        <w:t>Date, time and place of second substantive</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tbl>
      <w:tblPr>
        <w:tblW w:w="8420" w:type="dxa"/>
        <w:jc w:val="start"/>
        <w:tblInd w:w="600" w:type="dxa"/>
        <w:tblLayout w:type="fixed"/>
        <w:tblCellMar>
          <w:top w:w="0" w:type="dxa"/>
          <w:start w:w="0" w:type="dxa"/>
          <w:bottom w:w="0" w:type="dxa"/>
          <w:end w:w="0" w:type="dxa"/>
        </w:tblCellMar>
      </w:tblPr>
      <w:tblGrid>
        <w:gridCol w:w="420"/>
        <w:gridCol w:w="5580"/>
        <w:gridCol w:w="1380"/>
        <w:gridCol w:w="1040"/>
      </w:tblGrid>
      <w:tr>
        <w:trPr>
          <w:trHeight w:val="263"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meeting with the parties:</w:t>
            </w:r>
          </w:p>
        </w:tc>
        <w:tc>
          <w:tcPr>
            <w:tcW w:w="138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1040" w:type="dxa"/>
            <w:tcBorders/>
          </w:tcPr>
          <w:p>
            <w:pPr>
              <w:pStyle w:val="Normal"/>
              <w:spacing w:lineRule="atLeast" w:line="0"/>
              <w:ind w:start="160" w:end="0"/>
              <w:rPr>
                <w:rFonts w:ascii="Times New Roman" w:hAnsi="Times New Roman" w:eastAsia="Times New Roman" w:cs="Times New Roman"/>
                <w:sz w:val="21"/>
              </w:rPr>
            </w:pPr>
            <w:r>
              <w:rPr>
                <w:rFonts w:eastAsia="Times New Roman" w:cs="Times New Roman" w:ascii="Times New Roman" w:hAnsi="Times New Roman"/>
                <w:sz w:val="21"/>
              </w:rPr>
              <w:t>1-2 weeks</w:t>
            </w:r>
          </w:p>
        </w:tc>
      </w:tr>
      <w:tr>
        <w:trPr>
          <w:trHeight w:val="515" w:hRule="atLeast"/>
        </w:trPr>
        <w:tc>
          <w:tcPr>
            <w:tcW w:w="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(e)</w:t>
            </w:r>
          </w:p>
        </w:tc>
        <w:tc>
          <w:tcPr>
            <w:tcW w:w="55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Issuance of descriptive part of the report to the parties:</w:t>
            </w:r>
          </w:p>
        </w:tc>
        <w:tc>
          <w:tcPr>
            <w:tcW w:w="138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1040" w:type="dxa"/>
            <w:tcBorders/>
          </w:tcPr>
          <w:p>
            <w:pPr>
              <w:pStyle w:val="Normal"/>
              <w:spacing w:lineRule="atLeast" w:line="0"/>
              <w:ind w:start="160" w:end="0"/>
              <w:rPr>
                <w:rFonts w:ascii="Times New Roman" w:hAnsi="Times New Roman" w:eastAsia="Times New Roman" w:cs="Times New Roman"/>
                <w:sz w:val="21"/>
              </w:rPr>
            </w:pPr>
            <w:r>
              <w:rPr>
                <w:rFonts w:eastAsia="Times New Roman" w:cs="Times New Roman" w:ascii="Times New Roman" w:hAnsi="Times New Roman"/>
                <w:sz w:val="21"/>
              </w:rPr>
              <w:t>2-4 weeks</w:t>
            </w:r>
          </w:p>
        </w:tc>
      </w:tr>
      <w:tr>
        <w:trPr>
          <w:trHeight w:val="515" w:hRule="atLeast"/>
        </w:trPr>
        <w:tc>
          <w:tcPr>
            <w:tcW w:w="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(f)</w:t>
            </w:r>
          </w:p>
        </w:tc>
        <w:tc>
          <w:tcPr>
            <w:tcW w:w="55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Receipt of comments by the parties on the</w:t>
            </w:r>
          </w:p>
        </w:tc>
        <w:tc>
          <w:tcPr>
            <w:tcW w:w="13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63"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58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descriptive part of the report:</w:t>
            </w:r>
          </w:p>
        </w:tc>
        <w:tc>
          <w:tcPr>
            <w:tcW w:w="138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1040" w:type="dxa"/>
            <w:tcBorders/>
          </w:tcPr>
          <w:p>
            <w:pPr>
              <w:pStyle w:val="Normal"/>
              <w:spacing w:lineRule="atLeast" w:line="0"/>
              <w:ind w:start="160" w:end="0"/>
              <w:rPr>
                <w:rFonts w:ascii="Times New Roman" w:hAnsi="Times New Roman" w:eastAsia="Times New Roman" w:cs="Times New Roman"/>
                <w:sz w:val="21"/>
              </w:rPr>
            </w:pPr>
            <w:r>
              <w:rPr>
                <w:rFonts w:eastAsia="Times New Roman" w:cs="Times New Roman" w:ascii="Times New Roman" w:hAnsi="Times New Roman"/>
                <w:sz w:val="21"/>
              </w:rPr>
              <w:t>2 weeks</w:t>
            </w:r>
          </w:p>
        </w:tc>
      </w:tr>
    </w:tbl>
    <w:p>
      <w:pPr>
        <w:pStyle w:val="Normal"/>
        <w:spacing w:lineRule="exact" w:line="2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1"/>
        </w:numPr>
        <w:tabs>
          <w:tab w:val="clear" w:pos="720"/>
          <w:tab w:val="left" w:pos="1200" w:leader="none"/>
        </w:tabs>
        <w:spacing w:lineRule="atLeast" w:line="0"/>
        <w:ind w:hanging="600" w:start="1200" w:end="0"/>
        <w:rPr>
          <w:rFonts w:ascii="Times New Roman" w:hAnsi="Times New Roman" w:eastAsia="Times New Roman" w:cs="Times New Roman"/>
          <w:sz w:val="21"/>
        </w:rPr>
      </w:pPr>
      <w:r>
        <w:rPr>
          <w:rFonts w:eastAsia="Times New Roman" w:cs="Times New Roman" w:ascii="Times New Roman" w:hAnsi="Times New Roman"/>
          <w:sz w:val="21"/>
        </w:rPr>
        <w:t>Issuance of the interim report, including the</w:t>
      </w:r>
    </w:p>
    <w:p>
      <w:pPr>
        <w:sectPr>
          <w:type w:val="continuous"/>
          <w:pgSz w:w="11906" w:h="16838"/>
          <w:pgMar w:left="1440" w:right="1440" w:gutter="0" w:header="0" w:top="669" w:footer="0" w:bottom="1440"/>
          <w:formProt w:val="false"/>
          <w:textDirection w:val="lrTb"/>
          <w:docGrid w:type="default" w:linePitch="360" w:charSpace="0"/>
        </w:sectPr>
      </w:pP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ind w:start="1200" w:end="0"/>
        <w:rPr>
          <w:rFonts w:ascii="Times New Roman" w:hAnsi="Times New Roman" w:eastAsia="Times New Roman" w:cs="Times New Roman"/>
          <w:sz w:val="21"/>
        </w:rPr>
      </w:pPr>
      <w:r>
        <w:rPr>
          <w:rFonts w:eastAsia="Times New Roman" w:cs="Times New Roman" w:ascii="Times New Roman" w:hAnsi="Times New Roman"/>
          <w:sz w:val="21"/>
        </w:rPr>
        <w:t>findings and conclusions, to the parties:</w:t>
      </w:r>
    </w:p>
    <w:p>
      <w:pPr>
        <w:pStyle w:val="Normal"/>
        <w:spacing w:lineRule="exact" w:line="2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w:t>
      </w:r>
    </w:p>
    <w:p>
      <w:pPr>
        <w:pStyle w:val="Normal"/>
        <w:spacing w:lineRule="exact" w:line="21"/>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2-4 weeks</w:t>
      </w:r>
    </w:p>
    <w:p>
      <w:pPr>
        <w:sectPr>
          <w:type w:val="continuous"/>
          <w:pgSz w:w="11906" w:h="16838"/>
          <w:pgMar w:left="1440" w:right="1440" w:gutter="0" w:header="0" w:top="669" w:footer="0" w:bottom="1440"/>
          <w:cols w:num="3" w:equalWidth="false" w:sep="false">
            <w:col w:w="6340" w:space="720"/>
            <w:col w:w="760" w:space="320"/>
            <w:col w:w="880"/>
          </w:cols>
          <w:formProt w:val="false"/>
          <w:textDirection w:val="lrTb"/>
          <w:docGrid w:type="default" w:linePitch="360" w:charSpace="0"/>
        </w:sectPr>
      </w:pPr>
    </w:p>
    <w:p>
      <w:pPr>
        <w:pStyle w:val="Normal"/>
        <w:spacing w:lineRule="exact" w:line="273"/>
        <w:rPr>
          <w:rFonts w:ascii="Times New Roman" w:hAnsi="Times New Roman" w:eastAsia="Times New Roman" w:cs="Times New Roman"/>
          <w:sz w:val="21"/>
        </w:rPr>
      </w:pPr>
      <w:r>
        <w:rPr>
          <w:rFonts w:eastAsia="Times New Roman" w:cs="Times New Roman" w:ascii="Times New Roman" w:hAnsi="Times New Roman"/>
          <w:sz w:val="21"/>
        </w:rPr>
      </w:r>
    </w:p>
    <w:p>
      <w:pPr>
        <w:pStyle w:val="Normal"/>
        <w:tabs>
          <w:tab w:val="clear" w:pos="720"/>
          <w:tab w:val="left" w:pos="1180" w:leader="none"/>
        </w:tabs>
        <w:spacing w:lineRule="atLeast" w:line="0"/>
        <w:ind w:start="600" w:end="0"/>
        <w:rPr/>
      </w:pPr>
      <w:r>
        <w:rPr>
          <w:rFonts w:eastAsia="Times New Roman" w:cs="Times New Roman" w:ascii="Times New Roman" w:hAnsi="Times New Roman"/>
          <w:sz w:val="21"/>
        </w:rPr>
        <w:t>(h)</w:t>
      </w:r>
      <w:r>
        <w:rPr>
          <w:rFonts w:eastAsia="Times New Roman" w:cs="Times New Roman" w:ascii="Times New Roman" w:hAnsi="Times New Roman"/>
        </w:rPr>
        <w:tab/>
      </w:r>
      <w:r>
        <w:rPr>
          <w:rFonts w:eastAsia="Times New Roman" w:cs="Times New Roman" w:ascii="Times New Roman" w:hAnsi="Times New Roman"/>
          <w:sz w:val="21"/>
        </w:rPr>
        <w:t>Deadline for party to request review of part(s) of report:</w:t>
      </w:r>
    </w:p>
    <w:p>
      <w:pPr>
        <w:pStyle w:val="Normal"/>
        <w:spacing w:lineRule="exact" w:line="27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_______</w:t>
      </w:r>
    </w:p>
    <w:p>
      <w:pPr>
        <w:pStyle w:val="Normal"/>
        <w:spacing w:lineRule="exact" w:line="273"/>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1 week</w:t>
      </w:r>
    </w:p>
    <w:p>
      <w:pPr>
        <w:sectPr>
          <w:type w:val="continuous"/>
          <w:pgSz w:w="11906" w:h="16838"/>
          <w:pgMar w:left="1440" w:right="1440" w:gutter="0" w:header="0" w:top="669" w:footer="0" w:bottom="1440"/>
          <w:cols w:num="3" w:equalWidth="false" w:sep="false">
            <w:col w:w="6340" w:space="720"/>
            <w:col w:w="760" w:space="320"/>
            <w:col w:w="880"/>
          </w:cols>
          <w:formProt w:val="false"/>
          <w:textDirection w:val="lrTb"/>
          <w:docGrid w:type="default" w:linePitch="360" w:charSpace="0"/>
        </w:sectPr>
      </w:pP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2"/>
        </w:numPr>
        <w:tabs>
          <w:tab w:val="clear" w:pos="720"/>
          <w:tab w:val="left" w:pos="1200" w:leader="none"/>
        </w:tabs>
        <w:spacing w:lineRule="atLeast" w:line="0"/>
        <w:ind w:hanging="600" w:start="1200" w:end="0"/>
        <w:rPr>
          <w:rFonts w:ascii="Times New Roman" w:hAnsi="Times New Roman" w:eastAsia="Times New Roman" w:cs="Times New Roman"/>
          <w:sz w:val="21"/>
        </w:rPr>
      </w:pPr>
      <w:r>
        <w:rPr>
          <w:rFonts w:eastAsia="Times New Roman" w:cs="Times New Roman" w:ascii="Times New Roman" w:hAnsi="Times New Roman"/>
          <w:sz w:val="21"/>
        </w:rPr>
        <w:t>Period of review by panel, including possible</w:t>
      </w:r>
    </w:p>
    <w:p>
      <w:pPr>
        <w:pStyle w:val="Normal"/>
        <w:spacing w:lineRule="exact" w:line="21"/>
        <w:rPr>
          <w:rFonts w:ascii="Times New Roman" w:hAnsi="Times New Roman" w:eastAsia="Times New Roman" w:cs="Times New Roman"/>
          <w:sz w:val="21"/>
        </w:rPr>
      </w:pPr>
      <w:r>
        <w:rPr>
          <w:rFonts w:eastAsia="Times New Roman" w:cs="Times New Roman" w:ascii="Times New Roman" w:hAnsi="Times New Roman"/>
          <w:sz w:val="21"/>
        </w:rPr>
      </w:r>
    </w:p>
    <w:tbl>
      <w:tblPr>
        <w:tblW w:w="8260" w:type="dxa"/>
        <w:jc w:val="start"/>
        <w:tblInd w:w="600" w:type="dxa"/>
        <w:tblLayout w:type="fixed"/>
        <w:tblCellMar>
          <w:top w:w="0" w:type="dxa"/>
          <w:start w:w="0" w:type="dxa"/>
          <w:bottom w:w="0" w:type="dxa"/>
          <w:end w:w="0" w:type="dxa"/>
        </w:tblCellMar>
      </w:tblPr>
      <w:tblGrid>
        <w:gridCol w:w="420"/>
        <w:gridCol w:w="5220"/>
        <w:gridCol w:w="1740"/>
        <w:gridCol w:w="300"/>
        <w:gridCol w:w="580"/>
      </w:tblGrid>
      <w:tr>
        <w:trPr>
          <w:trHeight w:val="263" w:hRule="atLeast"/>
        </w:trPr>
        <w:tc>
          <w:tcPr>
            <w:tcW w:w="4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2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additional meeting with parties:</w:t>
            </w:r>
          </w:p>
        </w:tc>
        <w:tc>
          <w:tcPr>
            <w:tcW w:w="174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300" w:type="dxa"/>
            <w:tcBorders/>
          </w:tcPr>
          <w:p>
            <w:pPr>
              <w:pStyle w:val="Normal"/>
              <w:spacing w:lineRule="atLeast" w:line="0"/>
              <w:jc w:val="end"/>
              <w:rPr>
                <w:rFonts w:ascii="Times New Roman" w:hAnsi="Times New Roman" w:eastAsia="Times New Roman" w:cs="Times New Roman"/>
                <w:sz w:val="21"/>
              </w:rPr>
            </w:pPr>
            <w:r>
              <w:rPr>
                <w:rFonts w:eastAsia="Times New Roman" w:cs="Times New Roman" w:ascii="Times New Roman" w:hAnsi="Times New Roman"/>
                <w:sz w:val="21"/>
              </w:rPr>
              <w:t>2</w:t>
            </w:r>
          </w:p>
        </w:tc>
        <w:tc>
          <w:tcPr>
            <w:tcW w:w="580" w:type="dxa"/>
            <w:tcBorders/>
          </w:tcPr>
          <w:p>
            <w:pPr>
              <w:pStyle w:val="Normal"/>
              <w:spacing w:lineRule="atLeast" w:line="0"/>
              <w:ind w:start="40" w:end="0"/>
              <w:rPr>
                <w:rFonts w:ascii="Times New Roman" w:hAnsi="Times New Roman" w:eastAsia="Times New Roman" w:cs="Times New Roman"/>
                <w:w w:val="98"/>
                <w:sz w:val="21"/>
              </w:rPr>
            </w:pPr>
            <w:r>
              <w:rPr>
                <w:rFonts w:eastAsia="Times New Roman" w:cs="Times New Roman" w:ascii="Times New Roman" w:hAnsi="Times New Roman"/>
                <w:w w:val="98"/>
                <w:sz w:val="21"/>
              </w:rPr>
              <w:t>weeks</w:t>
            </w:r>
          </w:p>
        </w:tc>
      </w:tr>
      <w:tr>
        <w:trPr>
          <w:trHeight w:val="515" w:hRule="atLeast"/>
        </w:trPr>
        <w:tc>
          <w:tcPr>
            <w:tcW w:w="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(j)</w:t>
            </w:r>
          </w:p>
        </w:tc>
        <w:tc>
          <w:tcPr>
            <w:tcW w:w="522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Issuance of final report to parties to dispute:</w:t>
            </w:r>
          </w:p>
        </w:tc>
        <w:tc>
          <w:tcPr>
            <w:tcW w:w="174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300" w:type="dxa"/>
            <w:tcBorders/>
          </w:tcPr>
          <w:p>
            <w:pPr>
              <w:pStyle w:val="Normal"/>
              <w:spacing w:lineRule="atLeast" w:line="0"/>
              <w:jc w:val="end"/>
              <w:rPr>
                <w:rFonts w:ascii="Times New Roman" w:hAnsi="Times New Roman" w:eastAsia="Times New Roman" w:cs="Times New Roman"/>
                <w:sz w:val="21"/>
              </w:rPr>
            </w:pPr>
            <w:r>
              <w:rPr>
                <w:rFonts w:eastAsia="Times New Roman" w:cs="Times New Roman" w:ascii="Times New Roman" w:hAnsi="Times New Roman"/>
                <w:sz w:val="21"/>
              </w:rPr>
              <w:t>2</w:t>
            </w:r>
          </w:p>
        </w:tc>
        <w:tc>
          <w:tcPr>
            <w:tcW w:w="580" w:type="dxa"/>
            <w:tcBorders/>
          </w:tcPr>
          <w:p>
            <w:pPr>
              <w:pStyle w:val="Normal"/>
              <w:spacing w:lineRule="atLeast" w:line="0"/>
              <w:ind w:start="40" w:end="0"/>
              <w:rPr>
                <w:rFonts w:ascii="Times New Roman" w:hAnsi="Times New Roman" w:eastAsia="Times New Roman" w:cs="Times New Roman"/>
                <w:w w:val="98"/>
                <w:sz w:val="21"/>
              </w:rPr>
            </w:pPr>
            <w:r>
              <w:rPr>
                <w:rFonts w:eastAsia="Times New Roman" w:cs="Times New Roman" w:ascii="Times New Roman" w:hAnsi="Times New Roman"/>
                <w:w w:val="98"/>
                <w:sz w:val="21"/>
              </w:rPr>
              <w:t>weeks</w:t>
            </w:r>
          </w:p>
        </w:tc>
      </w:tr>
      <w:tr>
        <w:trPr>
          <w:trHeight w:val="518" w:hRule="atLeast"/>
        </w:trPr>
        <w:tc>
          <w:tcPr>
            <w:tcW w:w="420" w:type="dxa"/>
            <w:tcBorders/>
          </w:tcPr>
          <w:p>
            <w:pPr>
              <w:pStyle w:val="Normal"/>
              <w:spacing w:lineRule="atLeast" w:line="0"/>
              <w:rPr>
                <w:rFonts w:ascii="Times New Roman" w:hAnsi="Times New Roman" w:eastAsia="Times New Roman" w:cs="Times New Roman"/>
                <w:sz w:val="21"/>
              </w:rPr>
            </w:pPr>
            <w:r>
              <w:rPr>
                <w:rFonts w:eastAsia="Times New Roman" w:cs="Times New Roman" w:ascii="Times New Roman" w:hAnsi="Times New Roman"/>
                <w:sz w:val="21"/>
              </w:rPr>
              <w:t>(k)</w:t>
            </w:r>
          </w:p>
        </w:tc>
        <w:tc>
          <w:tcPr>
            <w:tcW w:w="5220" w:type="dxa"/>
            <w:tcBorders/>
          </w:tcPr>
          <w:p>
            <w:pPr>
              <w:pStyle w:val="Normal"/>
              <w:spacing w:lineRule="atLeast" w:line="0"/>
              <w:ind w:start="180" w:end="0"/>
              <w:rPr>
                <w:rFonts w:ascii="Times New Roman" w:hAnsi="Times New Roman" w:eastAsia="Times New Roman" w:cs="Times New Roman"/>
                <w:sz w:val="21"/>
              </w:rPr>
            </w:pPr>
            <w:r>
              <w:rPr>
                <w:rFonts w:eastAsia="Times New Roman" w:cs="Times New Roman" w:ascii="Times New Roman" w:hAnsi="Times New Roman"/>
                <w:sz w:val="21"/>
              </w:rPr>
              <w:t>Circulation of the final report to the Members:</w:t>
            </w:r>
          </w:p>
        </w:tc>
        <w:tc>
          <w:tcPr>
            <w:tcW w:w="1740" w:type="dxa"/>
            <w:tcBorders/>
          </w:tcPr>
          <w:p>
            <w:pPr>
              <w:pStyle w:val="Normal"/>
              <w:spacing w:lineRule="atLeast" w:line="0"/>
              <w:ind w:end="54"/>
              <w:jc w:val="end"/>
              <w:rPr>
                <w:rFonts w:ascii="Times New Roman" w:hAnsi="Times New Roman" w:eastAsia="Times New Roman" w:cs="Times New Roman"/>
                <w:sz w:val="21"/>
              </w:rPr>
            </w:pPr>
            <w:r>
              <w:rPr>
                <w:rFonts w:eastAsia="Times New Roman" w:cs="Times New Roman" w:ascii="Times New Roman" w:hAnsi="Times New Roman"/>
                <w:sz w:val="21"/>
              </w:rPr>
              <w:t>_______</w:t>
            </w:r>
          </w:p>
        </w:tc>
        <w:tc>
          <w:tcPr>
            <w:tcW w:w="300" w:type="dxa"/>
            <w:tcBorders/>
          </w:tcPr>
          <w:p>
            <w:pPr>
              <w:pStyle w:val="Normal"/>
              <w:spacing w:lineRule="atLeast" w:line="0"/>
              <w:jc w:val="end"/>
              <w:rPr>
                <w:rFonts w:ascii="Times New Roman" w:hAnsi="Times New Roman" w:eastAsia="Times New Roman" w:cs="Times New Roman"/>
                <w:sz w:val="21"/>
              </w:rPr>
            </w:pPr>
            <w:r>
              <w:rPr>
                <w:rFonts w:eastAsia="Times New Roman" w:cs="Times New Roman" w:ascii="Times New Roman" w:hAnsi="Times New Roman"/>
                <w:sz w:val="21"/>
              </w:rPr>
              <w:t>3</w:t>
            </w:r>
          </w:p>
        </w:tc>
        <w:tc>
          <w:tcPr>
            <w:tcW w:w="580" w:type="dxa"/>
            <w:tcBorders/>
          </w:tcPr>
          <w:p>
            <w:pPr>
              <w:pStyle w:val="Normal"/>
              <w:spacing w:lineRule="atLeast" w:line="0"/>
              <w:ind w:start="40" w:end="0"/>
              <w:rPr>
                <w:rFonts w:ascii="Times New Roman" w:hAnsi="Times New Roman" w:eastAsia="Times New Roman" w:cs="Times New Roman"/>
                <w:w w:val="98"/>
                <w:sz w:val="21"/>
              </w:rPr>
            </w:pPr>
            <w:r>
              <w:rPr>
                <w:rFonts w:eastAsia="Times New Roman" w:cs="Times New Roman" w:ascii="Times New Roman" w:hAnsi="Times New Roman"/>
                <w:w w:val="98"/>
                <w:sz w:val="21"/>
              </w:rPr>
              <w:t>weeks</w:t>
            </w:r>
          </w:p>
        </w:tc>
      </w:tr>
    </w:tbl>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600" w:end="0"/>
        <w:rPr>
          <w:rFonts w:ascii="Times New Roman" w:hAnsi="Times New Roman" w:eastAsia="Times New Roman" w:cs="Times New Roman"/>
          <w:sz w:val="21"/>
        </w:rPr>
      </w:pPr>
      <w:r>
        <w:rPr>
          <w:rFonts w:eastAsia="Times New Roman" w:cs="Times New Roman" w:ascii="Times New Roman" w:hAnsi="Times New Roman"/>
          <w:sz w:val="21"/>
        </w:rPr>
        <w:t>The above calendar may be changed in the light of unforeseen developments. Additional meetings with the parties shall be scheduled if required.</w:t>
      </w:r>
    </w:p>
    <w:p>
      <w:pPr>
        <w:sectPr>
          <w:type w:val="continuous"/>
          <w:pgSz w:w="11906" w:h="16838"/>
          <w:pgMar w:left="1440" w:right="1440" w:gutter="0" w:header="0" w:top="669" w:footer="0" w:bottom="1440"/>
          <w:formProt w:val="false"/>
          <w:textDirection w:val="lrTb"/>
          <w:docGrid w:type="default" w:linePitch="360" w:charSpace="0"/>
        </w:sectPr>
      </w:pPr>
    </w:p>
    <w:p>
      <w:pPr>
        <w:pStyle w:val="Normal"/>
        <w:spacing w:lineRule="atLeast" w:line="0"/>
        <w:ind w:start="8200" w:end="0"/>
        <w:rPr>
          <w:rFonts w:ascii="Times New Roman" w:hAnsi="Times New Roman" w:eastAsia="Times New Roman" w:cs="Times New Roman"/>
          <w:sz w:val="21"/>
        </w:rPr>
      </w:pPr>
      <w:bookmarkStart w:id="24" w:name="page25"/>
      <w:bookmarkEnd w:id="24"/>
      <w:r>
        <w:drawing>
          <wp:anchor behindDoc="1" distT="0" distB="0" distL="114935" distR="114935" simplePos="0" locked="0" layoutInCell="0" allowOverlap="1" relativeHeight="38">
            <wp:simplePos x="0" y="0"/>
            <wp:positionH relativeFrom="page">
              <wp:posOffset>2755900</wp:posOffset>
            </wp:positionH>
            <wp:positionV relativeFrom="page">
              <wp:posOffset>76200</wp:posOffset>
            </wp:positionV>
            <wp:extent cx="2101850" cy="355600"/>
            <wp:effectExtent l="0" t="0" r="0" b="0"/>
            <wp:wrapNone/>
            <wp:docPr id="37" name="Image2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5" descr="" title=""/>
                    <pic:cNvPicPr>
                      <a:picLocks noChangeAspect="1" noChangeArrowheads="1"/>
                    </pic:cNvPicPr>
                  </pic:nvPicPr>
                  <pic:blipFill>
                    <a:blip r:embed="rId26"/>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Page 377</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1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APPENDIX 4</w:t>
      </w:r>
    </w:p>
    <w:p>
      <w:pPr>
        <w:pStyle w:val="Normal"/>
        <w:spacing w:lineRule="exact" w:line="277"/>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atLeast" w:line="0"/>
        <w:jc w:val="center"/>
        <w:rPr>
          <w:rFonts w:ascii="Times New Roman" w:hAnsi="Times New Roman" w:eastAsia="Times New Roman" w:cs="Times New Roman"/>
          <w:sz w:val="21"/>
        </w:rPr>
      </w:pPr>
      <w:r>
        <w:rPr>
          <w:rFonts w:eastAsia="Times New Roman" w:cs="Times New Roman" w:ascii="Times New Roman" w:hAnsi="Times New Roman"/>
          <w:sz w:val="21"/>
        </w:rPr>
        <w:t>EXPERT REVIEW GROUPS</w:t>
      </w: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6"/>
        <w:ind w:firstLine="600" w:end="0"/>
        <w:rPr>
          <w:rFonts w:ascii="Times New Roman" w:hAnsi="Times New Roman" w:eastAsia="Times New Roman" w:cs="Times New Roman"/>
          <w:sz w:val="21"/>
        </w:rPr>
      </w:pPr>
      <w:r>
        <w:rPr>
          <w:rFonts w:eastAsia="Times New Roman" w:cs="Times New Roman" w:ascii="Times New Roman" w:hAnsi="Times New Roman"/>
          <w:sz w:val="21"/>
        </w:rPr>
        <w:t>The following rules and procedures shall apply to expert review groups established in accordance with the provisions of paragraph 2 of Article 13.</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Expert review groups are under the panel's authority. Their terms of reference and detailed working procedures shall be decided by the panel, and they shall report to the panel.</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76"/>
        <w:rPr>
          <w:rFonts w:ascii="Times New Roman" w:hAnsi="Times New Roman" w:eastAsia="Times New Roman" w:cs="Times New Roman"/>
          <w:sz w:val="21"/>
        </w:rPr>
      </w:pPr>
      <w:r>
        <w:rPr>
          <w:rFonts w:eastAsia="Times New Roman" w:cs="Times New Roman" w:ascii="Times New Roman" w:hAnsi="Times New Roman"/>
          <w:sz w:val="21"/>
        </w:rPr>
        <w:t>Participation in expert review groups shall be restricted to persons of professional standing and experience in the field in question.</w:t>
      </w:r>
    </w:p>
    <w:p>
      <w:pPr>
        <w:pStyle w:val="Normal"/>
        <w:spacing w:lineRule="exact" w:line="21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Citizens of parties to the dispute shall not serve on an expert review group without the joint agreement of the parties to the dispute, except in exceptional circumstances when the panel considers that the need for specialized scientific expertise cannot be fulfilled otherwise. Government officials of parties to the dispute shall not serve on an expert review group. Members of expert review groups shall serve in their individual capacities and not as government representatives, nor as representatives of any organization. Governments or organizations shall therefore not give them instructions with regard to matters before an expert review group.</w:t>
      </w:r>
    </w:p>
    <w:p>
      <w:pPr>
        <w:pStyle w:val="Normal"/>
        <w:spacing w:lineRule="exact" w:line="235"/>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61"/>
        <w:jc w:val="both"/>
        <w:rPr>
          <w:rFonts w:ascii="Times New Roman" w:hAnsi="Times New Roman" w:eastAsia="Times New Roman" w:cs="Times New Roman"/>
          <w:sz w:val="21"/>
        </w:rPr>
      </w:pPr>
      <w:r>
        <w:rPr>
          <w:rFonts w:eastAsia="Times New Roman" w:cs="Times New Roman" w:ascii="Times New Roman" w:hAnsi="Times New Roman"/>
          <w:sz w:val="21"/>
        </w:rPr>
        <w:t>Expert review groups may consult and seek information and technical advice from any source they deem appropriate. Before an expert review group seeks such information or advice from a source within the jurisdiction of a Member, it shall inform the government of that Member. Any Member shall respond promptly and fully to any request by an expert review group for such information as the expert review group considers necessary and appropriate.</w:t>
      </w:r>
    </w:p>
    <w:p>
      <w:pPr>
        <w:pStyle w:val="Normal"/>
        <w:spacing w:lineRule="exact" w:line="237"/>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59"/>
        <w:jc w:val="both"/>
        <w:rPr>
          <w:rFonts w:ascii="Times New Roman" w:hAnsi="Times New Roman" w:eastAsia="Times New Roman" w:cs="Times New Roman"/>
          <w:sz w:val="21"/>
        </w:rPr>
      </w:pPr>
      <w:r>
        <w:rPr>
          <w:rFonts w:eastAsia="Times New Roman" w:cs="Times New Roman" w:ascii="Times New Roman" w:hAnsi="Times New Roman"/>
          <w:sz w:val="21"/>
        </w:rPr>
        <w:t>The parties to a dispute shall have access to all relevant information provided to an expert review group, unless it is of a confidential nature. Confidential information provided to the expert review group shall not be released without formal authorization from the government, organization or person providing the information. Where such information is requested from the expert review group but release of such information by the expert review group is not authorized, a non-confidential summary of the information will be provided by the government, organization or person supplying the information.</w:t>
      </w:r>
    </w:p>
    <w:p>
      <w:pPr>
        <w:sectPr>
          <w:type w:val="nextPage"/>
          <w:pgSz w:w="11906" w:h="16838"/>
          <w:pgMar w:left="1440" w:right="1440" w:gutter="0" w:header="0" w:top="669" w:footer="0" w:bottom="1440"/>
          <w:pgNumType w:fmt="decimal"/>
          <w:formProt w:val="false"/>
          <w:textDirection w:val="lrTb"/>
          <w:docGrid w:type="default" w:linePitch="360" w:charSpace="0"/>
        </w:sectPr>
        <w:pStyle w:val="Normal"/>
        <w:spacing w:lineRule="exact" w:line="238"/>
        <w:rPr>
          <w:rFonts w:ascii="Times New Roman" w:hAnsi="Times New Roman" w:eastAsia="Times New Roman" w:cs="Times New Roman"/>
          <w:sz w:val="21"/>
        </w:rPr>
      </w:pPr>
      <w:r>
        <w:rPr>
          <w:rFonts w:eastAsia="Times New Roman" w:cs="Times New Roman" w:ascii="Times New Roman" w:hAnsi="Times New Roman"/>
          <w:sz w:val="21"/>
        </w:rPr>
      </w:r>
    </w:p>
    <w:p>
      <w:pPr>
        <w:pStyle w:val="Normal"/>
        <w:numPr>
          <w:ilvl w:val="0"/>
          <w:numId w:val="63"/>
        </w:numPr>
        <w:tabs>
          <w:tab w:val="clear" w:pos="720"/>
          <w:tab w:val="left" w:pos="600" w:leader="none"/>
        </w:tabs>
        <w:spacing w:lineRule="auto" w:line="264"/>
        <w:jc w:val="both"/>
        <w:rPr>
          <w:rFonts w:ascii="Times New Roman" w:hAnsi="Times New Roman" w:eastAsia="Times New Roman" w:cs="Times New Roman"/>
          <w:sz w:val="21"/>
        </w:rPr>
      </w:pPr>
      <w:bookmarkStart w:id="25" w:name="page26"/>
      <w:bookmarkEnd w:id="25"/>
      <w:r>
        <w:drawing>
          <wp:anchor behindDoc="1" distT="0" distB="0" distL="114935" distR="114935" simplePos="0" locked="0" layoutInCell="0" allowOverlap="1" relativeHeight="39">
            <wp:simplePos x="0" y="0"/>
            <wp:positionH relativeFrom="page">
              <wp:posOffset>2755900</wp:posOffset>
            </wp:positionH>
            <wp:positionV relativeFrom="page">
              <wp:posOffset>76200</wp:posOffset>
            </wp:positionV>
            <wp:extent cx="2101850" cy="355600"/>
            <wp:effectExtent l="0" t="0" r="0" b="0"/>
            <wp:wrapNone/>
            <wp:docPr id="38" name="Image2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 descr="" title=""/>
                    <pic:cNvPicPr>
                      <a:picLocks noChangeAspect="1" noChangeArrowheads="1"/>
                    </pic:cNvPicPr>
                  </pic:nvPicPr>
                  <pic:blipFill>
                    <a:blip r:embed="rId27"/>
                    <a:srcRect l="-9" t="-50" r="-9" b="-50"/>
                    <a:stretch>
                      <a:fillRect/>
                    </a:stretch>
                  </pic:blipFill>
                  <pic:spPr bwMode="auto">
                    <a:xfrm>
                      <a:off x="0" y="0"/>
                      <a:ext cx="2101850" cy="355600"/>
                    </a:xfrm>
                    <a:prstGeom prst="rect">
                      <a:avLst/>
                    </a:prstGeom>
                  </pic:spPr>
                </pic:pic>
              </a:graphicData>
            </a:graphic>
          </wp:anchor>
        </w:drawing>
      </w:r>
      <w:r>
        <w:rPr>
          <w:rFonts w:eastAsia="Times New Roman" w:cs="Times New Roman" w:ascii="Times New Roman" w:hAnsi="Times New Roman"/>
          <w:sz w:val="21"/>
        </w:rPr>
        <w:t>The expert review group shall submit a draft report to the parties to the dispute with a view to obtaining their comments, and taking them into account, as appropriate, in the final report, which shall also be issued to the parties to the dispute when it is submitted to the panel. The final report of the expert review group shall be advisory only.</w:t>
      </w:r>
    </w:p>
    <w:sectPr>
      <w:type w:val="nextPage"/>
      <w:pgSz w:w="11906" w:h="16838"/>
      <w:pgMar w:left="1440" w:right="1440" w:gutter="0" w:header="0" w:top="1440" w:footer="0" w:bottom="87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decimal"/>
      <w:lvlText w:val="%1."/>
      <w:lvlJc w:val="start"/>
      <w:pPr>
        <w:tabs>
          <w:tab w:val="num" w:pos="0"/>
        </w:tabs>
        <w:ind w:start="0" w:hanging="0"/>
      </w:pPr>
    </w:lvl>
  </w:abstractNum>
  <w:abstractNum w:abstractNumId="4">
    <w:lvl w:ilvl="0">
      <w:start w:val="2"/>
      <w:numFmt w:val="decimal"/>
      <w:lvlText w:val="%1."/>
      <w:lvlJc w:val="start"/>
      <w:pPr>
        <w:tabs>
          <w:tab w:val="num" w:pos="0"/>
        </w:tabs>
        <w:ind w:start="0" w:hanging="0"/>
      </w:pPr>
    </w:lvl>
  </w:abstractNum>
  <w:abstractNum w:abstractNumId="5">
    <w:lvl w:ilvl="0">
      <w:start w:val="1"/>
      <w:numFmt w:val="decimal"/>
      <w:lvlText w:val="%1."/>
      <w:lvlJc w:val="start"/>
      <w:pPr>
        <w:tabs>
          <w:tab w:val="num" w:pos="0"/>
        </w:tabs>
        <w:ind w:start="0" w:hanging="0"/>
      </w:pPr>
    </w:lvl>
  </w:abstractNum>
  <w:abstractNum w:abstractNumId="6">
    <w:lvl w:ilvl="0">
      <w:start w:val="8"/>
      <w:numFmt w:val="decimal"/>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2"/>
      <w:numFmt w:val="decimal"/>
      <w:lvlText w:val="%1."/>
      <w:lvlJc w:val="start"/>
      <w:pPr>
        <w:tabs>
          <w:tab w:val="num" w:pos="0"/>
        </w:tabs>
        <w:ind w:start="0" w:hanging="0"/>
      </w:pPr>
    </w:lvl>
  </w:abstractNum>
  <w:abstractNum w:abstractNumId="9">
    <w:lvl w:ilvl="0">
      <w:start w:val="30"/>
      <w:numFmt w:val="decimal"/>
      <w:lvlText w:val="%1"/>
      <w:lvlJc w:val="start"/>
      <w:pPr>
        <w:tabs>
          <w:tab w:val="num" w:pos="0"/>
        </w:tabs>
        <w:ind w:start="0" w:hanging="0"/>
      </w:pPr>
    </w:lvl>
  </w:abstractNum>
  <w:abstractNum w:abstractNumId="10">
    <w:lvl w:ilvl="0">
      <w:start w:val="4"/>
      <w:numFmt w:val="decimal"/>
      <w:lvlText w:val="%1."/>
      <w:lvlJc w:val="start"/>
      <w:pPr>
        <w:tabs>
          <w:tab w:val="num" w:pos="0"/>
        </w:tabs>
        <w:ind w:start="0" w:hanging="0"/>
      </w:pPr>
    </w:lvl>
  </w:abstractNum>
  <w:abstractNum w:abstractNumId="11">
    <w:lvl w:ilvl="0">
      <w:start w:val="1"/>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abstractNum>
  <w:abstractNum w:abstractNumId="14">
    <w:lvl w:ilvl="0">
      <w:start w:val="2"/>
      <w:numFmt w:val="decimal"/>
      <w:lvlText w:val="%1."/>
      <w:lvlJc w:val="start"/>
      <w:pPr>
        <w:tabs>
          <w:tab w:val="num" w:pos="0"/>
        </w:tabs>
        <w:ind w:start="0" w:hanging="0"/>
      </w:pPr>
    </w:lvl>
  </w:abstractNum>
  <w:abstractNum w:abstractNumId="15">
    <w:lvl w:ilvl="0">
      <w:start w:val="1"/>
      <w:numFmt w:val="decimal"/>
      <w:lvlText w:val="%1."/>
      <w:lvlJc w:val="start"/>
      <w:pPr>
        <w:tabs>
          <w:tab w:val="num" w:pos="0"/>
        </w:tabs>
        <w:ind w:start="0" w:hanging="0"/>
      </w:pPr>
    </w:lvl>
  </w:abstractNum>
  <w:abstractNum w:abstractNumId="16">
    <w:lvl w:ilvl="0">
      <w:start w:val="3"/>
      <w:numFmt w:val="decimal"/>
      <w:lvlText w:val="%1."/>
      <w:lvlJc w:val="start"/>
      <w:pPr>
        <w:tabs>
          <w:tab w:val="num" w:pos="0"/>
        </w:tabs>
        <w:ind w:start="0" w:hanging="0"/>
      </w:pPr>
    </w:lvl>
  </w:abstractNum>
  <w:abstractNum w:abstractNumId="17">
    <w:lvl w:ilvl="0">
      <w:start w:val="1"/>
      <w:numFmt w:val="decimal"/>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1"/>
      <w:numFmt w:val="decimal"/>
      <w:lvlText w:val="%1."/>
      <w:lvlJc w:val="start"/>
      <w:pPr>
        <w:tabs>
          <w:tab w:val="num" w:pos="0"/>
        </w:tabs>
        <w:ind w:start="0" w:hanging="0"/>
      </w:pPr>
    </w:lvl>
  </w:abstractNum>
  <w:abstractNum w:abstractNumId="20">
    <w:lvl w:ilvl="0">
      <w:start w:val="11"/>
      <w:numFmt w:val="decimal"/>
      <w:lvlText w:val="%1."/>
      <w:lvlJc w:val="start"/>
      <w:pPr>
        <w:tabs>
          <w:tab w:val="num" w:pos="0"/>
        </w:tabs>
        <w:ind w:start="0" w:hanging="0"/>
      </w:pPr>
    </w:lvl>
  </w:abstractNum>
  <w:abstractNum w:abstractNumId="21">
    <w:lvl w:ilvl="0">
      <w:start w:val="8"/>
      <w:numFmt w:val="decimal"/>
      <w:lvlText w:val="%1"/>
      <w:lvlJc w:val="start"/>
      <w:pPr>
        <w:tabs>
          <w:tab w:val="num" w:pos="0"/>
        </w:tabs>
        <w:ind w:start="0" w:hanging="0"/>
      </w:pPr>
    </w:lvl>
  </w:abstractNum>
  <w:abstractNum w:abstractNumId="22">
    <w:lvl w:ilvl="0">
      <w:start w:val="1"/>
      <w:numFmt w:val="decimal"/>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
      <w:numFmt w:val="decimal"/>
      <w:lvlText w:val="%1."/>
      <w:lvlJc w:val="start"/>
      <w:pPr>
        <w:tabs>
          <w:tab w:val="num" w:pos="0"/>
        </w:tabs>
        <w:ind w:start="0" w:hanging="0"/>
      </w:pPr>
    </w:lvl>
  </w:abstractNum>
  <w:abstractNum w:abstractNumId="25">
    <w:lvl w:ilvl="0">
      <w:start w:val="1"/>
      <w:numFmt w:val="decimal"/>
      <w:lvlText w:val="%1."/>
      <w:lvlJc w:val="start"/>
      <w:pPr>
        <w:tabs>
          <w:tab w:val="num" w:pos="0"/>
        </w:tabs>
        <w:ind w:start="0" w:hanging="0"/>
      </w:pPr>
    </w:lvl>
  </w:abstractNum>
  <w:abstractNum w:abstractNumId="26">
    <w:lvl w:ilvl="0">
      <w:start w:val="1"/>
      <w:numFmt w:val="decimal"/>
      <w:lvlText w:val="%1."/>
      <w:lvlJc w:val="start"/>
      <w:pPr>
        <w:tabs>
          <w:tab w:val="num" w:pos="0"/>
        </w:tabs>
        <w:ind w:start="0" w:hanging="0"/>
      </w:pPr>
    </w:lvl>
  </w:abstractNum>
  <w:abstractNum w:abstractNumId="27">
    <w:lvl w:ilvl="0">
      <w:start w:val="9"/>
      <w:numFmt w:val="decimal"/>
      <w:lvlText w:val="%1."/>
      <w:lvlJc w:val="start"/>
      <w:pPr>
        <w:tabs>
          <w:tab w:val="num" w:pos="0"/>
        </w:tabs>
        <w:ind w:start="0" w:hanging="0"/>
      </w:pPr>
    </w:lvl>
  </w:abstractNum>
  <w:abstractNum w:abstractNumId="28">
    <w:lvl w:ilvl="0">
      <w:start w:val="10"/>
      <w:numFmt w:val="decimal"/>
      <w:lvlText w:val="%1."/>
      <w:lvlJc w:val="start"/>
      <w:pPr>
        <w:tabs>
          <w:tab w:val="num" w:pos="0"/>
        </w:tabs>
        <w:ind w:start="0" w:hanging="0"/>
      </w:pPr>
    </w:lvl>
  </w:abstractNum>
  <w:abstractNum w:abstractNumId="29">
    <w:lvl w:ilvl="0">
      <w:start w:val="14"/>
      <w:numFmt w:val="decimal"/>
      <w:lvlText w:val="%1."/>
      <w:lvlJc w:val="start"/>
      <w:pPr>
        <w:tabs>
          <w:tab w:val="num" w:pos="0"/>
        </w:tabs>
        <w:ind w:start="0" w:hanging="0"/>
      </w:pPr>
    </w:lvl>
  </w:abstractNum>
  <w:abstractNum w:abstractNumId="30">
    <w:lvl w:ilvl="0">
      <w:start w:val="30"/>
      <w:numFmt w:val="decimal"/>
      <w:lvlText w:val="%1"/>
      <w:lvlJc w:val="start"/>
      <w:pPr>
        <w:tabs>
          <w:tab w:val="num" w:pos="0"/>
        </w:tabs>
        <w:ind w:start="0" w:hanging="0"/>
      </w:pPr>
    </w:lvl>
  </w:abstractNum>
  <w:abstractNum w:abstractNumId="31">
    <w:lvl w:ilvl="0">
      <w:start w:val="1"/>
      <w:numFmt w:val="decimal"/>
      <w:lvlText w:val="%1."/>
      <w:lvlJc w:val="start"/>
      <w:pPr>
        <w:tabs>
          <w:tab w:val="num" w:pos="0"/>
        </w:tabs>
        <w:ind w:start="0" w:hanging="0"/>
      </w:pPr>
    </w:lvl>
  </w:abstractNum>
  <w:abstractNum w:abstractNumId="32">
    <w:lvl w:ilvl="0">
      <w:start w:val="1"/>
      <w:numFmt w:val="decimal"/>
      <w:lvlText w:val="%1."/>
      <w:lvlJc w:val="start"/>
      <w:pPr>
        <w:tabs>
          <w:tab w:val="num" w:pos="0"/>
        </w:tabs>
        <w:ind w:start="0" w:hanging="0"/>
      </w:pPr>
    </w:lvl>
  </w:abstractNum>
  <w:abstractNum w:abstractNumId="33">
    <w:lvl w:ilvl="0">
      <w:start w:val="2"/>
      <w:numFmt w:val="decimal"/>
      <w:lvlText w:val="%1."/>
      <w:lvlJc w:val="start"/>
      <w:pPr>
        <w:tabs>
          <w:tab w:val="num" w:pos="0"/>
        </w:tabs>
        <w:ind w:start="0" w:hanging="0"/>
      </w:pPr>
    </w:lvl>
  </w:abstractNum>
  <w:abstractNum w:abstractNumId="3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5">
    <w:lvl w:ilvl="0">
      <w:start w:val="4"/>
      <w:numFmt w:val="decimal"/>
      <w:lvlText w:val="%1."/>
      <w:lvlJc w:val="start"/>
      <w:pPr>
        <w:tabs>
          <w:tab w:val="num" w:pos="0"/>
        </w:tabs>
        <w:ind w:start="0" w:hanging="0"/>
      </w:pPr>
    </w:lvl>
  </w:abstractNum>
  <w:abstractNum w:abstractNumId="36">
    <w:lvl w:ilvl="0">
      <w:start w:val="15"/>
      <w:numFmt w:val="decimal"/>
      <w:lvlText w:val="%1"/>
      <w:lvlJc w:val="start"/>
      <w:pPr>
        <w:tabs>
          <w:tab w:val="num" w:pos="0"/>
        </w:tabs>
        <w:ind w:start="0" w:hanging="0"/>
      </w:pPr>
    </w:lvl>
  </w:abstractNum>
  <w:abstractNum w:abstractNumId="37">
    <w:lvl w:ilvl="0">
      <w:start w:val="5"/>
      <w:numFmt w:val="decimal"/>
      <w:lvlText w:val="%1."/>
      <w:lvlJc w:val="start"/>
      <w:pPr>
        <w:tabs>
          <w:tab w:val="num" w:pos="0"/>
        </w:tabs>
        <w:ind w:start="0" w:hanging="0"/>
      </w:pPr>
    </w:lvl>
  </w:abstractNum>
  <w:abstractNum w:abstractNumId="38">
    <w:lvl w:ilvl="0">
      <w:start w:val="3"/>
      <w:numFmt w:val="decimal"/>
      <w:lvlText w:val="%1"/>
      <w:lvlJc w:val="start"/>
      <w:pPr>
        <w:tabs>
          <w:tab w:val="num" w:pos="0"/>
        </w:tabs>
        <w:ind w:start="0" w:hanging="0"/>
      </w:pPr>
    </w:lvl>
  </w:abstractNum>
  <w:abstractNum w:abstractNumId="39">
    <w:lvl w:ilvl="0">
      <w:start w:val="7"/>
      <w:numFmt w:val="decimal"/>
      <w:lvlText w:val="%1."/>
      <w:lvlJc w:val="start"/>
      <w:pPr>
        <w:tabs>
          <w:tab w:val="num" w:pos="0"/>
        </w:tabs>
        <w:ind w:start="0" w:hanging="0"/>
      </w:pPr>
    </w:lvl>
  </w:abstractNum>
  <w:abstractNum w:abstractNumId="40">
    <w:lvl w:ilvl="0">
      <w:start w:val="1"/>
      <w:numFmt w:val="decimal"/>
      <w:lvlText w:val="%1."/>
      <w:lvlJc w:val="start"/>
      <w:pPr>
        <w:tabs>
          <w:tab w:val="num" w:pos="0"/>
        </w:tabs>
        <w:ind w:start="0" w:hanging="0"/>
      </w:pPr>
    </w:lvl>
  </w:abstractNum>
  <w:abstractNum w:abstractNumId="41">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lowerRoman"/>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2">
    <w:lvl w:ilvl="0">
      <w:start w:val="1"/>
      <w:numFmt w:val="decimal"/>
      <w:lvlText w:val="%1"/>
      <w:lvlJc w:val="start"/>
      <w:pPr>
        <w:tabs>
          <w:tab w:val="num" w:pos="0"/>
        </w:tabs>
        <w:ind w:start="0" w:hanging="0"/>
      </w:pPr>
    </w:lvl>
    <w:lvl w:ilvl="1">
      <w:start w:val="3"/>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4"/>
      <w:numFmt w:val="decimal"/>
      <w:lvlText w:val="%1."/>
      <w:lvlJc w:val="start"/>
      <w:pPr>
        <w:tabs>
          <w:tab w:val="num" w:pos="0"/>
        </w:tabs>
        <w:ind w:start="0" w:hanging="0"/>
      </w:pPr>
    </w:lvl>
  </w:abstractNum>
  <w:abstractNum w:abstractNumId="44">
    <w:lvl w:ilvl="0">
      <w:start w:val="1"/>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5">
    <w:lvl w:ilvl="0">
      <w:start w:val="1"/>
      <w:numFmt w:val="decimal"/>
      <w:lvlText w:val="%1."/>
      <w:lvlJc w:val="start"/>
      <w:pPr>
        <w:tabs>
          <w:tab w:val="num" w:pos="0"/>
        </w:tabs>
        <w:ind w:start="0" w:hanging="0"/>
      </w:pPr>
    </w:lvl>
  </w:abstractNum>
  <w:abstractNum w:abstractNumId="46">
    <w:lvl w:ilvl="0">
      <w:start w:val="1"/>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1"/>
      <w:numFmt w:val="decimal"/>
      <w:lvlText w:val="%1."/>
      <w:lvlJc w:val="start"/>
      <w:pPr>
        <w:tabs>
          <w:tab w:val="num" w:pos="0"/>
        </w:tabs>
        <w:ind w:start="0" w:hanging="0"/>
      </w:pPr>
    </w:lvl>
  </w:abstractNum>
  <w:abstractNum w:abstractNumId="48">
    <w:lvl w:ilvl="0">
      <w:start w:val="1"/>
      <w:numFmt w:val="lowerLetter"/>
      <w:lvlText w:val="(%1)"/>
      <w:lvlJc w:val="start"/>
      <w:pPr>
        <w:tabs>
          <w:tab w:val="num" w:pos="0"/>
        </w:tabs>
        <w:ind w:start="0" w:hanging="0"/>
      </w:pPr>
    </w:lvl>
  </w:abstractNum>
  <w:abstractNum w:abstractNumId="49">
    <w:lvl w:ilvl="0">
      <w:start w:val="1"/>
      <w:numFmt w:val="decimal"/>
      <w:lvlText w:val="%1"/>
      <w:lvlJc w:val="start"/>
      <w:pPr>
        <w:tabs>
          <w:tab w:val="num" w:pos="0"/>
        </w:tabs>
        <w:ind w:start="0" w:hanging="0"/>
      </w:pPr>
    </w:lvl>
    <w:lvl w:ilvl="1">
      <w:start w:val="4"/>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0">
    <w:lvl w:ilvl="0">
      <w:start w:val="2"/>
      <w:numFmt w:val="decimal"/>
      <w:lvlText w:val="%1."/>
      <w:lvlJc w:val="start"/>
      <w:pPr>
        <w:tabs>
          <w:tab w:val="num" w:pos="0"/>
        </w:tabs>
        <w:ind w:start="0" w:hanging="0"/>
      </w:pPr>
    </w:lvl>
  </w:abstractNum>
  <w:abstractNum w:abstractNumId="51">
    <w:lvl w:ilvl="0">
      <w:start w:val="1"/>
      <w:numFmt w:val="lowerLetter"/>
      <w:lvlText w:val="(%1)"/>
      <w:lvlJc w:val="start"/>
      <w:pPr>
        <w:tabs>
          <w:tab w:val="num" w:pos="0"/>
        </w:tabs>
        <w:ind w:start="0" w:hanging="0"/>
      </w:pPr>
    </w:lvl>
  </w:abstractNum>
  <w:abstractNum w:abstractNumId="52">
    <w:lvl w:ilvl="0">
      <w:start w:val="1"/>
      <w:numFmt w:val="decimal"/>
      <w:lvlText w:val="%1."/>
      <w:lvlJc w:val="start"/>
      <w:pPr>
        <w:tabs>
          <w:tab w:val="num" w:pos="0"/>
        </w:tabs>
        <w:ind w:start="0" w:hanging="0"/>
      </w:pPr>
    </w:lvl>
  </w:abstractNum>
  <w:abstractNum w:abstractNumId="53">
    <w:lvl w:ilvl="0">
      <w:start w:val="1"/>
      <w:numFmt w:val="upperLetter"/>
      <w:lvlText w:val="(%1)"/>
      <w:lvlJc w:val="start"/>
      <w:pPr>
        <w:tabs>
          <w:tab w:val="num" w:pos="0"/>
        </w:tabs>
        <w:ind w:start="0" w:hanging="0"/>
      </w:pPr>
    </w:lvl>
  </w:abstractNum>
  <w:abstractNum w:abstractNumId="54">
    <w:lvl w:ilvl="0">
      <w:start w:val="3"/>
      <w:numFmt w:val="upperLetter"/>
      <w:lvlText w:val="(%1)"/>
      <w:lvlJc w:val="start"/>
      <w:pPr>
        <w:tabs>
          <w:tab w:val="num" w:pos="0"/>
        </w:tabs>
        <w:ind w:start="0" w:hanging="0"/>
      </w:pPr>
    </w:lvl>
  </w:abstractNum>
  <w:abstractNum w:abstractNumId="55">
    <w:lvl w:ilvl="0">
      <w:start w:val="12"/>
      <w:numFmt w:val="lowerLetter"/>
      <w:lvlText w:val="%1."/>
      <w:lvlJc w:val="start"/>
      <w:pPr>
        <w:tabs>
          <w:tab w:val="num" w:pos="0"/>
        </w:tabs>
        <w:ind w:start="0" w:hanging="0"/>
      </w:pPr>
    </w:lvl>
  </w:abstractNum>
  <w:abstractNum w:abstractNumId="56">
    <w:lvl w:ilvl="0">
      <w:start w:val="2"/>
      <w:numFmt w:val="decimal"/>
      <w:lvlText w:val="%1."/>
      <w:lvlJc w:val="start"/>
      <w:pPr>
        <w:tabs>
          <w:tab w:val="num" w:pos="0"/>
        </w:tabs>
        <w:ind w:start="0" w:hanging="0"/>
      </w:pPr>
    </w:lvl>
  </w:abstractNum>
  <w:abstractNum w:abstractNumId="57">
    <w:lvl w:ilvl="0">
      <w:start w:val="12"/>
      <w:numFmt w:val="decimal"/>
      <w:lvlText w:val="%1."/>
      <w:lvlJc w:val="start"/>
      <w:pPr>
        <w:tabs>
          <w:tab w:val="num" w:pos="0"/>
        </w:tabs>
        <w:ind w:start="0" w:hanging="0"/>
      </w:pPr>
    </w:lvl>
  </w:abstractNum>
  <w:abstractNum w:abstractNumId="58">
    <w:lvl w:ilvl="0">
      <w:start w:val="1"/>
      <w:numFmt w:val="lowerLetter"/>
      <w:lvlText w:val="(%1)"/>
      <w:lvlJc w:val="start"/>
      <w:pPr>
        <w:tabs>
          <w:tab w:val="num" w:pos="0"/>
        </w:tabs>
        <w:ind w:start="0" w:hanging="0"/>
      </w:pPr>
    </w:lvl>
  </w:abstractNum>
  <w:abstractNum w:abstractNumId="59">
    <w:lvl w:ilvl="0">
      <w:start w:val="2"/>
      <w:numFmt w:val="lowerLetter"/>
      <w:lvlText w:val="(%1)"/>
      <w:lvlJc w:val="start"/>
      <w:pPr>
        <w:tabs>
          <w:tab w:val="num" w:pos="0"/>
        </w:tabs>
        <w:ind w:start="0" w:hanging="0"/>
      </w:pPr>
    </w:lvl>
  </w:abstractNum>
  <w:abstractNum w:abstractNumId="60">
    <w:lvl w:ilvl="0">
      <w:start w:val="4"/>
      <w:numFmt w:val="lowerLetter"/>
      <w:lvlText w:val="(%1)"/>
      <w:lvlJc w:val="start"/>
      <w:pPr>
        <w:tabs>
          <w:tab w:val="num" w:pos="0"/>
        </w:tabs>
        <w:ind w:start="0" w:hanging="0"/>
      </w:pPr>
    </w:lvl>
  </w:abstractNum>
  <w:abstractNum w:abstractNumId="61">
    <w:lvl w:ilvl="0">
      <w:start w:val="7"/>
      <w:numFmt w:val="lowerLetter"/>
      <w:lvlText w:val="(%1)"/>
      <w:lvlJc w:val="start"/>
      <w:pPr>
        <w:tabs>
          <w:tab w:val="num" w:pos="0"/>
        </w:tabs>
        <w:ind w:start="0" w:hanging="0"/>
      </w:pPr>
    </w:lvl>
  </w:abstractNum>
  <w:abstractNum w:abstractNumId="62">
    <w:lvl w:ilvl="0">
      <w:start w:val="1"/>
      <w:numFmt w:val="lowerRoman"/>
      <w:lvlText w:val="(%1)"/>
      <w:lvlJc w:val="start"/>
      <w:pPr>
        <w:tabs>
          <w:tab w:val="num" w:pos="0"/>
        </w:tabs>
        <w:ind w:start="0" w:hanging="0"/>
      </w:pPr>
    </w:lvl>
  </w:abstractNum>
  <w:abstractNum w:abstractNumId="63">
    <w:lvl w:ilvl="0">
      <w:start w:val="1"/>
      <w:numFmt w:val="decimal"/>
      <w:lvlText w:val="%1."/>
      <w:lvlJc w:val="start"/>
      <w:pPr>
        <w:tabs>
          <w:tab w:val="num" w:pos="0"/>
        </w:tabs>
        <w:ind w:start="0" w:hanging="0"/>
      </w:pPr>
    </w:lvl>
  </w:abstractNum>
  <w:abstractNum w:abstractNumId="6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2.png"/><Relationship Id="rId6" Type="http://schemas.openxmlformats.org/officeDocument/2006/relationships/image" Target="media/image2.png"/><Relationship Id="rId7" Type="http://schemas.openxmlformats.org/officeDocument/2006/relationships/image" Target="media/image2.png"/><Relationship Id="rId8" Type="http://schemas.openxmlformats.org/officeDocument/2006/relationships/image" Target="media/image2.png"/><Relationship Id="rId9" Type="http://schemas.openxmlformats.org/officeDocument/2006/relationships/image" Target="media/image2.png"/><Relationship Id="rId10" Type="http://schemas.openxmlformats.org/officeDocument/2006/relationships/image" Target="media/image2.png"/><Relationship Id="rId11" Type="http://schemas.openxmlformats.org/officeDocument/2006/relationships/image" Target="media/image2.png"/><Relationship Id="rId12" Type="http://schemas.openxmlformats.org/officeDocument/2006/relationships/image" Target="media/image2.png"/><Relationship Id="rId13" Type="http://schemas.openxmlformats.org/officeDocument/2006/relationships/image" Target="media/image2.png"/><Relationship Id="rId14" Type="http://schemas.openxmlformats.org/officeDocument/2006/relationships/image" Target="media/image2.png"/><Relationship Id="rId15" Type="http://schemas.openxmlformats.org/officeDocument/2006/relationships/image" Target="media/image2.png"/><Relationship Id="rId16" Type="http://schemas.openxmlformats.org/officeDocument/2006/relationships/image" Target="media/image2.png"/><Relationship Id="rId17" Type="http://schemas.openxmlformats.org/officeDocument/2006/relationships/image" Target="media/image2.png"/><Relationship Id="rId18" Type="http://schemas.openxmlformats.org/officeDocument/2006/relationships/image" Target="media/image2.png"/><Relationship Id="rId19" Type="http://schemas.openxmlformats.org/officeDocument/2006/relationships/image" Target="media/image2.png"/><Relationship Id="rId20" Type="http://schemas.openxmlformats.org/officeDocument/2006/relationships/image" Target="media/image2.png"/><Relationship Id="rId21" Type="http://schemas.openxmlformats.org/officeDocument/2006/relationships/image" Target="media/image2.png"/><Relationship Id="rId22" Type="http://schemas.openxmlformats.org/officeDocument/2006/relationships/image" Target="media/image2.png"/><Relationship Id="rId23" Type="http://schemas.openxmlformats.org/officeDocument/2006/relationships/image" Target="media/image2.png"/><Relationship Id="rId24" Type="http://schemas.openxmlformats.org/officeDocument/2006/relationships/image" Target="media/image2.png"/><Relationship Id="rId25" Type="http://schemas.openxmlformats.org/officeDocument/2006/relationships/image" Target="media/image2.png"/><Relationship Id="rId26" Type="http://schemas.openxmlformats.org/officeDocument/2006/relationships/image" Target="media/image2.png"/><Relationship Id="rId27" Type="http://schemas.openxmlformats.org/officeDocument/2006/relationships/image" Target="media/image2.png"/><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26</Pages>
  <Words>11638</Words>
  <Characters>60075</Characters>
  <CharactersWithSpaces>71132</CharactersWithSpaces>
  <Paragraphs>394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