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6960" w:end="0"/>
        <w:rPr>
          <w:rFonts w:ascii="Times New Roman" w:hAnsi="Times New Roman" w:eastAsia="Times New Roman" w:cs="Times New Roman"/>
          <w:sz w:val="15"/>
        </w:rPr>
      </w:pPr>
      <w:bookmarkStart w:id="0" w:name="page1"/>
      <w:bookmarkEnd w:id="0"/>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TITLE 158. CONSTRUCTION INDUSTRIES BOARD</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CHAPTER 70. HOME INSPECTION INDUSTRY REGULATIONS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pPr>
      <w:r>
        <w:rPr>
          <w:rFonts w:eastAsia="Times New Roman" w:cs="Times New Roman" w:ascii="Times New Roman" w:hAnsi="Times New Roman"/>
          <w:b/>
          <w:i/>
          <w:sz w:val="19"/>
        </w:rPr>
        <w:t>Editor's Note:</w:t>
      </w:r>
      <w:r>
        <w:rPr>
          <w:rFonts w:eastAsia="Times New Roman" w:cs="Times New Roman" w:ascii="Times New Roman" w:hAnsi="Times New Roman"/>
          <w:i/>
          <w:sz w:val="19"/>
        </w:rPr>
        <w:t xml:space="preserve"> Effective 11-1-08, the authority to "adopt, amend, repeal, and promulgate rules as may be necessary to regulate . . . home inspectors" was transferred from the Oklahoma State Department of Health to the Construction Industries Board [see 59 O.S., § 1000.4]. The Construction Industries Board promulgated emergency rules on 11-14-08 [see 26 Ok Reg 387 and 390], and subsequently superseded the emergency rules with permanent rules in this Chapter 70 [OAC 158:70] on 7-11-09 [see also OAC 158:10-3-1 for related fines]. The Department of Health later revoked its rules regulating home inspectors at OAC 310:276, effective 9-12-14. For additional information about this transfer, see Laws 2008, c. 405.</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SUBCHAPTER 1. GENERAL PROVISIONS</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158:70-1-1. Purpose</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ind w:firstLine="547" w:end="0"/>
        <w:jc w:val="both"/>
        <w:rPr/>
      </w:pPr>
      <w:r>
        <w:rPr>
          <w:rFonts w:eastAsia="Times New Roman" w:cs="Times New Roman" w:ascii="Times New Roman" w:hAnsi="Times New Roman"/>
          <w:sz w:val="24"/>
        </w:rPr>
        <w:t xml:space="preserve">The rules in this Chapter implement the Home Inspection Licensing Act, 59 O.S. § 858-621, </w:t>
      </w:r>
      <w:r>
        <w:rPr>
          <w:rFonts w:eastAsia="Times New Roman" w:cs="Times New Roman" w:ascii="Times New Roman" w:hAnsi="Times New Roman"/>
          <w:i/>
          <w:sz w:val="24"/>
        </w:rPr>
        <w:t>et seq</w:t>
      </w:r>
      <w:r>
        <w:rPr>
          <w:rFonts w:eastAsia="Times New Roman" w:cs="Times New Roman" w:ascii="Times New Roman" w:hAnsi="Times New Roman"/>
          <w:sz w:val="24"/>
        </w:rPr>
        <w:t>.</w: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11-14-08 (emergency); Added at 26 Ok Reg 2463, eff 7-11-09; Amended at 31 Ok Reg 933, eff 9-12-14]</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158:70-1-2. Definitions</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firstLine="360" w:end="0"/>
        <w:jc w:val="both"/>
        <w:rPr>
          <w:rFonts w:ascii="Times New Roman" w:hAnsi="Times New Roman" w:eastAsia="Times New Roman" w:cs="Times New Roman"/>
          <w:sz w:val="24"/>
        </w:rPr>
      </w:pPr>
      <w:r>
        <w:rPr>
          <w:rFonts w:eastAsia="Times New Roman" w:cs="Times New Roman" w:ascii="Times New Roman" w:hAnsi="Times New Roman"/>
          <w:sz w:val="24"/>
        </w:rPr>
        <w:t>The following words or terms, when used in this Chapter, shall have the following meaning, unless the context clearly indicates otherwise:</w:t>
      </w:r>
    </w:p>
    <w:p>
      <w:pPr>
        <w:pStyle w:val="Normal"/>
        <w:spacing w:lineRule="atLeast" w:line="0"/>
        <w:ind w:start="720" w:end="0"/>
        <w:rPr/>
      </w:pPr>
      <w:r>
        <w:rPr>
          <w:rFonts w:eastAsia="Times New Roman" w:cs="Times New Roman" w:ascii="Times New Roman" w:hAnsi="Times New Roman"/>
          <w:b/>
          <w:sz w:val="24"/>
        </w:rPr>
        <w:t>"Act"</w:t>
      </w:r>
      <w:r>
        <w:rPr>
          <w:rFonts w:eastAsia="Times New Roman" w:cs="Times New Roman" w:ascii="Times New Roman" w:hAnsi="Times New Roman"/>
          <w:sz w:val="24"/>
        </w:rPr>
        <w:t xml:space="preserve"> means the Home Inspection Licensing Act, found at 59 O.S. § 858-621, </w:t>
      </w:r>
      <w:r>
        <w:rPr>
          <w:rFonts w:eastAsia="Times New Roman" w:cs="Times New Roman" w:ascii="Times New Roman" w:hAnsi="Times New Roman"/>
          <w:i/>
          <w:sz w:val="24"/>
        </w:rPr>
        <w:t>et seq</w:t>
      </w:r>
      <w:r>
        <w:rPr>
          <w:rFonts w:eastAsia="Times New Roman" w:cs="Times New Roman" w:ascii="Times New Roman" w:hAnsi="Times New Roman"/>
          <w:sz w:val="24"/>
        </w:rPr>
        <w:t>.</w:t>
      </w:r>
      <w:r>
        <w:rPr>
          <w:rFonts w:eastAsia="Times New Roman" w:cs="Times New Roman" w:ascii="Times New Roman" w:hAnsi="Times New Roman"/>
          <w:b/>
          <w:sz w:val="24"/>
        </w:rPr>
        <w:t xml:space="preserve"> "Alarm systems"</w:t>
      </w:r>
      <w:r>
        <w:rPr>
          <w:rFonts w:eastAsia="Times New Roman" w:cs="Times New Roman" w:ascii="Times New Roman" w:hAnsi="Times New Roman"/>
          <w:sz w:val="24"/>
        </w:rPr>
        <w:t xml:space="preserve"> means warning devices, installed or free-standing, including but not</w:t>
      </w:r>
    </w:p>
    <w:p>
      <w:pPr>
        <w:pStyle w:val="Normal"/>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limited to: carbon monoxide detectors, flue gas and other spillage detectors, security equipment, ejector pumps and smoke alarms.</w:t>
      </w:r>
    </w:p>
    <w:p>
      <w:pPr>
        <w:pStyle w:val="Normal"/>
        <w:spacing w:lineRule="atLeast" w:line="0"/>
        <w:ind w:firstLine="720" w:end="0"/>
        <w:jc w:val="both"/>
        <w:rPr/>
      </w:pPr>
      <w:r>
        <w:rPr>
          <w:rFonts w:eastAsia="Times New Roman" w:cs="Times New Roman" w:ascii="Times New Roman" w:hAnsi="Times New Roman"/>
          <w:b/>
          <w:sz w:val="24"/>
        </w:rPr>
        <w:t>"Applicant"</w:t>
      </w:r>
      <w:r>
        <w:rPr>
          <w:rFonts w:eastAsia="Times New Roman" w:cs="Times New Roman" w:ascii="Times New Roman" w:hAnsi="Times New Roman"/>
          <w:sz w:val="24"/>
        </w:rPr>
        <w:t xml:space="preserve"> means any person applying for an examination for a license or registration</w:t>
      </w:r>
      <w:r>
        <w:rPr>
          <w:rFonts w:eastAsia="Times New Roman" w:cs="Times New Roman" w:ascii="Times New Roman" w:hAnsi="Times New Roman"/>
          <w:sz w:val="24"/>
          <w:u w:val="single"/>
        </w:rPr>
        <w:t>,</w:t>
      </w:r>
      <w:r>
        <w:rPr>
          <w:rFonts w:eastAsia="Times New Roman" w:cs="Times New Roman" w:ascii="Times New Roman" w:hAnsi="Times New Roman"/>
          <w:sz w:val="24"/>
        </w:rPr>
        <w:t xml:space="preserve"> or for continuing education approval, under the Act.</w:t>
      </w:r>
    </w:p>
    <w:p>
      <w:pPr>
        <w:pStyle w:val="Normal"/>
        <w:spacing w:lineRule="atLeast" w:line="0"/>
        <w:ind w:firstLine="720" w:end="0"/>
        <w:jc w:val="both"/>
        <w:rPr/>
      </w:pPr>
      <w:r>
        <w:rPr>
          <w:rFonts w:eastAsia="Times New Roman" w:cs="Times New Roman" w:ascii="Times New Roman" w:hAnsi="Times New Roman"/>
          <w:b/>
          <w:sz w:val="24"/>
        </w:rPr>
        <w:t>"Architectural service"</w:t>
      </w:r>
      <w:r>
        <w:rPr>
          <w:rFonts w:eastAsia="Times New Roman" w:cs="Times New Roman" w:ascii="Times New Roman" w:hAnsi="Times New Roman"/>
          <w:sz w:val="24"/>
        </w:rPr>
        <w:t xml:space="preserve"> means any practice involving the art and science of building design for construction of any structure or grouping of structures and the use of space within and surrounding the structures or the design for construction, including but not specifically limited to, schematic design, design development, preparation of construction contract documents, and administration of the construction contract.</w:t>
      </w:r>
    </w:p>
    <w:p>
      <w:pPr>
        <w:pStyle w:val="Normal"/>
        <w:spacing w:lineRule="atLeast" w:line="0"/>
        <w:ind w:start="720" w:end="0"/>
        <w:rPr/>
      </w:pPr>
      <w:r>
        <w:rPr>
          <w:rFonts w:eastAsia="Times New Roman" w:cs="Times New Roman" w:ascii="Times New Roman" w:hAnsi="Times New Roman"/>
          <w:b/>
          <w:sz w:val="24"/>
        </w:rPr>
        <w:t>"Board"</w:t>
      </w:r>
      <w:r>
        <w:rPr>
          <w:rFonts w:eastAsia="Times New Roman" w:cs="Times New Roman" w:ascii="Times New Roman" w:hAnsi="Times New Roman"/>
          <w:sz w:val="24"/>
        </w:rPr>
        <w:t xml:space="preserve"> means the Construction Industries Board.</w:t>
      </w:r>
    </w:p>
    <w:p>
      <w:pPr>
        <w:pStyle w:val="Normal"/>
        <w:spacing w:lineRule="atLeast" w:line="0"/>
        <w:ind w:firstLine="720" w:end="0"/>
        <w:jc w:val="both"/>
        <w:rPr/>
      </w:pPr>
      <w:r>
        <w:rPr>
          <w:rFonts w:eastAsia="Times New Roman" w:cs="Times New Roman" w:ascii="Times New Roman" w:hAnsi="Times New Roman"/>
          <w:b/>
          <w:sz w:val="24"/>
        </w:rPr>
        <w:t>"Certificates of course completion"</w:t>
      </w:r>
      <w:r>
        <w:rPr>
          <w:rFonts w:eastAsia="Times New Roman" w:cs="Times New Roman" w:ascii="Times New Roman" w:hAnsi="Times New Roman"/>
          <w:sz w:val="24"/>
        </w:rPr>
        <w:t xml:space="preserve"> means a document acceptable to the Committee which signifies satisfactory completion of course work and reflects the hours of credit earned.</w:t>
      </w:r>
    </w:p>
    <w:p>
      <w:pPr>
        <w:pStyle w:val="Normal"/>
        <w:spacing w:lineRule="atLeast" w:line="0"/>
        <w:ind w:firstLine="720" w:end="0"/>
        <w:jc w:val="both"/>
        <w:rPr/>
      </w:pPr>
      <w:r>
        <w:rPr>
          <w:rFonts w:eastAsia="Times New Roman" w:cs="Times New Roman" w:ascii="Times New Roman" w:hAnsi="Times New Roman"/>
          <w:b/>
          <w:sz w:val="24"/>
        </w:rPr>
        <w:t>"Cheating"</w:t>
      </w:r>
      <w:r>
        <w:rPr>
          <w:rFonts w:eastAsia="Times New Roman" w:cs="Times New Roman" w:ascii="Times New Roman" w:hAnsi="Times New Roman"/>
          <w:sz w:val="24"/>
        </w:rPr>
        <w:t xml:space="preserve"> means any unapproved deviation from any official instruction given before, during or after a home inspector license examination for the purpose of affecting or influencing the examination results or otherwise providing an undue advantage to any examinee.</w:t>
      </w:r>
    </w:p>
    <w:p>
      <w:pPr>
        <w:pStyle w:val="Normal"/>
        <w:spacing w:lineRule="atLeast" w:line="0"/>
        <w:ind w:firstLine="720" w:end="0"/>
        <w:jc w:val="both"/>
        <w:rPr/>
      </w:pPr>
      <w:r>
        <w:rPr>
          <w:rFonts w:eastAsia="Times New Roman" w:cs="Times New Roman" w:ascii="Times New Roman" w:hAnsi="Times New Roman"/>
          <w:b/>
          <w:sz w:val="24"/>
        </w:rPr>
        <w:t>"Classroom hour"</w:t>
      </w:r>
      <w:r>
        <w:rPr>
          <w:rFonts w:eastAsia="Times New Roman" w:cs="Times New Roman" w:ascii="Times New Roman" w:hAnsi="Times New Roman"/>
          <w:sz w:val="24"/>
        </w:rPr>
        <w:t xml:space="preserve">, </w:t>
      </w:r>
      <w:r>
        <w:rPr>
          <w:rFonts w:eastAsia="Times New Roman" w:cs="Times New Roman" w:ascii="Times New Roman" w:hAnsi="Times New Roman"/>
          <w:b/>
          <w:sz w:val="24"/>
        </w:rPr>
        <w:t>"credit hour"</w:t>
      </w:r>
      <w:r>
        <w:rPr>
          <w:rFonts w:eastAsia="Times New Roman" w:cs="Times New Roman" w:ascii="Times New Roman" w:hAnsi="Times New Roman"/>
          <w:sz w:val="24"/>
        </w:rPr>
        <w:t xml:space="preserve">, and </w:t>
      </w:r>
      <w:r>
        <w:rPr>
          <w:rFonts w:eastAsia="Times New Roman" w:cs="Times New Roman" w:ascii="Times New Roman" w:hAnsi="Times New Roman"/>
          <w:b/>
          <w:sz w:val="24"/>
        </w:rPr>
        <w:t>"clock hour"</w:t>
      </w:r>
      <w:r>
        <w:rPr>
          <w:rFonts w:eastAsia="Times New Roman" w:cs="Times New Roman" w:ascii="Times New Roman" w:hAnsi="Times New Roman"/>
          <w:sz w:val="24"/>
        </w:rPr>
        <w:t xml:space="preserve"> means at least fifty (50) minutes of classroom instruction with a ten (10) minute break.</w:t>
      </w:r>
    </w:p>
    <w:p>
      <w:pPr>
        <w:pStyle w:val="Normal"/>
        <w:spacing w:lineRule="atLeast" w:line="0"/>
        <w:ind w:firstLine="720" w:end="0"/>
        <w:jc w:val="both"/>
        <w:rPr/>
      </w:pPr>
      <w:r>
        <w:rPr>
          <w:rFonts w:eastAsia="Times New Roman" w:cs="Times New Roman" w:ascii="Times New Roman" w:hAnsi="Times New Roman"/>
          <w:b/>
          <w:sz w:val="24"/>
        </w:rPr>
        <w:t>"Client"</w:t>
      </w:r>
      <w:r>
        <w:rPr>
          <w:rFonts w:eastAsia="Times New Roman" w:cs="Times New Roman" w:ascii="Times New Roman" w:hAnsi="Times New Roman"/>
          <w:sz w:val="24"/>
        </w:rPr>
        <w:t xml:space="preserve"> means a person with a direct material interest in the outcome of a home inspection who hires and compensates a home inspector for the performance of a home inspection.</w:t>
      </w:r>
    </w:p>
    <w:p>
      <w:pPr>
        <w:pStyle w:val="Normal"/>
        <w:spacing w:lineRule="auto" w:line="268"/>
        <w:ind w:firstLine="720" w:end="0"/>
        <w:jc w:val="both"/>
        <w:rPr/>
      </w:pPr>
      <w:r>
        <w:rPr>
          <w:rFonts w:eastAsia="Times New Roman" w:cs="Times New Roman" w:ascii="Times New Roman" w:hAnsi="Times New Roman"/>
          <w:b/>
          <w:sz w:val="24"/>
        </w:rPr>
        <w:t>"Committee"</w:t>
      </w:r>
      <w:r>
        <w:rPr>
          <w:rFonts w:eastAsia="Times New Roman" w:cs="Times New Roman" w:ascii="Times New Roman" w:hAnsi="Times New Roman"/>
          <w:sz w:val="24"/>
        </w:rPr>
        <w:t xml:space="preserve"> means the Committee of Home Inspector Examiners established by the Home Inspection Licensing Act, 59 O.S. § 858-624.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w:t>
      </w:r>
    </w:p>
    <w:p>
      <w:pPr>
        <w:pStyle w:val="Normal"/>
        <w:spacing w:lineRule="atLeast" w:line="0"/>
        <w:ind w:start="6960" w:end="0"/>
        <w:rPr>
          <w:rFonts w:ascii="Times New Roman" w:hAnsi="Times New Roman" w:eastAsia="Times New Roman" w:cs="Times New Roman"/>
          <w:sz w:val="15"/>
        </w:rPr>
      </w:pPr>
      <w:bookmarkStart w:id="1" w:name="page2"/>
      <w:bookmarkEnd w:id="1"/>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b/>
          <w:sz w:val="24"/>
        </w:rPr>
        <w:t>"Component"</w:t>
      </w:r>
      <w:r>
        <w:rPr>
          <w:rFonts w:eastAsia="Times New Roman" w:cs="Times New Roman" w:ascii="Times New Roman" w:hAnsi="Times New Roman"/>
          <w:sz w:val="24"/>
        </w:rPr>
        <w:t xml:space="preserve"> means a part of a system.</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0"/>
        <w:jc w:val="both"/>
        <w:rPr/>
      </w:pPr>
      <w:r>
        <w:rPr>
          <w:rFonts w:eastAsia="Times New Roman" w:cs="Times New Roman" w:ascii="Times New Roman" w:hAnsi="Times New Roman"/>
          <w:b/>
          <w:sz w:val="24"/>
        </w:rPr>
        <w:t>"Continuing education"</w:t>
      </w:r>
      <w:r>
        <w:rPr>
          <w:rFonts w:eastAsia="Times New Roman" w:cs="Times New Roman" w:ascii="Times New Roman" w:hAnsi="Times New Roman"/>
          <w:sz w:val="24"/>
        </w:rPr>
        <w:t xml:space="preserve"> and </w:t>
      </w:r>
      <w:r>
        <w:rPr>
          <w:rFonts w:eastAsia="Times New Roman" w:cs="Times New Roman" w:ascii="Times New Roman" w:hAnsi="Times New Roman"/>
          <w:b/>
          <w:sz w:val="24"/>
        </w:rPr>
        <w:t>"CE"</w:t>
      </w:r>
      <w:r>
        <w:rPr>
          <w:rFonts w:eastAsia="Times New Roman" w:cs="Times New Roman" w:ascii="Times New Roman" w:hAnsi="Times New Roman"/>
          <w:sz w:val="24"/>
        </w:rPr>
        <w:t xml:space="preserve"> means education that is approved by the Committee to satisfy education requirements in order to renew licensure as a home inspector.</w:t>
      </w:r>
    </w:p>
    <w:p>
      <w:pPr>
        <w:pStyle w:val="Normal"/>
        <w:spacing w:lineRule="atLeast" w:line="0"/>
        <w:ind w:firstLine="720" w:end="0"/>
        <w:jc w:val="both"/>
        <w:rPr/>
      </w:pPr>
      <w:r>
        <w:rPr>
          <w:rFonts w:eastAsia="Times New Roman" w:cs="Times New Roman" w:ascii="Times New Roman" w:hAnsi="Times New Roman"/>
          <w:b/>
          <w:sz w:val="24"/>
        </w:rPr>
        <w:t>"Continuing education verification form"</w:t>
      </w:r>
      <w:r>
        <w:rPr>
          <w:rFonts w:eastAsia="Times New Roman" w:cs="Times New Roman" w:ascii="Times New Roman" w:hAnsi="Times New Roman"/>
          <w:sz w:val="24"/>
        </w:rPr>
        <w:t xml:space="preserve"> means a form acceptable to the Committee and completed by the course provider, that documents compliance with the continuing education requirements.</w:t>
      </w:r>
    </w:p>
    <w:p>
      <w:pPr>
        <w:pStyle w:val="Normal"/>
        <w:spacing w:lineRule="atLeast" w:line="0"/>
        <w:ind w:firstLine="720" w:end="0"/>
        <w:jc w:val="both"/>
        <w:rPr/>
      </w:pPr>
      <w:r>
        <w:rPr>
          <w:rFonts w:eastAsia="Times New Roman" w:cs="Times New Roman" w:ascii="Times New Roman" w:hAnsi="Times New Roman"/>
          <w:b/>
          <w:sz w:val="24"/>
        </w:rPr>
        <w:t>"Cosmetic"</w:t>
      </w:r>
      <w:r>
        <w:rPr>
          <w:rFonts w:eastAsia="Times New Roman" w:cs="Times New Roman" w:ascii="Times New Roman" w:hAnsi="Times New Roman"/>
          <w:sz w:val="24"/>
        </w:rPr>
        <w:t xml:space="preserve"> means a condition that affects appearance but not the manner in which the system or component functions.</w:t>
      </w:r>
    </w:p>
    <w:p>
      <w:pPr>
        <w:pStyle w:val="Normal"/>
        <w:spacing w:lineRule="atLeast" w:line="0"/>
        <w:ind w:firstLine="720" w:end="0"/>
        <w:jc w:val="both"/>
        <w:rPr/>
      </w:pPr>
      <w:r>
        <w:rPr>
          <w:rFonts w:eastAsia="Times New Roman" w:cs="Times New Roman" w:ascii="Times New Roman" w:hAnsi="Times New Roman"/>
          <w:b/>
          <w:sz w:val="24"/>
        </w:rPr>
        <w:t>"Decorative"</w:t>
      </w:r>
      <w:r>
        <w:rPr>
          <w:rFonts w:eastAsia="Times New Roman" w:cs="Times New Roman" w:ascii="Times New Roman" w:hAnsi="Times New Roman"/>
          <w:sz w:val="24"/>
        </w:rPr>
        <w:t xml:space="preserve"> means ornamental; not required for the operation of the essential systems and components of a home.</w:t>
      </w:r>
    </w:p>
    <w:p>
      <w:pPr>
        <w:pStyle w:val="Normal"/>
        <w:spacing w:lineRule="atLeast" w:line="0"/>
        <w:ind w:firstLine="720" w:end="0"/>
        <w:jc w:val="both"/>
        <w:rPr/>
      </w:pPr>
      <w:r>
        <w:rPr>
          <w:rFonts w:eastAsia="Times New Roman" w:cs="Times New Roman" w:ascii="Times New Roman" w:hAnsi="Times New Roman"/>
          <w:b/>
          <w:sz w:val="24"/>
        </w:rPr>
        <w:t>"Defect"</w:t>
      </w:r>
      <w:r>
        <w:rPr>
          <w:rFonts w:eastAsia="Times New Roman" w:cs="Times New Roman" w:ascii="Times New Roman" w:hAnsi="Times New Roman"/>
          <w:sz w:val="24"/>
        </w:rPr>
        <w:t xml:space="preserve"> means a condition, malfunction or problem, which is not decorative or cosmetic, that would have a materially adverse effect on the value of a system or component, or would impair the health or safety of the occupants or client.</w:t>
      </w:r>
    </w:p>
    <w:p>
      <w:pPr>
        <w:pStyle w:val="Normal"/>
        <w:spacing w:lineRule="atLeast" w:line="0"/>
        <w:ind w:firstLine="720" w:end="0"/>
        <w:jc w:val="both"/>
        <w:rPr/>
      </w:pPr>
      <w:r>
        <w:rPr>
          <w:rFonts w:eastAsia="Times New Roman" w:cs="Times New Roman" w:ascii="Times New Roman" w:hAnsi="Times New Roman"/>
          <w:b/>
          <w:sz w:val="24"/>
        </w:rPr>
        <w:t>"Describe"</w:t>
      </w:r>
      <w:r>
        <w:rPr>
          <w:rFonts w:eastAsia="Times New Roman" w:cs="Times New Roman" w:ascii="Times New Roman" w:hAnsi="Times New Roman"/>
          <w:sz w:val="24"/>
        </w:rPr>
        <w:t xml:space="preserve"> means to report a system or component by its type or other observed, significant characteristics to distinguish it from other systems or components.</w:t>
      </w:r>
    </w:p>
    <w:p>
      <w:pPr>
        <w:pStyle w:val="Normal"/>
        <w:spacing w:lineRule="atLeast" w:line="0"/>
        <w:ind w:firstLine="720" w:end="0"/>
        <w:jc w:val="both"/>
        <w:rPr/>
      </w:pPr>
      <w:r>
        <w:rPr>
          <w:rFonts w:eastAsia="Times New Roman" w:cs="Times New Roman" w:ascii="Times New Roman" w:hAnsi="Times New Roman"/>
          <w:b/>
          <w:sz w:val="24"/>
        </w:rPr>
        <w:t>"Dismantle"</w:t>
      </w:r>
      <w:r>
        <w:rPr>
          <w:rFonts w:eastAsia="Times New Roman" w:cs="Times New Roman" w:ascii="Times New Roman" w:hAnsi="Times New Roman"/>
          <w:sz w:val="24"/>
        </w:rPr>
        <w:t xml:space="preserve"> means to take apart or remove any component, device or piece of equipment that would not be taken apart or removed by a homeowner in the course of normal and routine homeowner maintenance.</w:t>
      </w:r>
    </w:p>
    <w:p>
      <w:pPr>
        <w:pStyle w:val="Normal"/>
        <w:spacing w:lineRule="atLeast" w:line="0"/>
        <w:ind w:firstLine="720" w:end="0"/>
        <w:jc w:val="both"/>
        <w:rPr/>
      </w:pPr>
      <w:r>
        <w:rPr>
          <w:rFonts w:eastAsia="Times New Roman" w:cs="Times New Roman" w:ascii="Times New Roman" w:hAnsi="Times New Roman"/>
          <w:b/>
          <w:sz w:val="24"/>
        </w:rPr>
        <w:t>"Engineering service"</w:t>
      </w:r>
      <w:r>
        <w:rPr>
          <w:rFonts w:eastAsia="Times New Roman" w:cs="Times New Roman" w:ascii="Times New Roman" w:hAnsi="Times New Roman"/>
          <w:sz w:val="24"/>
        </w:rPr>
        <w:t xml:space="preserve"> means any professional service or creative work requiring engineering education, training, and experience and the application of special knowledge of the mathematical, physical and engineering sciences to such professional service or creative work as consultation, investigation, evaluation, planning, design and supervision of construction for the purpose of assuring compliance with the specifications and design, in conjunction with structures, buildings, machines, equipment, works or processes.</w:t>
      </w:r>
    </w:p>
    <w:p>
      <w:pPr>
        <w:pStyle w:val="Normal"/>
        <w:spacing w:lineRule="auto" w:line="237"/>
        <w:ind w:firstLine="720" w:end="0"/>
        <w:jc w:val="both"/>
        <w:rPr/>
      </w:pPr>
      <w:r>
        <w:rPr>
          <w:rFonts w:eastAsia="Times New Roman" w:cs="Times New Roman" w:ascii="Times New Roman" w:hAnsi="Times New Roman"/>
          <w:b/>
          <w:sz w:val="24"/>
        </w:rPr>
        <w:t>"Further evaluation"</w:t>
      </w:r>
      <w:r>
        <w:rPr>
          <w:rFonts w:eastAsia="Times New Roman" w:cs="Times New Roman" w:ascii="Times New Roman" w:hAnsi="Times New Roman"/>
          <w:sz w:val="24"/>
        </w:rPr>
        <w:t xml:space="preserve"> means examination and analysis by a qualified professional, tradesman or service technician beyond that provided by the home inspection.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0"/>
        <w:jc w:val="both"/>
        <w:rPr/>
      </w:pPr>
      <w:r>
        <w:rPr>
          <w:rFonts w:eastAsia="Times New Roman" w:cs="Times New Roman" w:ascii="Times New Roman" w:hAnsi="Times New Roman"/>
          <w:b/>
          <w:sz w:val="24"/>
        </w:rPr>
        <w:t>"Home"</w:t>
      </w:r>
      <w:r>
        <w:rPr>
          <w:rFonts w:eastAsia="Times New Roman" w:cs="Times New Roman" w:ascii="Times New Roman" w:hAnsi="Times New Roman"/>
          <w:sz w:val="24"/>
        </w:rPr>
        <w:t xml:space="preserve"> or </w:t>
      </w:r>
      <w:r>
        <w:rPr>
          <w:rFonts w:eastAsia="Times New Roman" w:cs="Times New Roman" w:ascii="Times New Roman" w:hAnsi="Times New Roman"/>
          <w:b/>
          <w:sz w:val="24"/>
        </w:rPr>
        <w:t>"residence"</w:t>
      </w:r>
      <w:r>
        <w:rPr>
          <w:rFonts w:eastAsia="Times New Roman" w:cs="Times New Roman" w:ascii="Times New Roman" w:hAnsi="Times New Roman"/>
          <w:sz w:val="24"/>
        </w:rPr>
        <w:t xml:space="preserve"> means any dwelling, from one to four (1-4) units in design, intended principally for residential purposes by one (1) or more individuals.</w:t>
      </w:r>
    </w:p>
    <w:p>
      <w:pPr>
        <w:pStyle w:val="Normal"/>
        <w:spacing w:lineRule="atLeast" w:line="0"/>
        <w:ind w:firstLine="720" w:end="0"/>
        <w:jc w:val="both"/>
        <w:rPr/>
      </w:pPr>
      <w:r>
        <w:rPr>
          <w:rFonts w:eastAsia="Times New Roman" w:cs="Times New Roman" w:ascii="Times New Roman" w:hAnsi="Times New Roman"/>
          <w:b/>
          <w:sz w:val="24"/>
        </w:rPr>
        <w:t>"Home inspection"</w:t>
      </w:r>
      <w:r>
        <w:rPr>
          <w:rFonts w:eastAsia="Times New Roman" w:cs="Times New Roman" w:ascii="Times New Roman" w:hAnsi="Times New Roman"/>
          <w:sz w:val="24"/>
        </w:rPr>
        <w:t xml:space="preserve"> or </w:t>
      </w:r>
      <w:r>
        <w:rPr>
          <w:rFonts w:eastAsia="Times New Roman" w:cs="Times New Roman" w:ascii="Times New Roman" w:hAnsi="Times New Roman"/>
          <w:b/>
          <w:sz w:val="24"/>
        </w:rPr>
        <w:t>"inspection"</w:t>
      </w:r>
      <w:r>
        <w:rPr>
          <w:rFonts w:eastAsia="Times New Roman" w:cs="Times New Roman" w:ascii="Times New Roman" w:hAnsi="Times New Roman"/>
          <w:sz w:val="24"/>
        </w:rPr>
        <w:t xml:space="preserve"> </w:t>
      </w:r>
      <w:r>
        <w:rPr>
          <w:rFonts w:eastAsia="Times New Roman" w:cs="Times New Roman" w:ascii="Times New Roman" w:hAnsi="Times New Roman"/>
          <w:i/>
          <w:sz w:val="24"/>
        </w:rPr>
        <w:t>means a visual examination of any or all of the readily accessible physical real property and improvements to real property consisting of four or fewer dwelling units, including structural, lot drainage, roof, electrical, plumbing, heating and air conditioning and such other areas of concern as are specified in writing to determine if performance is as intended.</w:t>
      </w:r>
      <w:r>
        <w:rPr>
          <w:rFonts w:eastAsia="Times New Roman" w:cs="Times New Roman" w:ascii="Times New Roman" w:hAnsi="Times New Roman"/>
          <w:sz w:val="24"/>
        </w:rPr>
        <w:t xml:space="preserve"> [59 O.S. § 858-622(3)]</w:t>
      </w:r>
    </w:p>
    <w:p>
      <w:pPr>
        <w:pStyle w:val="Normal"/>
        <w:spacing w:lineRule="atLeast" w:line="0"/>
        <w:ind w:firstLine="720" w:end="0"/>
        <w:jc w:val="both"/>
        <w:rPr/>
      </w:pPr>
      <w:r>
        <w:rPr>
          <w:rFonts w:eastAsia="Times New Roman" w:cs="Times New Roman" w:ascii="Times New Roman" w:hAnsi="Times New Roman"/>
          <w:b/>
          <w:sz w:val="24"/>
        </w:rPr>
        <w:t>"Home inspection license unit"</w:t>
      </w:r>
      <w:r>
        <w:rPr>
          <w:rFonts w:eastAsia="Times New Roman" w:cs="Times New Roman" w:ascii="Times New Roman" w:hAnsi="Times New Roman"/>
          <w:sz w:val="24"/>
        </w:rPr>
        <w:t xml:space="preserve"> means the staff and administrative support unit to the Committee of Home Inspector Examiners.</w:t>
      </w:r>
    </w:p>
    <w:p>
      <w:pPr>
        <w:pStyle w:val="Normal"/>
        <w:spacing w:lineRule="atLeast" w:line="0"/>
        <w:ind w:firstLine="720" w:end="0"/>
        <w:jc w:val="both"/>
        <w:rPr/>
      </w:pPr>
      <w:r>
        <w:rPr>
          <w:rFonts w:eastAsia="Times New Roman" w:cs="Times New Roman" w:ascii="Times New Roman" w:hAnsi="Times New Roman"/>
          <w:b/>
          <w:sz w:val="24"/>
        </w:rPr>
        <w:t>"Home inspection report"</w:t>
      </w:r>
      <w:r>
        <w:rPr>
          <w:rFonts w:eastAsia="Times New Roman" w:cs="Times New Roman" w:ascii="Times New Roman" w:hAnsi="Times New Roman"/>
          <w:sz w:val="24"/>
        </w:rPr>
        <w:t xml:space="preserve"> means a written opinion of the functional and physical condition of property written by the licensed home inspector pursuant to home inspection.</w:t>
      </w:r>
    </w:p>
    <w:p>
      <w:pPr>
        <w:pStyle w:val="Normal"/>
        <w:spacing w:lineRule="atLeast" w:line="0"/>
        <w:ind w:firstLine="720" w:end="0"/>
        <w:jc w:val="both"/>
        <w:rPr/>
      </w:pPr>
      <w:r>
        <w:rPr>
          <w:rFonts w:eastAsia="Times New Roman" w:cs="Times New Roman" w:ascii="Times New Roman" w:hAnsi="Times New Roman"/>
          <w:b/>
          <w:sz w:val="24"/>
        </w:rPr>
        <w:t>"Home Inspection Training"</w:t>
      </w:r>
      <w:r>
        <w:rPr>
          <w:rFonts w:eastAsia="Times New Roman" w:cs="Times New Roman" w:ascii="Times New Roman" w:hAnsi="Times New Roman"/>
          <w:sz w:val="24"/>
        </w:rPr>
        <w:t xml:space="preserve"> means prelicense education that is approved by the Committee to satisfy the education requirements to qualify an applicant to take a home inspector examination for licensure as a home inspector.</w:t>
      </w:r>
    </w:p>
    <w:p>
      <w:pPr>
        <w:pStyle w:val="Normal"/>
        <w:spacing w:lineRule="atLeast" w:line="0"/>
        <w:ind w:firstLine="720" w:end="0"/>
        <w:jc w:val="both"/>
        <w:rPr/>
      </w:pPr>
      <w:r>
        <w:rPr>
          <w:rFonts w:eastAsia="Times New Roman" w:cs="Times New Roman" w:ascii="Times New Roman" w:hAnsi="Times New Roman"/>
          <w:b/>
          <w:sz w:val="24"/>
        </w:rPr>
        <w:t>"Home inspector"</w:t>
      </w:r>
      <w:r>
        <w:rPr>
          <w:rFonts w:eastAsia="Times New Roman" w:cs="Times New Roman" w:ascii="Times New Roman" w:hAnsi="Times New Roman"/>
          <w:sz w:val="24"/>
        </w:rPr>
        <w:t xml:space="preserve"> means an individual licensed pursuant to the Home Inspection Licensing Act who, for compensation, conducts home inspections.</w:t>
      </w:r>
    </w:p>
    <w:p>
      <w:pPr>
        <w:pStyle w:val="Normal"/>
        <w:spacing w:lineRule="atLeast" w:line="0"/>
        <w:ind w:firstLine="720" w:end="0"/>
        <w:jc w:val="both"/>
        <w:rPr/>
      </w:pPr>
      <w:r>
        <w:rPr>
          <w:rFonts w:eastAsia="Times New Roman" w:cs="Times New Roman" w:ascii="Times New Roman" w:hAnsi="Times New Roman"/>
          <w:b/>
          <w:sz w:val="24"/>
        </w:rPr>
        <w:t>"Inspect"</w:t>
      </w:r>
      <w:r>
        <w:rPr>
          <w:rFonts w:eastAsia="Times New Roman" w:cs="Times New Roman" w:ascii="Times New Roman" w:hAnsi="Times New Roman"/>
          <w:sz w:val="24"/>
        </w:rPr>
        <w:t xml:space="preserve"> means to examine readily accessible systems and components of a building in accordance with these Standards of Practice, using normal operating controls and opening readily openable access panels.</w:t>
      </w:r>
    </w:p>
    <w:p>
      <w:pPr>
        <w:pStyle w:val="Normal"/>
        <w:spacing w:lineRule="atLeast" w:line="0"/>
        <w:ind w:start="720" w:end="0"/>
        <w:rPr/>
      </w:pPr>
      <w:r>
        <w:rPr>
          <w:rFonts w:eastAsia="Times New Roman" w:cs="Times New Roman" w:ascii="Times New Roman" w:hAnsi="Times New Roman"/>
          <w:b/>
          <w:sz w:val="24"/>
        </w:rPr>
        <w:t>"Installed"</w:t>
      </w:r>
      <w:r>
        <w:rPr>
          <w:rFonts w:eastAsia="Times New Roman" w:cs="Times New Roman" w:ascii="Times New Roman" w:hAnsi="Times New Roman"/>
          <w:sz w:val="24"/>
        </w:rPr>
        <w:t xml:space="preserve"> means attached such that removal requires tools.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w:t>
      </w:r>
    </w:p>
    <w:p>
      <w:pPr>
        <w:pStyle w:val="Normal"/>
        <w:spacing w:lineRule="atLeast" w:line="0"/>
        <w:ind w:start="6960" w:end="0"/>
        <w:rPr>
          <w:rFonts w:ascii="Times New Roman" w:hAnsi="Times New Roman" w:eastAsia="Times New Roman" w:cs="Times New Roman"/>
          <w:sz w:val="15"/>
        </w:rPr>
      </w:pPr>
      <w:bookmarkStart w:id="2" w:name="page3"/>
      <w:bookmarkEnd w:id="2"/>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firstLine="720" w:end="0"/>
        <w:jc w:val="both"/>
        <w:rPr/>
      </w:pPr>
      <w:r>
        <w:rPr>
          <w:rFonts w:eastAsia="Times New Roman" w:cs="Times New Roman" w:ascii="Times New Roman" w:hAnsi="Times New Roman"/>
          <w:b/>
          <w:sz w:val="24"/>
        </w:rPr>
        <w:t>"Instructor"</w:t>
      </w:r>
      <w:r>
        <w:rPr>
          <w:rFonts w:eastAsia="Times New Roman" w:cs="Times New Roman" w:ascii="Times New Roman" w:hAnsi="Times New Roman"/>
          <w:sz w:val="24"/>
        </w:rPr>
        <w:t xml:space="preserve"> means a person who presents course materials approved for qualifying education and continuing education credit hours that has the experience, training, and/or education in the course subject matter and has been approved by the Committee.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0"/>
        <w:jc w:val="both"/>
        <w:rPr/>
      </w:pPr>
      <w:r>
        <w:rPr>
          <w:rFonts w:eastAsia="Times New Roman" w:cs="Times New Roman" w:ascii="Times New Roman" w:hAnsi="Times New Roman"/>
          <w:b/>
          <w:sz w:val="24"/>
        </w:rPr>
        <w:t>"Normal working order"</w:t>
      </w:r>
      <w:r>
        <w:rPr>
          <w:rFonts w:eastAsia="Times New Roman" w:cs="Times New Roman" w:ascii="Times New Roman" w:hAnsi="Times New Roman"/>
          <w:sz w:val="24"/>
        </w:rPr>
        <w:t xml:space="preserve"> means the system or component functions without defect for the primary purpose and manner for which it was designed.</w:t>
      </w:r>
    </w:p>
    <w:p>
      <w:pPr>
        <w:pStyle w:val="Normal"/>
        <w:spacing w:lineRule="atLeast" w:line="0"/>
        <w:ind w:firstLine="720" w:end="0"/>
        <w:jc w:val="both"/>
        <w:rPr/>
      </w:pPr>
      <w:r>
        <w:rPr>
          <w:rFonts w:eastAsia="Times New Roman" w:cs="Times New Roman" w:ascii="Times New Roman" w:hAnsi="Times New Roman"/>
          <w:b/>
          <w:sz w:val="24"/>
        </w:rPr>
        <w:t>"Normal operating controls"</w:t>
      </w:r>
      <w:r>
        <w:rPr>
          <w:rFonts w:eastAsia="Times New Roman" w:cs="Times New Roman" w:ascii="Times New Roman" w:hAnsi="Times New Roman"/>
          <w:sz w:val="24"/>
        </w:rPr>
        <w:t xml:space="preserve"> means devices such as thermostats, switches or valves intended to be operated by the homeowner.</w:t>
      </w:r>
    </w:p>
    <w:p>
      <w:pPr>
        <w:pStyle w:val="Normal"/>
        <w:spacing w:lineRule="atLeast" w:line="0"/>
        <w:ind w:firstLine="720" w:end="0"/>
        <w:jc w:val="both"/>
        <w:rPr/>
      </w:pPr>
      <w:r>
        <w:rPr>
          <w:rFonts w:eastAsia="Times New Roman" w:cs="Times New Roman" w:ascii="Times New Roman" w:hAnsi="Times New Roman"/>
          <w:b/>
          <w:sz w:val="24"/>
        </w:rPr>
        <w:t>"Practice of Architecture"</w:t>
      </w:r>
      <w:r>
        <w:rPr>
          <w:rFonts w:eastAsia="Times New Roman" w:cs="Times New Roman" w:ascii="Times New Roman" w:hAnsi="Times New Roman"/>
          <w:sz w:val="24"/>
        </w:rPr>
        <w:t xml:space="preserve"> means that practice defined in 59 O.S. § 46.3(2) and exempt from the Home Inspection Licensing Act under 59 O.S. § 858-623(B).</w:t>
      </w:r>
    </w:p>
    <w:p>
      <w:pPr>
        <w:pStyle w:val="Normal"/>
        <w:spacing w:lineRule="atLeast" w:line="0"/>
        <w:ind w:firstLine="720" w:end="0"/>
        <w:jc w:val="both"/>
        <w:rPr/>
      </w:pPr>
      <w:r>
        <w:rPr>
          <w:rFonts w:eastAsia="Times New Roman" w:cs="Times New Roman" w:ascii="Times New Roman" w:hAnsi="Times New Roman"/>
          <w:b/>
          <w:sz w:val="24"/>
        </w:rPr>
        <w:t>"Professional craftsman"</w:t>
      </w:r>
      <w:r>
        <w:rPr>
          <w:rFonts w:eastAsia="Times New Roman" w:cs="Times New Roman" w:ascii="Times New Roman" w:hAnsi="Times New Roman"/>
          <w:sz w:val="24"/>
        </w:rPr>
        <w:t xml:space="preserve"> means a person who can demonstrate by certification, education or experience, specialized skill in the construction or repair of homes, duplexes, apartment buildings or similar structures. Persons demonstrating specialized skill by experience alone must be able to show that they have been actively engaged in their profession, trade or craft for at least one (1) year prior to the performance of a single item inspection.</w:t>
      </w:r>
    </w:p>
    <w:p>
      <w:pPr>
        <w:pStyle w:val="Normal"/>
        <w:spacing w:lineRule="atLeast" w:line="0"/>
        <w:ind w:firstLine="720" w:end="0"/>
        <w:jc w:val="both"/>
        <w:rPr/>
      </w:pPr>
      <w:r>
        <w:rPr>
          <w:rFonts w:eastAsia="Times New Roman" w:cs="Times New Roman" w:ascii="Times New Roman" w:hAnsi="Times New Roman"/>
          <w:b/>
          <w:sz w:val="24"/>
        </w:rPr>
        <w:t>"Provider"</w:t>
      </w:r>
      <w:r>
        <w:rPr>
          <w:rFonts w:eastAsia="Times New Roman" w:cs="Times New Roman" w:ascii="Times New Roman" w:hAnsi="Times New Roman"/>
          <w:sz w:val="24"/>
        </w:rPr>
        <w:t xml:space="preserve"> means a person, corporation, professional association or its local affiliates, or any other entity, which is approved by the Committee and provides approved home inspection training or continuing education to home inspectors.</w:t>
      </w:r>
    </w:p>
    <w:p>
      <w:pPr>
        <w:pStyle w:val="Normal"/>
        <w:spacing w:lineRule="atLeast" w:line="0"/>
        <w:ind w:firstLine="720" w:end="0"/>
        <w:jc w:val="both"/>
        <w:rPr/>
      </w:pPr>
      <w:r>
        <w:rPr>
          <w:rFonts w:eastAsia="Times New Roman" w:cs="Times New Roman" w:ascii="Times New Roman" w:hAnsi="Times New Roman"/>
          <w:b/>
          <w:sz w:val="24"/>
        </w:rPr>
        <w:t>"Readily accessible"</w:t>
      </w:r>
      <w:r>
        <w:rPr>
          <w:rFonts w:eastAsia="Times New Roman" w:cs="Times New Roman" w:ascii="Times New Roman" w:hAnsi="Times New Roman"/>
          <w:sz w:val="24"/>
        </w:rPr>
        <w:t xml:space="preserve"> means available for visual inspection without requiring moving of personal property, dismantling, destructive measures, or any action which will likely involve risk to persons or property.</w:t>
      </w:r>
    </w:p>
    <w:p>
      <w:pPr>
        <w:pStyle w:val="Normal"/>
        <w:spacing w:lineRule="atLeast" w:line="0"/>
        <w:ind w:firstLine="720" w:end="0"/>
        <w:jc w:val="both"/>
        <w:rPr/>
      </w:pPr>
      <w:r>
        <w:rPr>
          <w:rFonts w:eastAsia="Times New Roman" w:cs="Times New Roman" w:ascii="Times New Roman" w:hAnsi="Times New Roman"/>
          <w:b/>
          <w:sz w:val="24"/>
        </w:rPr>
        <w:t>"Readily openable access panel"</w:t>
      </w:r>
      <w:r>
        <w:rPr>
          <w:rFonts w:eastAsia="Times New Roman" w:cs="Times New Roman" w:ascii="Times New Roman" w:hAnsi="Times New Roman"/>
          <w:sz w:val="24"/>
        </w:rPr>
        <w:t xml:space="preserve"> means a panel provided for homeowner inspection and maintenance that is within normal reach, can be removed by one person, and is not sealed in place.</w:t>
      </w:r>
    </w:p>
    <w:p>
      <w:pPr>
        <w:pStyle w:val="Normal"/>
        <w:spacing w:lineRule="auto" w:line="237"/>
        <w:ind w:firstLine="720" w:end="0"/>
        <w:jc w:val="both"/>
        <w:rPr/>
      </w:pPr>
      <w:r>
        <w:rPr>
          <w:rFonts w:eastAsia="Times New Roman" w:cs="Times New Roman" w:ascii="Times New Roman" w:hAnsi="Times New Roman"/>
          <w:b/>
          <w:sz w:val="24"/>
        </w:rPr>
        <w:t>"Reciprocity agreement"</w:t>
      </w:r>
      <w:r>
        <w:rPr>
          <w:rFonts w:eastAsia="Times New Roman" w:cs="Times New Roman" w:ascii="Times New Roman" w:hAnsi="Times New Roman"/>
          <w:sz w:val="24"/>
        </w:rPr>
        <w:t xml:space="preserve"> means an agreement whereby a home inspector who is licensed in other states with substantially similar or greater licensure requirements may be licensed in this State after payment of a fee for licensing by reciprocity.</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0"/>
        <w:jc w:val="both"/>
        <w:rPr/>
      </w:pPr>
      <w:r>
        <w:rPr>
          <w:rFonts w:eastAsia="Times New Roman" w:cs="Times New Roman" w:ascii="Times New Roman" w:hAnsi="Times New Roman"/>
          <w:b/>
          <w:sz w:val="24"/>
        </w:rPr>
        <w:t>"Recreational facilities"</w:t>
      </w:r>
      <w:r>
        <w:rPr>
          <w:rFonts w:eastAsia="Times New Roman" w:cs="Times New Roman" w:ascii="Times New Roman" w:hAnsi="Times New Roman"/>
          <w:sz w:val="24"/>
        </w:rPr>
        <w:t xml:space="preserve"> means spas, saunas, steam baths, swimming pools, exercise, entertainment, athletic, playground or other similar equipment and associated accessories.</w:t>
      </w:r>
    </w:p>
    <w:p>
      <w:pPr>
        <w:pStyle w:val="Normal"/>
        <w:spacing w:lineRule="atLeast" w:line="0"/>
        <w:ind w:start="720" w:end="0"/>
        <w:rPr/>
      </w:pPr>
      <w:r>
        <w:rPr>
          <w:rFonts w:eastAsia="Times New Roman" w:cs="Times New Roman" w:ascii="Times New Roman" w:hAnsi="Times New Roman"/>
          <w:b/>
          <w:sz w:val="24"/>
        </w:rPr>
        <w:t>"Report"</w:t>
      </w:r>
      <w:r>
        <w:rPr>
          <w:rFonts w:eastAsia="Times New Roman" w:cs="Times New Roman" w:ascii="Times New Roman" w:hAnsi="Times New Roman"/>
          <w:sz w:val="24"/>
        </w:rPr>
        <w:t xml:space="preserve"> means to communicate in writing.</w:t>
      </w:r>
    </w:p>
    <w:p>
      <w:pPr>
        <w:pStyle w:val="Normal"/>
        <w:spacing w:lineRule="atLeast" w:line="0"/>
        <w:ind w:firstLine="720" w:end="0"/>
        <w:jc w:val="both"/>
        <w:rPr/>
      </w:pPr>
      <w:r>
        <w:rPr>
          <w:rFonts w:eastAsia="Times New Roman" w:cs="Times New Roman" w:ascii="Times New Roman" w:hAnsi="Times New Roman"/>
          <w:b/>
          <w:sz w:val="24"/>
        </w:rPr>
        <w:t>"Roof drainage systems"</w:t>
      </w:r>
      <w:r>
        <w:rPr>
          <w:rFonts w:eastAsia="Times New Roman" w:cs="Times New Roman" w:ascii="Times New Roman" w:hAnsi="Times New Roman"/>
          <w:sz w:val="24"/>
        </w:rPr>
        <w:t xml:space="preserve"> means components used to carry water off a roof and away from a building.</w:t>
      </w:r>
    </w:p>
    <w:p>
      <w:pPr>
        <w:pStyle w:val="Normal"/>
        <w:spacing w:lineRule="atLeast" w:line="0"/>
        <w:ind w:firstLine="720" w:end="0"/>
        <w:jc w:val="both"/>
        <w:rPr/>
      </w:pPr>
      <w:r>
        <w:rPr>
          <w:rFonts w:eastAsia="Times New Roman" w:cs="Times New Roman" w:ascii="Times New Roman" w:hAnsi="Times New Roman"/>
          <w:b/>
          <w:sz w:val="24"/>
        </w:rPr>
        <w:t>"Shut down"</w:t>
      </w:r>
      <w:r>
        <w:rPr>
          <w:rFonts w:eastAsia="Times New Roman" w:cs="Times New Roman" w:ascii="Times New Roman" w:hAnsi="Times New Roman"/>
          <w:sz w:val="24"/>
        </w:rPr>
        <w:t xml:space="preserve"> means a state in which a system or component cannot be operated by normal operating controls.</w:t>
      </w:r>
    </w:p>
    <w:p>
      <w:pPr>
        <w:pStyle w:val="Normal"/>
        <w:spacing w:lineRule="atLeast" w:line="0"/>
        <w:ind w:firstLine="720" w:end="0"/>
        <w:jc w:val="both"/>
        <w:rPr/>
      </w:pPr>
      <w:r>
        <w:rPr>
          <w:rFonts w:eastAsia="Times New Roman" w:cs="Times New Roman" w:ascii="Times New Roman" w:hAnsi="Times New Roman"/>
          <w:b/>
          <w:sz w:val="24"/>
        </w:rPr>
        <w:t>"Solid fuel burning appliances"</w:t>
      </w:r>
      <w:r>
        <w:rPr>
          <w:rFonts w:eastAsia="Times New Roman" w:cs="Times New Roman" w:ascii="Times New Roman" w:hAnsi="Times New Roman"/>
          <w:sz w:val="24"/>
        </w:rPr>
        <w:t xml:space="preserve"> means a hearth and fire chamber or similar prepared place in which a fire may be built and which is built in conjunction with a chimney; or a listed assembly of a fire chamber, its chimney and related factory-made parts designed for unit assembly without requiring field construction.</w:t>
      </w:r>
    </w:p>
    <w:p>
      <w:pPr>
        <w:pStyle w:val="Normal"/>
        <w:spacing w:lineRule="atLeast" w:line="0"/>
        <w:ind w:firstLine="720" w:end="0"/>
        <w:jc w:val="both"/>
        <w:rPr/>
      </w:pPr>
      <w:r>
        <w:rPr>
          <w:rFonts w:eastAsia="Times New Roman" w:cs="Times New Roman" w:ascii="Times New Roman" w:hAnsi="Times New Roman"/>
          <w:b/>
          <w:sz w:val="24"/>
        </w:rPr>
        <w:t>"Structural component"</w:t>
      </w:r>
      <w:r>
        <w:rPr>
          <w:rFonts w:eastAsia="Times New Roman" w:cs="Times New Roman" w:ascii="Times New Roman" w:hAnsi="Times New Roman"/>
          <w:sz w:val="24"/>
        </w:rPr>
        <w:t xml:space="preserve"> means a component that supports non-variable forces or weights (dead loads) and variable forces or weights (live loads).</w:t>
      </w:r>
    </w:p>
    <w:p>
      <w:pPr>
        <w:pStyle w:val="Normal"/>
        <w:spacing w:lineRule="atLeast" w:line="0"/>
        <w:ind w:firstLine="720" w:end="0"/>
        <w:jc w:val="both"/>
        <w:rPr/>
      </w:pPr>
      <w:r>
        <w:rPr>
          <w:rFonts w:eastAsia="Times New Roman" w:cs="Times New Roman" w:ascii="Times New Roman" w:hAnsi="Times New Roman"/>
          <w:b/>
          <w:sz w:val="24"/>
        </w:rPr>
        <w:t>"System"</w:t>
      </w:r>
      <w:r>
        <w:rPr>
          <w:rFonts w:eastAsia="Times New Roman" w:cs="Times New Roman" w:ascii="Times New Roman" w:hAnsi="Times New Roman"/>
          <w:sz w:val="24"/>
        </w:rPr>
        <w:t xml:space="preserve"> means a combination of interacting or interdependent components, assembled to carry out one or more functions.</w:t>
      </w:r>
    </w:p>
    <w:p>
      <w:pPr>
        <w:pStyle w:val="Normal"/>
        <w:spacing w:lineRule="atLeast" w:line="0"/>
        <w:ind w:firstLine="720" w:end="0"/>
        <w:jc w:val="both"/>
        <w:rPr/>
      </w:pPr>
      <w:r>
        <w:rPr>
          <w:rFonts w:eastAsia="Times New Roman" w:cs="Times New Roman" w:ascii="Times New Roman" w:hAnsi="Times New Roman"/>
          <w:b/>
          <w:sz w:val="24"/>
        </w:rPr>
        <w:t>"Technically exhaustive"</w:t>
      </w:r>
      <w:r>
        <w:rPr>
          <w:rFonts w:eastAsia="Times New Roman" w:cs="Times New Roman" w:ascii="Times New Roman" w:hAnsi="Times New Roman"/>
          <w:sz w:val="24"/>
        </w:rPr>
        <w:t xml:space="preserve"> means an investigation that involves dismantling, the extensive use of advanced techniques, measurements, instruments, testing, calculations, or other means.</w:t>
      </w:r>
    </w:p>
    <w:p>
      <w:pPr>
        <w:pStyle w:val="Normal"/>
        <w:spacing w:lineRule="auto" w:line="268"/>
        <w:ind w:firstLine="720" w:end="0"/>
        <w:jc w:val="both"/>
        <w:rPr/>
      </w:pPr>
      <w:r>
        <w:rPr>
          <w:rFonts w:eastAsia="Times New Roman" w:cs="Times New Roman" w:ascii="Times New Roman" w:hAnsi="Times New Roman"/>
          <w:b/>
          <w:sz w:val="24"/>
        </w:rPr>
        <w:t>"Under-floor crawl space"</w:t>
      </w:r>
      <w:r>
        <w:rPr>
          <w:rFonts w:eastAsia="Times New Roman" w:cs="Times New Roman" w:ascii="Times New Roman" w:hAnsi="Times New Roman"/>
          <w:sz w:val="24"/>
        </w:rPr>
        <w:t xml:space="preserve"> means the area within the confines of the foundation and between the ground and the underside of the floor.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3</w:t>
      </w:r>
    </w:p>
    <w:p>
      <w:pPr>
        <w:pStyle w:val="Normal"/>
        <w:spacing w:lineRule="atLeast" w:line="0"/>
        <w:ind w:start="6960" w:end="0"/>
        <w:rPr>
          <w:rFonts w:ascii="Times New Roman" w:hAnsi="Times New Roman" w:eastAsia="Times New Roman" w:cs="Times New Roman"/>
          <w:sz w:val="15"/>
        </w:rPr>
      </w:pPr>
      <w:bookmarkStart w:id="3" w:name="page4"/>
      <w:bookmarkEnd w:id="3"/>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720" w:end="0"/>
        <w:jc w:val="both"/>
        <w:rPr/>
      </w:pPr>
      <w:r>
        <w:rPr>
          <w:rFonts w:eastAsia="Times New Roman" w:cs="Times New Roman" w:ascii="Times New Roman" w:hAnsi="Times New Roman"/>
          <w:b/>
          <w:sz w:val="24"/>
        </w:rPr>
        <w:t>"Unsafe"</w:t>
      </w:r>
      <w:r>
        <w:rPr>
          <w:rFonts w:eastAsia="Times New Roman" w:cs="Times New Roman" w:ascii="Times New Roman" w:hAnsi="Times New Roman"/>
          <w:sz w:val="24"/>
        </w:rPr>
        <w:t xml:space="preserve"> means a condition in a readily accessible, installed system or component which is judged to be a significant risk of personal injury during normal operation. The risk may be due to damage, deterioration, improper installation or a change in accepted residential construction standards.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pPr>
      <w:r>
        <w:rPr>
          <w:rFonts w:eastAsia="Times New Roman" w:cs="Times New Roman" w:ascii="Times New Roman" w:hAnsi="Times New Roman"/>
          <w:b/>
          <w:sz w:val="24"/>
        </w:rPr>
        <w:t>"Wiring methods"</w:t>
      </w:r>
      <w:r>
        <w:rPr>
          <w:rFonts w:eastAsia="Times New Roman" w:cs="Times New Roman" w:ascii="Times New Roman" w:hAnsi="Times New Roman"/>
          <w:sz w:val="24"/>
        </w:rPr>
        <w:t xml:space="preserve"> means identification of electrical conductors or wires by their general type, such as "non-metallic sheathed cable" ("Romex"), "armored cable" ("bx") or "knob and tube", etc.</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jc w:val="both"/>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11-14-08 (emergency); Added at 26 Ok Reg 2463, eff 7 -11 -09; Amended at 30 Ok Reg 1555, eff 7-11-13; Amended at 31 Ok Reg 933, eff 9-12-14; Amended at 32 Ok Reg 1649, eff 9-11-15; Amended at 34 Ok Reg 894, eff 10-1-17]</w:t>
      </w:r>
    </w:p>
    <w:p>
      <w:pPr>
        <w:pStyle w:val="Normal"/>
        <w:spacing w:lineRule="exact" w:line="394"/>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158:70-1-3. Standards of workmanship and practice</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500" w:leader="none"/>
        </w:tabs>
        <w:spacing w:lineRule="atLeast" w:line="0"/>
        <w:ind w:hanging="500" w:start="500" w:end="0"/>
        <w:rPr>
          <w:rFonts w:ascii="Times New Roman" w:hAnsi="Times New Roman" w:eastAsia="Times New Roman" w:cs="Times New Roman"/>
          <w:sz w:val="24"/>
        </w:rPr>
      </w:pPr>
      <w:r>
        <w:rPr>
          <w:rFonts w:eastAsia="Times New Roman" w:cs="Times New Roman" w:ascii="Times New Roman" w:hAnsi="Times New Roman"/>
          <w:b/>
          <w:sz w:val="24"/>
        </w:rPr>
        <w:t>General requirements.</w:t>
      </w:r>
    </w:p>
    <w:p>
      <w:pPr>
        <w:pStyle w:val="Normal"/>
        <w:numPr>
          <w:ilvl w:val="1"/>
          <w:numId w:val="1"/>
        </w:numPr>
        <w:tabs>
          <w:tab w:val="clear" w:pos="720"/>
          <w:tab w:val="left" w:pos="1261"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These standards of practice are the minimum levels of inspection practice required of inspectors for the components and systems identified in these rules. No additional inspection beyond these standards of practice set out by the rules is required. Any additional inspection services provided beyond or outside the scope of the standards of practice is a contractual matter between the parties. Home inspections performed in accordance with these standards of practice are intended to provide the client with information regarding the condition of the systems and components at the time of the inspection.</w:t>
      </w:r>
    </w:p>
    <w:p>
      <w:pPr>
        <w:pStyle w:val="Normal"/>
        <w:numPr>
          <w:ilvl w:val="1"/>
          <w:numId w:val="1"/>
        </w:numPr>
        <w:tabs>
          <w:tab w:val="clear" w:pos="720"/>
          <w:tab w:val="left" w:pos="1260" w:leader="none"/>
        </w:tabs>
        <w:spacing w:lineRule="atLeast" w:line="0"/>
        <w:ind w:hanging="540" w:start="1260" w:end="0"/>
        <w:rPr>
          <w:rFonts w:ascii="Times New Roman" w:hAnsi="Times New Roman" w:eastAsia="Times New Roman" w:cs="Times New Roman"/>
          <w:sz w:val="24"/>
        </w:rPr>
      </w:pPr>
      <w:r>
        <w:rPr>
          <w:rFonts w:eastAsia="Times New Roman" w:cs="Times New Roman" w:ascii="Times New Roman" w:hAnsi="Times New Roman"/>
          <w:sz w:val="24"/>
        </w:rPr>
        <w:t>The inspector shall be governed by the following general requirements:</w:t>
      </w:r>
    </w:p>
    <w:p>
      <w:pPr>
        <w:pStyle w:val="Normal"/>
        <w:numPr>
          <w:ilvl w:val="2"/>
          <w:numId w:val="1"/>
        </w:numPr>
        <w:tabs>
          <w:tab w:val="clear" w:pos="720"/>
          <w:tab w:val="left" w:pos="1980"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inspector shall inspect all readily accessible installed systems and components listed in these standards of practice.</w:t>
      </w:r>
    </w:p>
    <w:p>
      <w:pPr>
        <w:pStyle w:val="Normal"/>
        <w:numPr>
          <w:ilvl w:val="2"/>
          <w:numId w:val="1"/>
        </w:numPr>
        <w:tabs>
          <w:tab w:val="clear" w:pos="720"/>
          <w:tab w:val="left" w:pos="1980"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The inspector shall complete a written inspection report in accordance with these standards and submit the report to the client within an agreed upon time frame.</w:t>
      </w:r>
    </w:p>
    <w:p>
      <w:pPr>
        <w:pStyle w:val="Normal"/>
        <w:numPr>
          <w:ilvl w:val="2"/>
          <w:numId w:val="1"/>
        </w:numPr>
        <w:tabs>
          <w:tab w:val="clear" w:pos="720"/>
          <w:tab w:val="left" w:pos="1980"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The inspector shall identify in any written report the client, the inspector who performed the inspection by name and license number, and the address of the inspected property.</w:t>
      </w:r>
    </w:p>
    <w:p>
      <w:pPr>
        <w:pStyle w:val="Normal"/>
        <w:numPr>
          <w:ilvl w:val="2"/>
          <w:numId w:val="1"/>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The inspector shall report:</w:t>
      </w:r>
    </w:p>
    <w:p>
      <w:pPr>
        <w:pStyle w:val="Normal"/>
        <w:numPr>
          <w:ilvl w:val="3"/>
          <w:numId w:val="1"/>
        </w:numPr>
        <w:tabs>
          <w:tab w:val="clear" w:pos="720"/>
          <w:tab w:val="left" w:pos="2520" w:leader="none"/>
        </w:tabs>
        <w:spacing w:lineRule="atLeast" w:line="0"/>
        <w:ind w:start="1980" w:end="0"/>
        <w:rPr>
          <w:rFonts w:ascii="Times New Roman" w:hAnsi="Times New Roman" w:eastAsia="Times New Roman" w:cs="Times New Roman"/>
          <w:sz w:val="24"/>
        </w:rPr>
      </w:pPr>
      <w:r>
        <w:rPr>
          <w:rFonts w:eastAsia="Times New Roman" w:cs="Times New Roman" w:ascii="Times New Roman" w:hAnsi="Times New Roman"/>
          <w:sz w:val="24"/>
        </w:rPr>
        <w:t>those systems and components inspected, which in the professional opinion of the inspector, are in normal working order;</w:t>
      </w:r>
    </w:p>
    <w:p>
      <w:pPr>
        <w:pStyle w:val="Normal"/>
        <w:numPr>
          <w:ilvl w:val="3"/>
          <w:numId w:val="1"/>
        </w:numPr>
        <w:tabs>
          <w:tab w:val="clear" w:pos="720"/>
          <w:tab w:val="left" w:pos="2520" w:leader="none"/>
        </w:tabs>
        <w:spacing w:lineRule="atLeast" w:line="0"/>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those systems and components inspected which, in the professional opinion of the inspector, are not in normal working order and the reason, if not self-evident;</w:t>
      </w:r>
    </w:p>
    <w:p>
      <w:pPr>
        <w:pStyle w:val="Normal"/>
        <w:numPr>
          <w:ilvl w:val="3"/>
          <w:numId w:val="1"/>
        </w:numPr>
        <w:tabs>
          <w:tab w:val="clear" w:pos="720"/>
          <w:tab w:val="left" w:pos="2520" w:leader="none"/>
        </w:tabs>
        <w:spacing w:lineRule="atLeast" w:line="0"/>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those systems and components inspected which, in the professional opinion of the inspector, could impair the safety of the occupants or client and the reason, if not self-evident;</w:t>
      </w:r>
    </w:p>
    <w:p>
      <w:pPr>
        <w:pStyle w:val="Normal"/>
        <w:numPr>
          <w:ilvl w:val="3"/>
          <w:numId w:val="1"/>
        </w:numPr>
        <w:tabs>
          <w:tab w:val="clear" w:pos="720"/>
          <w:tab w:val="left" w:pos="2520" w:leader="none"/>
        </w:tabs>
        <w:spacing w:lineRule="atLeast" w:line="0"/>
        <w:ind w:start="1980" w:end="0"/>
        <w:rPr>
          <w:rFonts w:ascii="Times New Roman" w:hAnsi="Times New Roman" w:eastAsia="Times New Roman" w:cs="Times New Roman"/>
          <w:sz w:val="24"/>
        </w:rPr>
      </w:pPr>
      <w:r>
        <w:rPr>
          <w:rFonts w:eastAsia="Times New Roman" w:cs="Times New Roman" w:ascii="Times New Roman" w:hAnsi="Times New Roman"/>
          <w:sz w:val="24"/>
        </w:rPr>
        <w:t>the inspector's recommendations to have corrected, further evaluated or monitored any reported condition or defect; and,</w:t>
      </w:r>
    </w:p>
    <w:p>
      <w:pPr>
        <w:pStyle w:val="Normal"/>
        <w:numPr>
          <w:ilvl w:val="3"/>
          <w:numId w:val="1"/>
        </w:numPr>
        <w:tabs>
          <w:tab w:val="clear" w:pos="720"/>
          <w:tab w:val="left" w:pos="2563" w:leader="none"/>
        </w:tabs>
        <w:spacing w:lineRule="auto" w:line="237"/>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any systems and components designated for inspection in these standards, which were present at the time of the Home Inspection but were not inspected and the reason they were not inspected.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These standards of practice are not intended to limit inspectors from: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w:t>
      </w:r>
    </w:p>
    <w:p>
      <w:pPr>
        <w:pStyle w:val="Normal"/>
        <w:spacing w:lineRule="atLeast" w:line="0"/>
        <w:jc w:val="end"/>
        <w:rPr>
          <w:rFonts w:ascii="Times New Roman" w:hAnsi="Times New Roman" w:eastAsia="Times New Roman" w:cs="Times New Roman"/>
          <w:sz w:val="16"/>
        </w:rPr>
      </w:pPr>
      <w:bookmarkStart w:id="4" w:name="page5"/>
      <w:bookmarkEnd w:id="4"/>
      <w:r>
        <w:rPr>
          <w:rFonts w:eastAsia="Times New Roman" w:cs="Times New Roman" w:ascii="Times New Roman" w:hAnsi="Times New Roman"/>
          <w:sz w:val="16"/>
        </w:rPr>
        <w:t>Permanent Rules Effective 10/1/2020</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numPr>
          <w:ilvl w:val="2"/>
          <w:numId w:val="2"/>
        </w:numPr>
        <w:tabs>
          <w:tab w:val="clear" w:pos="720"/>
          <w:tab w:val="left" w:pos="2014" w:leader="none"/>
        </w:tabs>
        <w:spacing w:lineRule="auto" w:line="24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including other inspection services or inspecting other systems or components in addition to those required by these Standards when agreed to by the parties contracting for inspection services;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
        </w:numPr>
        <w:tabs>
          <w:tab w:val="clear" w:pos="720"/>
          <w:tab w:val="left" w:pos="2000"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providing a higher level of inspection performance than required by these Standards;</w:t>
      </w:r>
    </w:p>
    <w:p>
      <w:pPr>
        <w:pStyle w:val="Normal"/>
        <w:numPr>
          <w:ilvl w:val="2"/>
          <w:numId w:val="2"/>
        </w:numPr>
        <w:tabs>
          <w:tab w:val="clear" w:pos="720"/>
          <w:tab w:val="left" w:pos="2001"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reporting other observations or conditions in addition to those required by these Standards after any additional conditions are evaluated and would meet the overall purpose of the home inspection, including categorizing additionally reported item, such as but not limited to life and safety, functionality or general maintenance; or,</w:t>
      </w:r>
    </w:p>
    <w:p>
      <w:pPr>
        <w:pStyle w:val="Normal"/>
        <w:numPr>
          <w:ilvl w:val="2"/>
          <w:numId w:val="2"/>
        </w:numPr>
        <w:tabs>
          <w:tab w:val="clear" w:pos="720"/>
          <w:tab w:val="left" w:pos="1861"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excluding systems and components from the inspection, if requested by the client in writing prior to the inspection and recorded on a signed form, such as the sample form "Sample Home Inspection Exclusion" at Appendix A of this Chapter.</w:t>
      </w:r>
    </w:p>
    <w:p>
      <w:pPr>
        <w:pStyle w:val="Normal"/>
        <w:numPr>
          <w:ilvl w:val="1"/>
          <w:numId w:val="3"/>
        </w:numPr>
        <w:tabs>
          <w:tab w:val="clear" w:pos="720"/>
          <w:tab w:val="left" w:pos="1241"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All home inspectors shall maintain a log or record of all home inspections performed, for a minimum period of five (5) years from the date of inspection. The log or record shall include the name of the client, the address of the property, and the date of the inspection. The home inspector shall maintain a copy of all home inspections completed within the past thirty-six (36) months. The log or record and inspection reports may be a hard file or an electronic file and shall be maintained at the home inspector's principal business address. The files shall be available for review upon request of an authorized representative of the Construction Industries Board.</w:t>
      </w:r>
    </w:p>
    <w:p>
      <w:pPr>
        <w:pStyle w:val="Normal"/>
        <w:numPr>
          <w:ilvl w:val="1"/>
          <w:numId w:val="3"/>
        </w:numPr>
        <w:tabs>
          <w:tab w:val="clear" w:pos="720"/>
          <w:tab w:val="left" w:pos="1240" w:leader="none"/>
        </w:tabs>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A home inspector who visually examines any portion of a residential unit that is part of a real property consisting of more than four (4) dwelling units, shall advise, in writing, the person requesting the visual examination that the visual examination being conducted by the home inspector is not governed by the Act and these rules.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240"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All home inspectors should provide the standards of practice of this section to all potential clients prior to the home inspection by proof of signature of acknowledgement.</w:t>
      </w:r>
    </w:p>
    <w:p>
      <w:pPr>
        <w:pStyle w:val="Normal"/>
        <w:numPr>
          <w:ilvl w:val="1"/>
          <w:numId w:val="3"/>
        </w:numPr>
        <w:tabs>
          <w:tab w:val="clear" w:pos="720"/>
          <w:tab w:val="left" w:pos="1240"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All home inspectors should require a written pre-inspection agreement to be signed by the client prior to the commencement of a home inspection.</w:t>
      </w:r>
    </w:p>
    <w:p>
      <w:pPr>
        <w:pStyle w:val="Normal"/>
        <w:numPr>
          <w:ilvl w:val="0"/>
          <w:numId w:val="4"/>
        </w:numPr>
        <w:tabs>
          <w:tab w:val="clear" w:pos="720"/>
          <w:tab w:val="left" w:pos="520" w:leader="none"/>
        </w:tabs>
        <w:spacing w:lineRule="atLeast" w:line="0"/>
        <w:ind w:hanging="520" w:start="520" w:end="0"/>
        <w:rPr>
          <w:rFonts w:ascii="Times New Roman" w:hAnsi="Times New Roman" w:eastAsia="Times New Roman" w:cs="Times New Roman"/>
          <w:sz w:val="24"/>
        </w:rPr>
      </w:pPr>
      <w:r>
        <w:rPr>
          <w:rFonts w:eastAsia="Times New Roman" w:cs="Times New Roman" w:ascii="Times New Roman" w:hAnsi="Times New Roman"/>
          <w:b/>
          <w:sz w:val="24"/>
        </w:rPr>
        <w:t>General limitations and exclusions.</w:t>
      </w:r>
    </w:p>
    <w:p>
      <w:pPr>
        <w:pStyle w:val="Normal"/>
        <w:numPr>
          <w:ilvl w:val="1"/>
          <w:numId w:val="4"/>
        </w:numPr>
        <w:tabs>
          <w:tab w:val="clear" w:pos="720"/>
          <w:tab w:val="left" w:pos="1240"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 perform any action or make any determination not specifically stated in these Standards of Practice.</w:t>
      </w:r>
    </w:p>
    <w:p>
      <w:pPr>
        <w:pStyle w:val="Normal"/>
        <w:numPr>
          <w:ilvl w:val="1"/>
          <w:numId w:val="4"/>
        </w:numPr>
        <w:tabs>
          <w:tab w:val="clear" w:pos="720"/>
          <w:tab w:val="left" w:pos="1241"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Inspections performed in accordance with these standards are not required to be technically exhaustive, will not identify concealed conditions or latent defects and are only applicable to buildings with four or fewer dwelling units and their garages, both attached and detached, or carports.</w:t>
      </w:r>
    </w:p>
    <w:p>
      <w:pPr>
        <w:pStyle w:val="Normal"/>
        <w:numPr>
          <w:ilvl w:val="1"/>
          <w:numId w:val="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w:t>
      </w:r>
    </w:p>
    <w:p>
      <w:pPr>
        <w:pStyle w:val="Normal"/>
        <w:numPr>
          <w:ilvl w:val="2"/>
          <w:numId w:val="4"/>
        </w:numPr>
        <w:tabs>
          <w:tab w:val="clear" w:pos="720"/>
          <w:tab w:val="left" w:pos="1944"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perform any action or make any determination unless specifically stated in these Standards, except as may be required by lawful authority;</w:t>
      </w:r>
    </w:p>
    <w:p>
      <w:pPr>
        <w:pStyle w:val="Normal"/>
        <w:numPr>
          <w:ilvl w:val="2"/>
          <w:numId w:val="4"/>
        </w:numPr>
        <w:tabs>
          <w:tab w:val="clear" w:pos="720"/>
          <w:tab w:val="left" w:pos="1971"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determine the condition of systems or components which are not readily accessible;</w:t>
      </w:r>
    </w:p>
    <w:p>
      <w:pPr>
        <w:pStyle w:val="Normal"/>
        <w:numPr>
          <w:ilvl w:val="2"/>
          <w:numId w:val="4"/>
        </w:numPr>
        <w:tabs>
          <w:tab w:val="clear" w:pos="720"/>
          <w:tab w:val="left" w:pos="1880" w:leader="none"/>
        </w:tabs>
        <w:spacing w:lineRule="atLeast" w:line="0"/>
        <w:ind w:hanging="440" w:start="1880" w:end="0"/>
        <w:rPr>
          <w:rFonts w:ascii="Times New Roman" w:hAnsi="Times New Roman" w:eastAsia="Times New Roman" w:cs="Times New Roman"/>
          <w:sz w:val="24"/>
        </w:rPr>
      </w:pPr>
      <w:r>
        <w:rPr>
          <w:rFonts w:eastAsia="Times New Roman" w:cs="Times New Roman" w:ascii="Times New Roman" w:hAnsi="Times New Roman"/>
          <w:sz w:val="24"/>
        </w:rPr>
        <w:t>determine the remaining life of any system or component;</w:t>
      </w:r>
    </w:p>
    <w:p>
      <w:pPr>
        <w:pStyle w:val="Normal"/>
        <w:numPr>
          <w:ilvl w:val="2"/>
          <w:numId w:val="4"/>
        </w:numPr>
        <w:tabs>
          <w:tab w:val="clear" w:pos="720"/>
          <w:tab w:val="left" w:pos="1927"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determine the strength, adequacy, effectiveness, efficiency or insurability of any system or component;</w:t>
      </w:r>
    </w:p>
    <w:p>
      <w:pPr>
        <w:pStyle w:val="Normal"/>
        <w:numPr>
          <w:ilvl w:val="2"/>
          <w:numId w:val="4"/>
        </w:numPr>
        <w:tabs>
          <w:tab w:val="clear" w:pos="720"/>
          <w:tab w:val="left" w:pos="1860" w:leader="none"/>
        </w:tabs>
        <w:spacing w:lineRule="atLeast" w:line="0"/>
        <w:ind w:hanging="420" w:start="1860" w:end="0"/>
        <w:rPr>
          <w:rFonts w:ascii="Times New Roman" w:hAnsi="Times New Roman" w:eastAsia="Times New Roman" w:cs="Times New Roman"/>
          <w:sz w:val="24"/>
        </w:rPr>
      </w:pPr>
      <w:r>
        <w:rPr>
          <w:rFonts w:eastAsia="Times New Roman" w:cs="Times New Roman" w:ascii="Times New Roman" w:hAnsi="Times New Roman"/>
          <w:sz w:val="24"/>
        </w:rPr>
        <w:t>determine the causes of any condition or defect;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5</w:t>
      </w:r>
    </w:p>
    <w:p>
      <w:pPr>
        <w:pStyle w:val="Normal"/>
        <w:spacing w:lineRule="atLeast" w:line="0"/>
        <w:ind w:start="6960" w:end="0"/>
        <w:rPr>
          <w:rFonts w:ascii="Times New Roman" w:hAnsi="Times New Roman" w:eastAsia="Times New Roman" w:cs="Times New Roman"/>
          <w:sz w:val="15"/>
        </w:rPr>
      </w:pPr>
      <w:bookmarkStart w:id="5" w:name="page6"/>
      <w:bookmarkEnd w:id="5"/>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5"/>
        </w:numPr>
        <w:tabs>
          <w:tab w:val="clear" w:pos="720"/>
          <w:tab w:val="left" w:pos="1860" w:leader="none"/>
        </w:tabs>
        <w:spacing w:lineRule="atLeast" w:line="0"/>
        <w:ind w:hanging="420" w:start="1860" w:end="0"/>
        <w:rPr>
          <w:rFonts w:ascii="Times New Roman" w:hAnsi="Times New Roman" w:eastAsia="Times New Roman" w:cs="Times New Roman"/>
          <w:sz w:val="24"/>
        </w:rPr>
      </w:pPr>
      <w:r>
        <w:rPr>
          <w:rFonts w:eastAsia="Times New Roman" w:cs="Times New Roman" w:ascii="Times New Roman" w:hAnsi="Times New Roman"/>
          <w:sz w:val="24"/>
        </w:rPr>
        <w:t>determine the methods or materials for repair or correction of any defect;</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
        </w:numPr>
        <w:tabs>
          <w:tab w:val="clear" w:pos="720"/>
          <w:tab w:val="left" w:pos="1934"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determine future conditions including, but not limited to, failure of systems and components;</w:t>
      </w:r>
    </w:p>
    <w:p>
      <w:pPr>
        <w:pStyle w:val="Normal"/>
        <w:numPr>
          <w:ilvl w:val="1"/>
          <w:numId w:val="5"/>
        </w:numPr>
        <w:tabs>
          <w:tab w:val="clear" w:pos="720"/>
          <w:tab w:val="left" w:pos="2083"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determine the suitability of the property for any specialized use or compliance with any regulatory requirements other than this Chapter;</w:t>
      </w:r>
    </w:p>
    <w:p>
      <w:pPr>
        <w:pStyle w:val="Normal"/>
        <w:numPr>
          <w:ilvl w:val="1"/>
          <w:numId w:val="5"/>
        </w:numPr>
        <w:tabs>
          <w:tab w:val="clear" w:pos="720"/>
          <w:tab w:val="left" w:pos="1843"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determine the presence of potentially hazardous plants or animals including, but not limited to, wood destroying organisms, mold, mildew, fungi, or diseases harmful to humans;</w:t>
      </w:r>
    </w:p>
    <w:p>
      <w:pPr>
        <w:pStyle w:val="Normal"/>
        <w:numPr>
          <w:ilvl w:val="1"/>
          <w:numId w:val="5"/>
        </w:numPr>
        <w:tabs>
          <w:tab w:val="clear" w:pos="720"/>
          <w:tab w:val="left" w:pos="1936"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determine the presence of any environmental hazards including, but not limited to, toxins, carcinogens, noise, and contaminants in soil, water, or air;</w:t>
      </w:r>
    </w:p>
    <w:p>
      <w:pPr>
        <w:pStyle w:val="Normal"/>
        <w:numPr>
          <w:ilvl w:val="1"/>
          <w:numId w:val="5"/>
        </w:numPr>
        <w:tabs>
          <w:tab w:val="clear" w:pos="720"/>
          <w:tab w:val="left" w:pos="1963"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determine the effectiveness of any system installed or methods utilized to control or remove suspected hazardous substances;</w:t>
      </w:r>
    </w:p>
    <w:p>
      <w:pPr>
        <w:pStyle w:val="Normal"/>
        <w:numPr>
          <w:ilvl w:val="1"/>
          <w:numId w:val="5"/>
        </w:numPr>
        <w:tabs>
          <w:tab w:val="clear" w:pos="720"/>
          <w:tab w:val="left" w:pos="1860" w:leader="none"/>
        </w:tabs>
        <w:spacing w:lineRule="atLeast" w:line="0"/>
        <w:ind w:hanging="420" w:start="1860" w:end="0"/>
        <w:rPr>
          <w:rFonts w:ascii="Times New Roman" w:hAnsi="Times New Roman" w:eastAsia="Times New Roman" w:cs="Times New Roman"/>
          <w:sz w:val="24"/>
        </w:rPr>
      </w:pPr>
      <w:r>
        <w:rPr>
          <w:rFonts w:eastAsia="Times New Roman" w:cs="Times New Roman" w:ascii="Times New Roman" w:hAnsi="Times New Roman"/>
          <w:sz w:val="24"/>
        </w:rPr>
        <w:t>determine the operating costs of any system or component;</w:t>
      </w:r>
    </w:p>
    <w:p>
      <w:pPr>
        <w:pStyle w:val="Normal"/>
        <w:numPr>
          <w:ilvl w:val="1"/>
          <w:numId w:val="5"/>
        </w:numPr>
        <w:tabs>
          <w:tab w:val="clear" w:pos="720"/>
          <w:tab w:val="left" w:pos="1940" w:leader="none"/>
        </w:tabs>
        <w:spacing w:lineRule="atLeast" w:line="0"/>
        <w:ind w:hanging="500" w:start="1940" w:end="0"/>
        <w:rPr>
          <w:rFonts w:ascii="Times New Roman" w:hAnsi="Times New Roman" w:eastAsia="Times New Roman" w:cs="Times New Roman"/>
          <w:sz w:val="24"/>
        </w:rPr>
      </w:pPr>
      <w:r>
        <w:rPr>
          <w:rFonts w:eastAsia="Times New Roman" w:cs="Times New Roman" w:ascii="Times New Roman" w:hAnsi="Times New Roman"/>
          <w:sz w:val="24"/>
        </w:rPr>
        <w:t>determine the acoustical properties of any system or component;</w:t>
      </w:r>
    </w:p>
    <w:p>
      <w:pPr>
        <w:pStyle w:val="Normal"/>
        <w:numPr>
          <w:ilvl w:val="1"/>
          <w:numId w:val="5"/>
        </w:numPr>
        <w:tabs>
          <w:tab w:val="clear" w:pos="720"/>
          <w:tab w:val="left" w:pos="1901"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perform engineering or architectural services or perform work in any trade or professional service other than home inspections;</w:t>
      </w:r>
    </w:p>
    <w:p>
      <w:pPr>
        <w:pStyle w:val="Normal"/>
        <w:numPr>
          <w:ilvl w:val="1"/>
          <w:numId w:val="5"/>
        </w:numPr>
        <w:tabs>
          <w:tab w:val="clear" w:pos="720"/>
          <w:tab w:val="left" w:pos="1900" w:leader="none"/>
        </w:tabs>
        <w:spacing w:lineRule="atLeast" w:line="0"/>
        <w:ind w:hanging="460" w:start="1900" w:end="0"/>
        <w:rPr>
          <w:rFonts w:ascii="Times New Roman" w:hAnsi="Times New Roman" w:eastAsia="Times New Roman" w:cs="Times New Roman"/>
          <w:sz w:val="24"/>
        </w:rPr>
      </w:pPr>
      <w:r>
        <w:rPr>
          <w:rFonts w:eastAsia="Times New Roman" w:cs="Times New Roman" w:ascii="Times New Roman" w:hAnsi="Times New Roman"/>
          <w:sz w:val="24"/>
        </w:rPr>
        <w:t>provide warranties or guarantees of any kind;</w:t>
      </w:r>
    </w:p>
    <w:p>
      <w:pPr>
        <w:pStyle w:val="Normal"/>
        <w:numPr>
          <w:ilvl w:val="1"/>
          <w:numId w:val="5"/>
        </w:numPr>
        <w:tabs>
          <w:tab w:val="clear" w:pos="720"/>
          <w:tab w:val="left" w:pos="1858"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operate any system or component which is shut down or otherwise inoperable or turn on any utility services;</w:t>
      </w:r>
    </w:p>
    <w:p>
      <w:pPr>
        <w:pStyle w:val="Normal"/>
        <w:numPr>
          <w:ilvl w:val="1"/>
          <w:numId w:val="5"/>
        </w:numPr>
        <w:tabs>
          <w:tab w:val="clear" w:pos="720"/>
          <w:tab w:val="left" w:pos="2047"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operate any system or component which does not respond to normal operating controls, or shut-off valves;</w:t>
      </w:r>
    </w:p>
    <w:p>
      <w:pPr>
        <w:pStyle w:val="Normal"/>
        <w:numPr>
          <w:ilvl w:val="1"/>
          <w:numId w:val="5"/>
        </w:numPr>
        <w:tabs>
          <w:tab w:val="clear" w:pos="720"/>
          <w:tab w:val="left" w:pos="1888"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enter any area which will, in the opinion of the inspector, likely be dangerous to the inspector or other persons or may damage the property or its systems or components;</w:t>
      </w:r>
    </w:p>
    <w:p>
      <w:pPr>
        <w:pStyle w:val="Normal"/>
        <w:numPr>
          <w:ilvl w:val="1"/>
          <w:numId w:val="5"/>
        </w:numPr>
        <w:tabs>
          <w:tab w:val="clear" w:pos="720"/>
          <w:tab w:val="left" w:pos="1870" w:leader="none"/>
        </w:tabs>
        <w:spacing w:lineRule="auto" w:line="237"/>
        <w:ind w:start="1440" w:end="0"/>
        <w:rPr>
          <w:rFonts w:ascii="Times New Roman" w:hAnsi="Times New Roman" w:eastAsia="Times New Roman" w:cs="Times New Roman"/>
          <w:sz w:val="24"/>
        </w:rPr>
      </w:pPr>
      <w:r>
        <w:rPr>
          <w:rFonts w:eastAsia="Times New Roman" w:cs="Times New Roman" w:ascii="Times New Roman" w:hAnsi="Times New Roman"/>
          <w:sz w:val="24"/>
        </w:rPr>
        <w:t>enter the under-floor crawl spaces, attics or any area which, in the opinion of the inspector, is not readily accessible;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
        </w:numPr>
        <w:tabs>
          <w:tab w:val="clear" w:pos="720"/>
          <w:tab w:val="left" w:pos="1939"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inspect or determine the integrity of underground systems or components, including, but not limited to, main drain lines connecting to sewers, water lines, gas lines, electrical lines and underground storage tanks or other underground indications of their presence whether abandoned or active;</w:t>
      </w:r>
    </w:p>
    <w:p>
      <w:pPr>
        <w:pStyle w:val="Normal"/>
        <w:numPr>
          <w:ilvl w:val="1"/>
          <w:numId w:val="5"/>
        </w:numPr>
        <w:tabs>
          <w:tab w:val="clear" w:pos="720"/>
          <w:tab w:val="left" w:pos="1982"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inspect systems or components which are not installed, decorative items, systems or components located in areas that are not entered in accordance with these Standards, detached structures other than garages and carports, or common elements and areas in multi-unit housing, such as condominium properties or cooperative housing;</w:t>
      </w:r>
    </w:p>
    <w:p>
      <w:pPr>
        <w:pStyle w:val="Normal"/>
        <w:numPr>
          <w:ilvl w:val="1"/>
          <w:numId w:val="5"/>
        </w:numPr>
        <w:tabs>
          <w:tab w:val="clear" w:pos="720"/>
          <w:tab w:val="left" w:pos="1903"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move suspended ceiling tiles, personal property, furniture, equipment, plants, soil, snow, ice, or debris;</w:t>
      </w:r>
    </w:p>
    <w:p>
      <w:pPr>
        <w:pStyle w:val="Normal"/>
        <w:numPr>
          <w:ilvl w:val="1"/>
          <w:numId w:val="5"/>
        </w:numPr>
        <w:tabs>
          <w:tab w:val="clear" w:pos="720"/>
          <w:tab w:val="left" w:pos="1990"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dismantle any system or component, except as explicitly required by these rules; or,</w:t>
      </w:r>
    </w:p>
    <w:p>
      <w:pPr>
        <w:pStyle w:val="Normal"/>
        <w:numPr>
          <w:ilvl w:val="1"/>
          <w:numId w:val="5"/>
        </w:numPr>
        <w:tabs>
          <w:tab w:val="clear" w:pos="720"/>
          <w:tab w:val="left" w:pos="1905"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light any standing gas pilot light that does not have a spark-igniter, including but not limited to heating systems, water heaters and fireplaces; or,</w:t>
      </w:r>
    </w:p>
    <w:p>
      <w:pPr>
        <w:pStyle w:val="Normal"/>
        <w:numPr>
          <w:ilvl w:val="0"/>
          <w:numId w:val="6"/>
        </w:numPr>
        <w:tabs>
          <w:tab w:val="clear" w:pos="720"/>
          <w:tab w:val="left" w:pos="1300" w:leader="none"/>
        </w:tabs>
        <w:spacing w:lineRule="atLeast" w:line="0"/>
        <w:ind w:hanging="520" w:start="1300" w:end="0"/>
        <w:rPr>
          <w:rFonts w:ascii="Times New Roman" w:hAnsi="Times New Roman" w:eastAsia="Times New Roman" w:cs="Times New Roman"/>
          <w:sz w:val="24"/>
        </w:rPr>
      </w:pPr>
      <w:r>
        <w:rPr>
          <w:rFonts w:eastAsia="Times New Roman" w:cs="Times New Roman" w:ascii="Times New Roman" w:hAnsi="Times New Roman"/>
          <w:sz w:val="24"/>
        </w:rPr>
        <w:t>The inspector shall not:</w:t>
      </w:r>
    </w:p>
    <w:p>
      <w:pPr>
        <w:pStyle w:val="Normal"/>
        <w:numPr>
          <w:ilvl w:val="1"/>
          <w:numId w:val="6"/>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offer or perform any act or service contrary to law;</w:t>
      </w:r>
    </w:p>
    <w:p>
      <w:pPr>
        <w:pStyle w:val="Normal"/>
        <w:numPr>
          <w:ilvl w:val="1"/>
          <w:numId w:val="6"/>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determine or report on the market value of the property or its marketability;</w:t>
      </w:r>
    </w:p>
    <w:p>
      <w:pPr>
        <w:pStyle w:val="Normal"/>
        <w:numPr>
          <w:ilvl w:val="1"/>
          <w:numId w:val="6"/>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report on the advisability of the purchase of the property;</w:t>
      </w:r>
    </w:p>
    <w:p>
      <w:pPr>
        <w:pStyle w:val="Normal"/>
        <w:numPr>
          <w:ilvl w:val="1"/>
          <w:numId w:val="6"/>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estimate or speculate the cost for repairs; 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6</w:t>
      </w:r>
    </w:p>
    <w:p>
      <w:pPr>
        <w:pStyle w:val="Normal"/>
        <w:spacing w:lineRule="atLeast" w:line="0"/>
        <w:ind w:start="6960" w:end="0"/>
        <w:rPr>
          <w:rFonts w:ascii="Times New Roman" w:hAnsi="Times New Roman" w:eastAsia="Times New Roman" w:cs="Times New Roman"/>
          <w:sz w:val="15"/>
        </w:rPr>
      </w:pPr>
      <w:bookmarkStart w:id="6" w:name="page7"/>
      <w:bookmarkEnd w:id="6"/>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2"/>
          <w:numId w:val="7"/>
        </w:numPr>
        <w:tabs>
          <w:tab w:val="clear" w:pos="720"/>
          <w:tab w:val="left" w:pos="1980" w:leader="none"/>
        </w:tabs>
        <w:spacing w:lineRule="auto" w:line="242"/>
        <w:ind w:start="1440" w:end="0"/>
        <w:rPr>
          <w:rFonts w:ascii="Times New Roman" w:hAnsi="Times New Roman" w:eastAsia="Times New Roman" w:cs="Times New Roman"/>
          <w:sz w:val="24"/>
        </w:rPr>
      </w:pPr>
      <w:r>
        <w:rPr>
          <w:rFonts w:eastAsia="Times New Roman" w:cs="Times New Roman" w:ascii="Times New Roman" w:hAnsi="Times New Roman"/>
          <w:sz w:val="24"/>
        </w:rPr>
        <w:t>advertise or solicit to perform repair services on the inspected home for a period of one (1) year from the date of the inspection.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500" w:leader="none"/>
        </w:tabs>
        <w:spacing w:lineRule="atLeast" w:line="0"/>
        <w:ind w:hanging="500" w:start="500" w:end="0"/>
        <w:rPr>
          <w:rFonts w:ascii="Times New Roman" w:hAnsi="Times New Roman" w:eastAsia="Times New Roman" w:cs="Times New Roman"/>
          <w:sz w:val="24"/>
        </w:rPr>
      </w:pPr>
      <w:r>
        <w:rPr>
          <w:rFonts w:eastAsia="Times New Roman" w:cs="Times New Roman" w:ascii="Times New Roman" w:hAnsi="Times New Roman"/>
          <w:b/>
          <w:sz w:val="24"/>
        </w:rPr>
        <w:t>Structural system inspection requirements.</w:t>
      </w:r>
    </w:p>
    <w:p>
      <w:pPr>
        <w:pStyle w:val="Normal"/>
        <w:numPr>
          <w:ilvl w:val="1"/>
          <w:numId w:val="8"/>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inspect:</w:t>
      </w:r>
    </w:p>
    <w:p>
      <w:pPr>
        <w:pStyle w:val="Normal"/>
        <w:numPr>
          <w:ilvl w:val="2"/>
          <w:numId w:val="8"/>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the foundation structure including slabs, piers, columns, posts, stem walls;</w:t>
      </w:r>
    </w:p>
    <w:p>
      <w:pPr>
        <w:pStyle w:val="Normal"/>
        <w:numPr>
          <w:ilvl w:val="2"/>
          <w:numId w:val="8"/>
        </w:numPr>
        <w:tabs>
          <w:tab w:val="clear" w:pos="720"/>
          <w:tab w:val="left" w:pos="1980"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floor structure including beams, girders, joists, trusses, sill plates, blocking, bracing, drilling, notching and sub floors;</w:t>
      </w:r>
    </w:p>
    <w:p>
      <w:pPr>
        <w:pStyle w:val="Normal"/>
        <w:numPr>
          <w:ilvl w:val="2"/>
          <w:numId w:val="8"/>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the wall structure;</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 the roof structure including rafters, trusses, sheathing, blocking, bracing, drilling, notching and fire stops;</w:t>
      </w:r>
    </w:p>
    <w:p>
      <w:pPr>
        <w:pStyle w:val="Normal"/>
        <w:numPr>
          <w:ilvl w:val="2"/>
          <w:numId w:val="9"/>
        </w:numPr>
        <w:tabs>
          <w:tab w:val="clear" w:pos="720"/>
          <w:tab w:val="left" w:pos="1981"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ceiling structure including joists, trusses, blocking, bracing, drilling, notching and fire stops at ceiling penetrations; and,</w:t>
      </w:r>
    </w:p>
    <w:p>
      <w:pPr>
        <w:pStyle w:val="Normal"/>
        <w:numPr>
          <w:ilvl w:val="2"/>
          <w:numId w:val="9"/>
        </w:numPr>
        <w:tabs>
          <w:tab w:val="clear" w:pos="720"/>
          <w:tab w:val="left" w:pos="1981"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crawl space, basement and attic moisture conditions and indicators of harmful water penetration or condensation on structural components.</w:t>
      </w:r>
    </w:p>
    <w:p>
      <w:pPr>
        <w:pStyle w:val="Normal"/>
        <w:numPr>
          <w:ilvl w:val="1"/>
          <w:numId w:val="10"/>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is required to:</w:t>
      </w:r>
    </w:p>
    <w:p>
      <w:pPr>
        <w:pStyle w:val="Normal"/>
        <w:numPr>
          <w:ilvl w:val="2"/>
          <w:numId w:val="10"/>
        </w:numPr>
        <w:tabs>
          <w:tab w:val="clear" w:pos="720"/>
          <w:tab w:val="left" w:pos="2013"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describe the foundation, floor structure, roof structure, ceiling structure and wall structure;</w:t>
      </w:r>
    </w:p>
    <w:p>
      <w:pPr>
        <w:pStyle w:val="Normal"/>
        <w:numPr>
          <w:ilvl w:val="2"/>
          <w:numId w:val="10"/>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describe indicators of foundation or structural movement;</w:t>
      </w:r>
    </w:p>
    <w:p>
      <w:pPr>
        <w:pStyle w:val="Normal"/>
        <w:numPr>
          <w:ilvl w:val="2"/>
          <w:numId w:val="10"/>
        </w:numPr>
        <w:tabs>
          <w:tab w:val="clear" w:pos="720"/>
          <w:tab w:val="left" w:pos="2001"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enter the crawl space and attic to determine the general condition of the components;</w:t>
      </w:r>
    </w:p>
    <w:p>
      <w:pPr>
        <w:pStyle w:val="Normal"/>
        <w:numPr>
          <w:ilvl w:val="2"/>
          <w:numId w:val="10"/>
        </w:numPr>
        <w:tabs>
          <w:tab w:val="clear" w:pos="720"/>
          <w:tab w:val="left" w:pos="2013"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report the method used to observe the crawl space and attic if the inspector did not enter; and,</w:t>
      </w:r>
    </w:p>
    <w:p>
      <w:pPr>
        <w:pStyle w:val="Normal"/>
        <w:numPr>
          <w:ilvl w:val="2"/>
          <w:numId w:val="10"/>
        </w:numPr>
        <w:tabs>
          <w:tab w:val="clear" w:pos="720"/>
          <w:tab w:val="left" w:pos="1987" w:leader="none"/>
        </w:tabs>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probe structural components where deterioration is suspected or where clear indications of possible deterioration exist. Probing is not required where no deterioration is visible.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w:t>
      </w:r>
    </w:p>
    <w:p>
      <w:pPr>
        <w:pStyle w:val="Normal"/>
        <w:numPr>
          <w:ilvl w:val="2"/>
          <w:numId w:val="10"/>
        </w:numPr>
        <w:tabs>
          <w:tab w:val="clear" w:pos="720"/>
          <w:tab w:val="left" w:pos="2013"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enter a crawl space or any foundation area where the headroom is less than 18 inches, the access opening is less than 18 inches by 24 inches, where the area is excessively wet, or where the inspector reasonably determines the conditions or materials are hazardous to the safety of the inspector;</w:t>
      </w:r>
    </w:p>
    <w:p>
      <w:pPr>
        <w:pStyle w:val="Normal"/>
        <w:numPr>
          <w:ilvl w:val="2"/>
          <w:numId w:val="10"/>
        </w:numPr>
        <w:tabs>
          <w:tab w:val="clear" w:pos="720"/>
          <w:tab w:val="left" w:pos="2001"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enter an attic space where head room is less than 30 inches, the access opening is less than 18 inches wide by 24 inches long, or where the inspector reasonably determines conditions or materials are hazardous to the safety of the inspector; or</w:t>
      </w:r>
    </w:p>
    <w:p>
      <w:pPr>
        <w:pStyle w:val="Normal"/>
        <w:numPr>
          <w:ilvl w:val="2"/>
          <w:numId w:val="10"/>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perform any invasive or destructive inspection.</w:t>
      </w:r>
    </w:p>
    <w:p>
      <w:pPr>
        <w:pStyle w:val="Normal"/>
        <w:numPr>
          <w:ilvl w:val="0"/>
          <w:numId w:val="11"/>
        </w:numPr>
        <w:tabs>
          <w:tab w:val="clear" w:pos="720"/>
          <w:tab w:val="left" w:pos="520" w:leader="none"/>
        </w:tabs>
        <w:spacing w:lineRule="atLeast" w:line="0"/>
        <w:ind w:hanging="520" w:start="520" w:end="0"/>
        <w:rPr>
          <w:rFonts w:ascii="Times New Roman" w:hAnsi="Times New Roman" w:eastAsia="Times New Roman" w:cs="Times New Roman"/>
          <w:sz w:val="24"/>
        </w:rPr>
      </w:pPr>
      <w:r>
        <w:rPr>
          <w:rFonts w:eastAsia="Times New Roman" w:cs="Times New Roman" w:ascii="Times New Roman" w:hAnsi="Times New Roman"/>
          <w:b/>
          <w:sz w:val="24"/>
        </w:rPr>
        <w:t>Exterior inspection requirements.</w:t>
      </w:r>
    </w:p>
    <w:p>
      <w:pPr>
        <w:pStyle w:val="Normal"/>
        <w:numPr>
          <w:ilvl w:val="1"/>
          <w:numId w:val="11"/>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inspect:</w:t>
      </w:r>
    </w:p>
    <w:p>
      <w:pPr>
        <w:pStyle w:val="Normal"/>
        <w:numPr>
          <w:ilvl w:val="2"/>
          <w:numId w:val="11"/>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exterior wall covering, trim, flashings, caulking and protective coatings;</w:t>
      </w:r>
    </w:p>
    <w:p>
      <w:pPr>
        <w:pStyle w:val="Normal"/>
        <w:numPr>
          <w:ilvl w:val="2"/>
          <w:numId w:val="11"/>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all exterior doors and locking devices;</w:t>
      </w:r>
    </w:p>
    <w:p>
      <w:pPr>
        <w:pStyle w:val="Normal"/>
        <w:numPr>
          <w:ilvl w:val="2"/>
          <w:numId w:val="11"/>
        </w:numPr>
        <w:tabs>
          <w:tab w:val="clear" w:pos="720"/>
          <w:tab w:val="left" w:pos="2000"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overhead garage doors and garage door openers including safety mechanisms;</w:t>
      </w:r>
    </w:p>
    <w:p>
      <w:pPr>
        <w:pStyle w:val="Normal"/>
        <w:numPr>
          <w:ilvl w:val="2"/>
          <w:numId w:val="11"/>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storm windows and doors;</w:t>
      </w:r>
    </w:p>
    <w:p>
      <w:pPr>
        <w:pStyle w:val="Normal"/>
        <w:numPr>
          <w:ilvl w:val="2"/>
          <w:numId w:val="11"/>
        </w:numPr>
        <w:tabs>
          <w:tab w:val="clear" w:pos="720"/>
          <w:tab w:val="left" w:pos="1981"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attached decks/patios, balconies, stoops, steps, porches, and their associated railings;</w:t>
      </w:r>
    </w:p>
    <w:p>
      <w:pPr>
        <w:pStyle w:val="Normal"/>
        <w:numPr>
          <w:ilvl w:val="2"/>
          <w:numId w:val="11"/>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eaves, soffits and fascias;</w:t>
      </w:r>
    </w:p>
    <w:p>
      <w:pPr>
        <w:pStyle w:val="Normal"/>
        <w:numPr>
          <w:ilvl w:val="2"/>
          <w:numId w:val="11"/>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driveways and walkways leading to dwelling entrances;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7</w:t>
      </w:r>
    </w:p>
    <w:p>
      <w:pPr>
        <w:pStyle w:val="Normal"/>
        <w:spacing w:lineRule="atLeast" w:line="0"/>
        <w:jc w:val="end"/>
        <w:rPr>
          <w:rFonts w:ascii="Times New Roman" w:hAnsi="Times New Roman" w:eastAsia="Times New Roman" w:cs="Times New Roman"/>
          <w:sz w:val="16"/>
        </w:rPr>
      </w:pPr>
      <w:bookmarkStart w:id="7" w:name="page8"/>
      <w:bookmarkEnd w:id="7"/>
      <w:r>
        <w:rPr>
          <w:rFonts w:eastAsia="Times New Roman" w:cs="Times New Roman" w:ascii="Times New Roman" w:hAnsi="Times New Roman"/>
          <w:sz w:val="16"/>
        </w:rPr>
        <w:t>Permanent Rules Effective 10/1/2020</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numPr>
          <w:ilvl w:val="2"/>
          <w:numId w:val="12"/>
        </w:numPr>
        <w:tabs>
          <w:tab w:val="clear" w:pos="720"/>
          <w:tab w:val="left" w:pos="1980" w:leader="none"/>
        </w:tabs>
        <w:spacing w:lineRule="auto" w:line="242"/>
        <w:ind w:start="1440" w:end="0"/>
        <w:rPr>
          <w:rFonts w:ascii="Times New Roman" w:hAnsi="Times New Roman" w:eastAsia="Times New Roman" w:cs="Times New Roman"/>
          <w:sz w:val="24"/>
        </w:rPr>
      </w:pPr>
      <w:r>
        <w:rPr>
          <w:rFonts w:eastAsia="Times New Roman" w:cs="Times New Roman" w:ascii="Times New Roman" w:hAnsi="Times New Roman"/>
          <w:sz w:val="24"/>
        </w:rPr>
        <w:t>vegetation, grading, surface drainage, and retaining walls on the property when any of these are likely to have an adverse effect on the structure; and,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2"/>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the primary garage or carport.</w:t>
      </w:r>
    </w:p>
    <w:p>
      <w:pPr>
        <w:pStyle w:val="Normal"/>
        <w:numPr>
          <w:ilvl w:val="1"/>
          <w:numId w:val="13"/>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describe:</w:t>
      </w:r>
    </w:p>
    <w:p>
      <w:pPr>
        <w:pStyle w:val="Normal"/>
        <w:numPr>
          <w:ilvl w:val="2"/>
          <w:numId w:val="13"/>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exterior wall covering;</w:t>
      </w:r>
    </w:p>
    <w:p>
      <w:pPr>
        <w:pStyle w:val="Normal"/>
        <w:numPr>
          <w:ilvl w:val="2"/>
          <w:numId w:val="13"/>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attached decks/patios and balconies;</w:t>
      </w:r>
    </w:p>
    <w:p>
      <w:pPr>
        <w:pStyle w:val="Normal"/>
        <w:numPr>
          <w:ilvl w:val="2"/>
          <w:numId w:val="13"/>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driveways; and,</w:t>
      </w:r>
    </w:p>
    <w:p>
      <w:pPr>
        <w:pStyle w:val="Normal"/>
        <w:numPr>
          <w:ilvl w:val="2"/>
          <w:numId w:val="13"/>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walkways.</w:t>
      </w:r>
    </w:p>
    <w:p>
      <w:pPr>
        <w:pStyle w:val="Normal"/>
        <w:numPr>
          <w:ilvl w:val="1"/>
          <w:numId w:val="13"/>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 inspect:</w:t>
      </w:r>
    </w:p>
    <w:p>
      <w:pPr>
        <w:pStyle w:val="Normal"/>
        <w:numPr>
          <w:ilvl w:val="2"/>
          <w:numId w:val="13"/>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screening, shutters, awnings, and similar seasonal accessories;</w:t>
      </w:r>
    </w:p>
    <w:p>
      <w:pPr>
        <w:pStyle w:val="Normal"/>
        <w:numPr>
          <w:ilvl w:val="2"/>
          <w:numId w:val="13"/>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fences;</w:t>
      </w:r>
    </w:p>
    <w:p>
      <w:pPr>
        <w:pStyle w:val="Normal"/>
        <w:numPr>
          <w:ilvl w:val="2"/>
          <w:numId w:val="13"/>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geotechnical or hydrological conditions;</w:t>
      </w:r>
    </w:p>
    <w:p>
      <w:pPr>
        <w:pStyle w:val="Normal"/>
        <w:numPr>
          <w:ilvl w:val="2"/>
          <w:numId w:val="13"/>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recreational facilities;</w:t>
      </w:r>
    </w:p>
    <w:p>
      <w:pPr>
        <w:pStyle w:val="Normal"/>
        <w:numPr>
          <w:ilvl w:val="2"/>
          <w:numId w:val="13"/>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detached structures except the primary garage or carport;</w:t>
      </w:r>
    </w:p>
    <w:p>
      <w:pPr>
        <w:pStyle w:val="Normal"/>
        <w:numPr>
          <w:ilvl w:val="2"/>
          <w:numId w:val="13"/>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seawalls, break-walls, and docks; or,</w:t>
      </w:r>
    </w:p>
    <w:p>
      <w:pPr>
        <w:pStyle w:val="Normal"/>
        <w:numPr>
          <w:ilvl w:val="2"/>
          <w:numId w:val="13"/>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erosion control and earth stabilization measures.</w:t>
      </w:r>
    </w:p>
    <w:p>
      <w:pPr>
        <w:pStyle w:val="Normal"/>
        <w:numPr>
          <w:ilvl w:val="0"/>
          <w:numId w:val="14"/>
        </w:numPr>
        <w:tabs>
          <w:tab w:val="clear" w:pos="720"/>
          <w:tab w:val="left" w:pos="500" w:leader="none"/>
        </w:tabs>
        <w:spacing w:lineRule="atLeast" w:line="0"/>
        <w:ind w:hanging="500" w:start="500" w:end="0"/>
        <w:rPr>
          <w:rFonts w:ascii="Times New Roman" w:hAnsi="Times New Roman" w:eastAsia="Times New Roman" w:cs="Times New Roman"/>
          <w:sz w:val="24"/>
        </w:rPr>
      </w:pPr>
      <w:r>
        <w:rPr>
          <w:rFonts w:eastAsia="Times New Roman" w:cs="Times New Roman" w:ascii="Times New Roman" w:hAnsi="Times New Roman"/>
          <w:b/>
          <w:sz w:val="24"/>
        </w:rPr>
        <w:t>Roof system inspection requirements.</w:t>
      </w:r>
    </w:p>
    <w:p>
      <w:pPr>
        <w:pStyle w:val="Normal"/>
        <w:numPr>
          <w:ilvl w:val="1"/>
          <w:numId w:val="1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inspect the:</w:t>
      </w:r>
    </w:p>
    <w:p>
      <w:pPr>
        <w:pStyle w:val="Normal"/>
        <w:numPr>
          <w:ilvl w:val="2"/>
          <w:numId w:val="1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roof covering;</w:t>
      </w:r>
    </w:p>
    <w:p>
      <w:pPr>
        <w:pStyle w:val="Normal"/>
        <w:numPr>
          <w:ilvl w:val="2"/>
          <w:numId w:val="1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roof drainage systems;</w:t>
      </w:r>
    </w:p>
    <w:p>
      <w:pPr>
        <w:pStyle w:val="Normal"/>
        <w:numPr>
          <w:ilvl w:val="2"/>
          <w:numId w:val="1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flashings;</w:t>
      </w:r>
    </w:p>
    <w:p>
      <w:pPr>
        <w:pStyle w:val="Normal"/>
        <w:numPr>
          <w:ilvl w:val="2"/>
          <w:numId w:val="1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skylights;</w:t>
      </w:r>
    </w:p>
    <w:p>
      <w:pPr>
        <w:pStyle w:val="Normal"/>
        <w:numPr>
          <w:ilvl w:val="2"/>
          <w:numId w:val="14"/>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chimneys;</w:t>
      </w:r>
    </w:p>
    <w:p>
      <w:pPr>
        <w:pStyle w:val="Normal"/>
        <w:numPr>
          <w:ilvl w:val="2"/>
          <w:numId w:val="14"/>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attic ventilation covers; and,</w:t>
      </w:r>
    </w:p>
    <w:p>
      <w:pPr>
        <w:pStyle w:val="Normal"/>
        <w:numPr>
          <w:ilvl w:val="2"/>
          <w:numId w:val="14"/>
        </w:numPr>
        <w:tabs>
          <w:tab w:val="clear" w:pos="720"/>
          <w:tab w:val="left" w:pos="2020" w:leader="none"/>
        </w:tabs>
        <w:spacing w:lineRule="auto" w:line="237"/>
        <w:ind w:hanging="580" w:start="2020" w:end="0"/>
        <w:rPr>
          <w:rFonts w:ascii="Times New Roman" w:hAnsi="Times New Roman" w:eastAsia="Times New Roman" w:cs="Times New Roman"/>
          <w:sz w:val="24"/>
        </w:rPr>
      </w:pPr>
      <w:r>
        <w:rPr>
          <w:rFonts w:eastAsia="Times New Roman" w:cs="Times New Roman" w:ascii="Times New Roman" w:hAnsi="Times New Roman"/>
          <w:sz w:val="24"/>
        </w:rPr>
        <w:t>other roof penetrations.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describe the roof covering.</w:t>
      </w:r>
    </w:p>
    <w:p>
      <w:pPr>
        <w:pStyle w:val="Normal"/>
        <w:numPr>
          <w:ilvl w:val="1"/>
          <w:numId w:val="1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report:</w:t>
      </w:r>
    </w:p>
    <w:p>
      <w:pPr>
        <w:pStyle w:val="Normal"/>
        <w:numPr>
          <w:ilvl w:val="2"/>
          <w:numId w:val="1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number of layers of roof covering;</w:t>
      </w:r>
    </w:p>
    <w:p>
      <w:pPr>
        <w:pStyle w:val="Normal"/>
        <w:numPr>
          <w:ilvl w:val="2"/>
          <w:numId w:val="1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asphalt/composition shingles over wood shingles; and,</w:t>
      </w:r>
    </w:p>
    <w:p>
      <w:pPr>
        <w:pStyle w:val="Normal"/>
        <w:numPr>
          <w:ilvl w:val="2"/>
          <w:numId w:val="14"/>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the methods used to inspect the roof.</w:t>
      </w:r>
    </w:p>
    <w:p>
      <w:pPr>
        <w:pStyle w:val="Normal"/>
        <w:numPr>
          <w:ilvl w:val="1"/>
          <w:numId w:val="1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 inspect:</w:t>
      </w:r>
    </w:p>
    <w:p>
      <w:pPr>
        <w:pStyle w:val="Normal"/>
        <w:numPr>
          <w:ilvl w:val="2"/>
          <w:numId w:val="14"/>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the interiors of flues or chimneys;</w:t>
      </w:r>
    </w:p>
    <w:p>
      <w:pPr>
        <w:pStyle w:val="Normal"/>
        <w:numPr>
          <w:ilvl w:val="2"/>
          <w:numId w:val="14"/>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antennae; or,</w:t>
      </w:r>
    </w:p>
    <w:p>
      <w:pPr>
        <w:pStyle w:val="Normal"/>
        <w:numPr>
          <w:ilvl w:val="2"/>
          <w:numId w:val="14"/>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other installed accessories.</w:t>
      </w:r>
    </w:p>
    <w:p>
      <w:pPr>
        <w:pStyle w:val="Normal"/>
        <w:numPr>
          <w:ilvl w:val="0"/>
          <w:numId w:val="14"/>
        </w:numPr>
        <w:tabs>
          <w:tab w:val="clear" w:pos="720"/>
          <w:tab w:val="left" w:pos="480" w:leader="none"/>
        </w:tabs>
        <w:spacing w:lineRule="atLeast" w:line="0"/>
        <w:ind w:hanging="480" w:start="480" w:end="0"/>
        <w:rPr>
          <w:rFonts w:ascii="Times New Roman" w:hAnsi="Times New Roman" w:eastAsia="Times New Roman" w:cs="Times New Roman"/>
          <w:sz w:val="24"/>
        </w:rPr>
      </w:pPr>
      <w:r>
        <w:rPr>
          <w:rFonts w:eastAsia="Times New Roman" w:cs="Times New Roman" w:ascii="Times New Roman" w:hAnsi="Times New Roman"/>
          <w:b/>
          <w:sz w:val="24"/>
        </w:rPr>
        <w:t>Plumbing system inspection requirements.</w:t>
      </w:r>
    </w:p>
    <w:p>
      <w:pPr>
        <w:pStyle w:val="Normal"/>
        <w:numPr>
          <w:ilvl w:val="1"/>
          <w:numId w:val="1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inspect:</w:t>
      </w:r>
    </w:p>
    <w:p>
      <w:pPr>
        <w:pStyle w:val="Normal"/>
        <w:numPr>
          <w:ilvl w:val="2"/>
          <w:numId w:val="1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interior water supply and distribution systems and components;</w:t>
      </w:r>
    </w:p>
    <w:p>
      <w:pPr>
        <w:pStyle w:val="Normal"/>
        <w:numPr>
          <w:ilvl w:val="2"/>
          <w:numId w:val="14"/>
        </w:numPr>
        <w:tabs>
          <w:tab w:val="clear" w:pos="720"/>
          <w:tab w:val="left" w:pos="2000"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the connections, flow and drainage of fixtures, and fittings at bathtubs, showers, sinks, toilets and the exterior hose bibs immediately adjacent to the structure;</w:t>
      </w:r>
    </w:p>
    <w:p>
      <w:pPr>
        <w:pStyle w:val="Normal"/>
        <w:numPr>
          <w:ilvl w:val="2"/>
          <w:numId w:val="14"/>
        </w:numPr>
        <w:tabs>
          <w:tab w:val="clear" w:pos="720"/>
          <w:tab w:val="left" w:pos="2000"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clothes washing machine faucets and drains, unless a washing machine is in place;</w:t>
      </w:r>
    </w:p>
    <w:p>
      <w:pPr>
        <w:pStyle w:val="Normal"/>
        <w:numPr>
          <w:ilvl w:val="2"/>
          <w:numId w:val="14"/>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drain, waste and vent systems and components;</w:t>
      </w:r>
    </w:p>
    <w:p>
      <w:pPr>
        <w:pStyle w:val="Normal"/>
        <w:numPr>
          <w:ilvl w:val="2"/>
          <w:numId w:val="14"/>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the shower and bathtub enclosure surfaces;</w:t>
      </w:r>
    </w:p>
    <w:p>
      <w:pPr>
        <w:pStyle w:val="Normal"/>
        <w:numPr>
          <w:ilvl w:val="2"/>
          <w:numId w:val="14"/>
        </w:numPr>
        <w:tabs>
          <w:tab w:val="clear" w:pos="720"/>
          <w:tab w:val="left" w:pos="1981" w:leader="none"/>
        </w:tabs>
        <w:spacing w:lineRule="auto" w:line="268"/>
        <w:ind w:start="1440" w:end="0"/>
        <w:rPr>
          <w:rFonts w:ascii="Times New Roman" w:hAnsi="Times New Roman" w:eastAsia="Times New Roman" w:cs="Times New Roman"/>
          <w:sz w:val="24"/>
        </w:rPr>
      </w:pPr>
      <w:r>
        <w:rPr>
          <w:rFonts w:eastAsia="Times New Roman" w:cs="Times New Roman" w:ascii="Times New Roman" w:hAnsi="Times New Roman"/>
          <w:sz w:val="24"/>
        </w:rPr>
        <w:t>the water heating equipment, safety devices/valves, clearances, vent systems, flues and chimneys, gas supply piping, and gas shut off valves;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8</w:t>
      </w:r>
    </w:p>
    <w:p>
      <w:pPr>
        <w:pStyle w:val="Normal"/>
        <w:spacing w:lineRule="atLeast" w:line="0"/>
        <w:jc w:val="end"/>
        <w:rPr>
          <w:rFonts w:ascii="Times New Roman" w:hAnsi="Times New Roman" w:eastAsia="Times New Roman" w:cs="Times New Roman"/>
          <w:sz w:val="16"/>
        </w:rPr>
      </w:pPr>
      <w:bookmarkStart w:id="8" w:name="page9"/>
      <w:bookmarkEnd w:id="8"/>
      <w:r>
        <w:rPr>
          <w:rFonts w:eastAsia="Times New Roman" w:cs="Times New Roman" w:ascii="Times New Roman" w:hAnsi="Times New Roman"/>
          <w:sz w:val="16"/>
        </w:rPr>
        <w:t>Permanent Rules Effective 10/1/2020</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5"/>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fuel storage and/or fuel distribution systems; and,</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5"/>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drainage sumps, sump pumps and related piping.</w:t>
      </w:r>
    </w:p>
    <w:p>
      <w:pPr>
        <w:pStyle w:val="Normal"/>
        <w:numPr>
          <w:ilvl w:val="0"/>
          <w:numId w:val="16"/>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describe:</w:t>
      </w:r>
    </w:p>
    <w:p>
      <w:pPr>
        <w:pStyle w:val="Normal"/>
        <w:numPr>
          <w:ilvl w:val="1"/>
          <w:numId w:val="16"/>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water supply piping materials;</w:t>
      </w:r>
    </w:p>
    <w:p>
      <w:pPr>
        <w:pStyle w:val="Normal"/>
        <w:numPr>
          <w:ilvl w:val="1"/>
          <w:numId w:val="16"/>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drain, waste, and vent piping materials;</w:t>
      </w:r>
    </w:p>
    <w:p>
      <w:pPr>
        <w:pStyle w:val="Normal"/>
        <w:numPr>
          <w:ilvl w:val="1"/>
          <w:numId w:val="16"/>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the water heating equipment and the energy sources;</w:t>
      </w:r>
    </w:p>
    <w:p>
      <w:pPr>
        <w:pStyle w:val="Normal"/>
        <w:numPr>
          <w:ilvl w:val="1"/>
          <w:numId w:val="16"/>
        </w:numPr>
        <w:tabs>
          <w:tab w:val="clear" w:pos="720"/>
          <w:tab w:val="left" w:pos="2014"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location of the main water shut-off, main fuel shut-off and the house sewer cleanout, and</w:t>
      </w:r>
    </w:p>
    <w:p>
      <w:pPr>
        <w:pStyle w:val="Normal"/>
        <w:numPr>
          <w:ilvl w:val="1"/>
          <w:numId w:val="16"/>
        </w:numPr>
        <w:tabs>
          <w:tab w:val="clear" w:pos="720"/>
          <w:tab w:val="left" w:pos="2080" w:leader="none"/>
        </w:tabs>
        <w:spacing w:lineRule="atLeast" w:line="0"/>
        <w:ind w:hanging="640" w:start="2080" w:end="0"/>
        <w:rPr>
          <w:rFonts w:ascii="Times New Roman" w:hAnsi="Times New Roman" w:eastAsia="Times New Roman" w:cs="Times New Roman"/>
          <w:sz w:val="24"/>
        </w:rPr>
      </w:pPr>
      <w:r>
        <w:rPr>
          <w:rFonts w:eastAsia="Times New Roman" w:cs="Times New Roman" w:ascii="Times New Roman" w:hAnsi="Times New Roman"/>
          <w:sz w:val="24"/>
        </w:rPr>
        <w:t>the presence of any shade of yellow corrugated stainless steel tubing</w:t>
      </w:r>
    </w:p>
    <w:p>
      <w:pPr>
        <w:pStyle w:val="Normal"/>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("CSST") flexible gas piping observed during the inspection in which the inspector is not required to identify concealed conditions, components not readily accessible, or any other item excepted from inspection pursuant to OAC 158:70-1-3. If any shade of yellow CSST flexible gas piping is observed, the home inspector shall notify the client, in writing, as follows: "Manufacturers believe the product is safer if properly bonded and grounded as required by the manufacturer's installation instructions. Proper bonding and grounding of the product can only be determined by a licensed electrical contractor."</w:t>
      </w:r>
    </w:p>
    <w:p>
      <w:pPr>
        <w:pStyle w:val="Normal"/>
        <w:numPr>
          <w:ilvl w:val="2"/>
          <w:numId w:val="17"/>
        </w:numPr>
        <w:tabs>
          <w:tab w:val="clear" w:pos="720"/>
          <w:tab w:val="left" w:pos="1300" w:leader="none"/>
        </w:tabs>
        <w:spacing w:lineRule="atLeast" w:line="0"/>
        <w:ind w:hanging="520" w:start="130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w:t>
      </w:r>
    </w:p>
    <w:p>
      <w:pPr>
        <w:pStyle w:val="Normal"/>
        <w:numPr>
          <w:ilvl w:val="3"/>
          <w:numId w:val="17"/>
        </w:numPr>
        <w:tabs>
          <w:tab w:val="clear" w:pos="720"/>
          <w:tab w:val="left" w:pos="2012"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inspect the interiors of flues or chimneys, wells, well pumps, or water storage related equipment, water conditioning systems, solar water heating systems, fire and lawn sprinkler systems, or private waste disposal systems;</w:t>
      </w:r>
    </w:p>
    <w:p>
      <w:pPr>
        <w:pStyle w:val="Normal"/>
        <w:numPr>
          <w:ilvl w:val="3"/>
          <w:numId w:val="17"/>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determine the quantity or quality of the water supply;</w:t>
      </w:r>
    </w:p>
    <w:p>
      <w:pPr>
        <w:pStyle w:val="Normal"/>
        <w:numPr>
          <w:ilvl w:val="3"/>
          <w:numId w:val="17"/>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determine whether water supply and waste disposal are public or private;</w:t>
      </w:r>
    </w:p>
    <w:p>
      <w:pPr>
        <w:pStyle w:val="Normal"/>
        <w:numPr>
          <w:ilvl w:val="3"/>
          <w:numId w:val="17"/>
        </w:numPr>
        <w:tabs>
          <w:tab w:val="clear" w:pos="720"/>
          <w:tab w:val="left" w:pos="2013" w:leader="none"/>
        </w:tabs>
        <w:spacing w:lineRule="auto" w:line="237"/>
        <w:ind w:start="1440" w:end="0"/>
        <w:rPr>
          <w:rFonts w:ascii="Times New Roman" w:hAnsi="Times New Roman" w:eastAsia="Times New Roman" w:cs="Times New Roman"/>
          <w:sz w:val="24"/>
        </w:rPr>
      </w:pPr>
      <w:r>
        <w:rPr>
          <w:rFonts w:eastAsia="Times New Roman" w:cs="Times New Roman" w:ascii="Times New Roman" w:hAnsi="Times New Roman"/>
          <w:sz w:val="24"/>
        </w:rPr>
        <w:t>operate safety valves, shut-off valves or washing machine hose connections, if installed appliances are present; or,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3"/>
          <w:numId w:val="17"/>
        </w:numPr>
        <w:tabs>
          <w:tab w:val="clear" w:pos="720"/>
          <w:tab w:val="left" w:pos="1987"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use technically exhaustive techniques to determine the water tightness or integrity of shower pans or enclosures.</w:t>
      </w:r>
    </w:p>
    <w:p>
      <w:pPr>
        <w:pStyle w:val="Normal"/>
        <w:numPr>
          <w:ilvl w:val="0"/>
          <w:numId w:val="18"/>
        </w:numPr>
        <w:tabs>
          <w:tab w:val="clear" w:pos="720"/>
          <w:tab w:val="left" w:pos="520" w:leader="none"/>
        </w:tabs>
        <w:spacing w:lineRule="atLeast" w:line="0"/>
        <w:ind w:hanging="520" w:start="520" w:end="0"/>
        <w:rPr>
          <w:rFonts w:ascii="Times New Roman" w:hAnsi="Times New Roman" w:eastAsia="Times New Roman" w:cs="Times New Roman"/>
          <w:sz w:val="24"/>
        </w:rPr>
      </w:pPr>
      <w:r>
        <w:rPr>
          <w:rFonts w:eastAsia="Times New Roman" w:cs="Times New Roman" w:ascii="Times New Roman" w:hAnsi="Times New Roman"/>
          <w:b/>
          <w:sz w:val="24"/>
        </w:rPr>
        <w:t>Electrical system inspection requirements.</w:t>
      </w:r>
    </w:p>
    <w:p>
      <w:pPr>
        <w:pStyle w:val="Normal"/>
        <w:numPr>
          <w:ilvl w:val="1"/>
          <w:numId w:val="18"/>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Except as provided in OAC 158:70-1-3(b), the Inspector shall inspect:</w:t>
      </w:r>
    </w:p>
    <w:p>
      <w:pPr>
        <w:pStyle w:val="Normal"/>
        <w:numPr>
          <w:ilvl w:val="3"/>
          <w:numId w:val="18"/>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service drop;</w:t>
      </w:r>
    </w:p>
    <w:p>
      <w:pPr>
        <w:pStyle w:val="Normal"/>
        <w:numPr>
          <w:ilvl w:val="3"/>
          <w:numId w:val="18"/>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the service entrance conductors, cables, and raceways;</w:t>
      </w:r>
    </w:p>
    <w:p>
      <w:pPr>
        <w:pStyle w:val="Normal"/>
        <w:numPr>
          <w:ilvl w:val="3"/>
          <w:numId w:val="18"/>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the service equipment and main disconnects;</w:t>
      </w:r>
    </w:p>
    <w:p>
      <w:pPr>
        <w:pStyle w:val="Normal"/>
        <w:numPr>
          <w:ilvl w:val="3"/>
          <w:numId w:val="18"/>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service grounding;</w:t>
      </w:r>
    </w:p>
    <w:p>
      <w:pPr>
        <w:pStyle w:val="Normal"/>
        <w:numPr>
          <w:ilvl w:val="3"/>
          <w:numId w:val="18"/>
        </w:numPr>
        <w:tabs>
          <w:tab w:val="clear" w:pos="720"/>
          <w:tab w:val="left" w:pos="1987"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interior components of service panels and sub panels by removing the panel dead front covers;</w:t>
      </w:r>
    </w:p>
    <w:p>
      <w:pPr>
        <w:pStyle w:val="Normal"/>
        <w:numPr>
          <w:ilvl w:val="3"/>
          <w:numId w:val="18"/>
        </w:numPr>
        <w:tabs>
          <w:tab w:val="clear" w:pos="720"/>
          <w:tab w:val="left" w:pos="1973"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branch circuit conductors, over current protection devices and the compatibility of the conductors with the device;</w:t>
      </w:r>
    </w:p>
    <w:p>
      <w:pPr>
        <w:pStyle w:val="Normal"/>
        <w:numPr>
          <w:ilvl w:val="3"/>
          <w:numId w:val="18"/>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conduit, wiring and splicing including the basement, crawl space and attic;</w:t>
      </w:r>
    </w:p>
    <w:p>
      <w:pPr>
        <w:pStyle w:val="Normal"/>
        <w:numPr>
          <w:ilvl w:val="3"/>
          <w:numId w:val="18"/>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interior and exterior installed lighting fixtures, switches and ceiling fans;</w:t>
      </w:r>
    </w:p>
    <w:p>
      <w:pPr>
        <w:pStyle w:val="Normal"/>
        <w:numPr>
          <w:ilvl w:val="3"/>
          <w:numId w:val="18"/>
        </w:numPr>
        <w:tabs>
          <w:tab w:val="clear" w:pos="720"/>
          <w:tab w:val="left" w:pos="1920"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receptacles including polarity and grounding, ground fault circuit interrupters and arc fault circuit interrupters; and,</w:t>
      </w:r>
    </w:p>
    <w:p>
      <w:pPr>
        <w:pStyle w:val="Normal"/>
        <w:numPr>
          <w:ilvl w:val="3"/>
          <w:numId w:val="18"/>
        </w:numPr>
        <w:tabs>
          <w:tab w:val="clear" w:pos="720"/>
          <w:tab w:val="left" w:pos="1934"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exterior electrical components that provide service to a qualifying garage or carport.</w:t>
      </w:r>
    </w:p>
    <w:p>
      <w:pPr>
        <w:pStyle w:val="Normal"/>
        <w:numPr>
          <w:ilvl w:val="1"/>
          <w:numId w:val="18"/>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describe:</w:t>
      </w:r>
    </w:p>
    <w:p>
      <w:pPr>
        <w:pStyle w:val="Normal"/>
        <w:numPr>
          <w:ilvl w:val="3"/>
          <w:numId w:val="18"/>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amperage and voltage rating of the service;</w:t>
      </w:r>
    </w:p>
    <w:p>
      <w:pPr>
        <w:pStyle w:val="Normal"/>
        <w:numPr>
          <w:ilvl w:val="3"/>
          <w:numId w:val="18"/>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the wiring methods;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9</w:t>
      </w:r>
    </w:p>
    <w:p>
      <w:pPr>
        <w:pStyle w:val="Normal"/>
        <w:spacing w:lineRule="atLeast" w:line="0"/>
        <w:jc w:val="end"/>
        <w:rPr>
          <w:rFonts w:ascii="Times New Roman" w:hAnsi="Times New Roman" w:eastAsia="Times New Roman" w:cs="Times New Roman"/>
          <w:sz w:val="16"/>
        </w:rPr>
      </w:pPr>
      <w:bookmarkStart w:id="9" w:name="page10"/>
      <w:bookmarkEnd w:id="9"/>
      <w:r>
        <w:rPr>
          <w:rFonts w:eastAsia="Times New Roman" w:cs="Times New Roman" w:ascii="Times New Roman" w:hAnsi="Times New Roman"/>
          <w:sz w:val="16"/>
        </w:rPr>
        <w:t>Permanent Rules Effective 10/1/2020</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numPr>
          <w:ilvl w:val="2"/>
          <w:numId w:val="19"/>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the location of main disconnect(s), distribution panels and sub panels;</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9"/>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presence of solid conductor aluminum branch circuit wiring; and,</w:t>
      </w:r>
    </w:p>
    <w:p>
      <w:pPr>
        <w:pStyle w:val="Normal"/>
        <w:numPr>
          <w:ilvl w:val="2"/>
          <w:numId w:val="19"/>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the absence of smoke detectors.</w:t>
      </w:r>
    </w:p>
    <w:p>
      <w:pPr>
        <w:pStyle w:val="Normal"/>
        <w:numPr>
          <w:ilvl w:val="1"/>
          <w:numId w:val="20"/>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w:t>
      </w:r>
    </w:p>
    <w:p>
      <w:pPr>
        <w:pStyle w:val="Normal"/>
        <w:numPr>
          <w:ilvl w:val="2"/>
          <w:numId w:val="20"/>
        </w:numPr>
        <w:tabs>
          <w:tab w:val="clear" w:pos="720"/>
          <w:tab w:val="left" w:pos="2014"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inspect remote control devices unless the device is the only control device, alarm systems and components, low voltage wiring systems and components or ancillary wiring systems and components not a part of the primary electrical power distribution system;</w:t>
      </w:r>
    </w:p>
    <w:p>
      <w:pPr>
        <w:pStyle w:val="Normal"/>
        <w:numPr>
          <w:ilvl w:val="2"/>
          <w:numId w:val="20"/>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measure amperage, voltage/voltage drop, or impedance;</w:t>
      </w:r>
    </w:p>
    <w:p>
      <w:pPr>
        <w:pStyle w:val="Normal"/>
        <w:numPr>
          <w:ilvl w:val="2"/>
          <w:numId w:val="20"/>
        </w:numPr>
        <w:tabs>
          <w:tab w:val="clear" w:pos="720"/>
          <w:tab w:val="left" w:pos="2000"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insert any tool, probe or testing device inside panels or dismantle any electrical device or control other than to remove the dead front covers of the main and sub panels; or,</w:t>
      </w:r>
    </w:p>
    <w:p>
      <w:pPr>
        <w:pStyle w:val="Normal"/>
        <w:numPr>
          <w:ilvl w:val="2"/>
          <w:numId w:val="20"/>
        </w:numPr>
        <w:tabs>
          <w:tab w:val="clear" w:pos="720"/>
          <w:tab w:val="left" w:pos="2013"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test or operate any over current protection device except ground fault and arc fault circuit interrupters.</w:t>
      </w:r>
    </w:p>
    <w:p>
      <w:pPr>
        <w:pStyle w:val="Normal"/>
        <w:numPr>
          <w:ilvl w:val="0"/>
          <w:numId w:val="21"/>
        </w:numPr>
        <w:tabs>
          <w:tab w:val="clear" w:pos="720"/>
          <w:tab w:val="left" w:pos="520" w:leader="none"/>
        </w:tabs>
        <w:spacing w:lineRule="atLeast" w:line="0"/>
        <w:ind w:hanging="520" w:start="520" w:end="0"/>
        <w:rPr>
          <w:rFonts w:ascii="Times New Roman" w:hAnsi="Times New Roman" w:eastAsia="Times New Roman" w:cs="Times New Roman"/>
          <w:sz w:val="24"/>
        </w:rPr>
      </w:pPr>
      <w:r>
        <w:rPr>
          <w:rFonts w:eastAsia="Times New Roman" w:cs="Times New Roman" w:ascii="Times New Roman" w:hAnsi="Times New Roman"/>
          <w:b/>
          <w:sz w:val="24"/>
        </w:rPr>
        <w:t>Heating, Air conditioning and distribution system inspection requirements.</w:t>
      </w:r>
    </w:p>
    <w:p>
      <w:pPr>
        <w:pStyle w:val="Normal"/>
        <w:numPr>
          <w:ilvl w:val="1"/>
          <w:numId w:val="21"/>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Heating systems.</w:t>
      </w:r>
    </w:p>
    <w:p>
      <w:pPr>
        <w:pStyle w:val="Normal"/>
        <w:numPr>
          <w:ilvl w:val="2"/>
          <w:numId w:val="21"/>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inspector shall open readily openable access panels.</w:t>
      </w:r>
    </w:p>
    <w:p>
      <w:pPr>
        <w:pStyle w:val="Normal"/>
        <w:numPr>
          <w:ilvl w:val="2"/>
          <w:numId w:val="21"/>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The inspector shall inspect:</w:t>
      </w:r>
    </w:p>
    <w:p>
      <w:pPr>
        <w:pStyle w:val="Normal"/>
        <w:numPr>
          <w:ilvl w:val="3"/>
          <w:numId w:val="21"/>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the installed heating equipment including backup heating devices;</w:t>
      </w:r>
    </w:p>
    <w:p>
      <w:pPr>
        <w:pStyle w:val="Normal"/>
        <w:numPr>
          <w:ilvl w:val="3"/>
          <w:numId w:val="21"/>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controls;</w:t>
      </w:r>
    </w:p>
    <w:p>
      <w:pPr>
        <w:pStyle w:val="Normal"/>
        <w:numPr>
          <w:ilvl w:val="3"/>
          <w:numId w:val="21"/>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heating operation;</w:t>
      </w:r>
    </w:p>
    <w:p>
      <w:pPr>
        <w:pStyle w:val="Normal"/>
        <w:numPr>
          <w:ilvl w:val="3"/>
          <w:numId w:val="21"/>
        </w:numPr>
        <w:tabs>
          <w:tab w:val="clear" w:pos="720"/>
          <w:tab w:val="left" w:pos="2680" w:leader="none"/>
        </w:tabs>
        <w:spacing w:lineRule="atLeast" w:line="0"/>
        <w:ind w:hanging="520" w:start="2680" w:end="0"/>
        <w:rPr>
          <w:rFonts w:ascii="Times New Roman" w:hAnsi="Times New Roman" w:eastAsia="Times New Roman" w:cs="Times New Roman"/>
          <w:sz w:val="24"/>
        </w:rPr>
      </w:pPr>
      <w:r>
        <w:rPr>
          <w:rFonts w:eastAsia="Times New Roman" w:cs="Times New Roman" w:ascii="Times New Roman" w:hAnsi="Times New Roman"/>
          <w:sz w:val="24"/>
        </w:rPr>
        <w:t>burners and burner chambers in fuel fired heating systems;</w:t>
      </w:r>
    </w:p>
    <w:p>
      <w:pPr>
        <w:pStyle w:val="Normal"/>
        <w:numPr>
          <w:ilvl w:val="3"/>
          <w:numId w:val="21"/>
        </w:numPr>
        <w:tabs>
          <w:tab w:val="clear" w:pos="720"/>
          <w:tab w:val="left" w:pos="2680" w:leader="none"/>
        </w:tabs>
        <w:spacing w:lineRule="atLeast" w:line="0"/>
        <w:ind w:hanging="520" w:start="2680" w:end="0"/>
        <w:rPr>
          <w:rFonts w:ascii="Times New Roman" w:hAnsi="Times New Roman" w:eastAsia="Times New Roman" w:cs="Times New Roman"/>
          <w:sz w:val="24"/>
        </w:rPr>
      </w:pPr>
      <w:r>
        <w:rPr>
          <w:rFonts w:eastAsia="Times New Roman" w:cs="Times New Roman" w:ascii="Times New Roman" w:hAnsi="Times New Roman"/>
          <w:sz w:val="24"/>
        </w:rPr>
        <w:t>combustion air provisions;</w:t>
      </w:r>
    </w:p>
    <w:p>
      <w:pPr>
        <w:pStyle w:val="Normal"/>
        <w:numPr>
          <w:ilvl w:val="3"/>
          <w:numId w:val="21"/>
        </w:numPr>
        <w:tabs>
          <w:tab w:val="clear" w:pos="720"/>
          <w:tab w:val="left" w:pos="2680" w:leader="none"/>
        </w:tabs>
        <w:spacing w:lineRule="atLeast" w:line="0"/>
        <w:ind w:hanging="520" w:start="2680" w:end="0"/>
        <w:rPr>
          <w:rFonts w:ascii="Times New Roman" w:hAnsi="Times New Roman" w:eastAsia="Times New Roman" w:cs="Times New Roman"/>
          <w:sz w:val="24"/>
        </w:rPr>
      </w:pPr>
      <w:r>
        <w:rPr>
          <w:rFonts w:eastAsia="Times New Roman" w:cs="Times New Roman" w:ascii="Times New Roman" w:hAnsi="Times New Roman"/>
          <w:sz w:val="24"/>
        </w:rPr>
        <w:t>gas supply piping and shut off valve;</w:t>
      </w:r>
    </w:p>
    <w:p>
      <w:pPr>
        <w:pStyle w:val="Normal"/>
        <w:numPr>
          <w:ilvl w:val="3"/>
          <w:numId w:val="21"/>
        </w:numPr>
        <w:tabs>
          <w:tab w:val="clear" w:pos="720"/>
          <w:tab w:val="left" w:pos="2700" w:leader="none"/>
        </w:tabs>
        <w:spacing w:lineRule="auto" w:line="237"/>
        <w:ind w:hanging="540" w:start="2700" w:end="0"/>
        <w:rPr>
          <w:rFonts w:ascii="Times New Roman" w:hAnsi="Times New Roman" w:eastAsia="Times New Roman" w:cs="Times New Roman"/>
          <w:sz w:val="24"/>
        </w:rPr>
      </w:pPr>
      <w:r>
        <w:rPr>
          <w:rFonts w:eastAsia="Times New Roman" w:cs="Times New Roman" w:ascii="Times New Roman" w:hAnsi="Times New Roman"/>
          <w:sz w:val="24"/>
        </w:rPr>
        <w:t>electrical supply provisions and disconnects;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3"/>
          <w:numId w:val="21"/>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clearances;</w:t>
      </w:r>
    </w:p>
    <w:p>
      <w:pPr>
        <w:pStyle w:val="Normal"/>
        <w:numPr>
          <w:ilvl w:val="3"/>
          <w:numId w:val="21"/>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vent systems, flues, and chimneys; and,</w:t>
      </w:r>
    </w:p>
    <w:p>
      <w:pPr>
        <w:pStyle w:val="Normal"/>
        <w:numPr>
          <w:ilvl w:val="3"/>
          <w:numId w:val="21"/>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bathroom supplemental heating appliances.</w:t>
      </w:r>
    </w:p>
    <w:p>
      <w:pPr>
        <w:pStyle w:val="Normal"/>
        <w:numPr>
          <w:ilvl w:val="2"/>
          <w:numId w:val="21"/>
        </w:numPr>
        <w:tabs>
          <w:tab w:val="clear" w:pos="720"/>
          <w:tab w:val="left" w:pos="2000"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inspector shall describe the heating methods by their distinguishing characteristics and the energy sources.</w:t>
      </w:r>
    </w:p>
    <w:p>
      <w:pPr>
        <w:pStyle w:val="Normal"/>
        <w:numPr>
          <w:ilvl w:val="2"/>
          <w:numId w:val="21"/>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w:t>
      </w:r>
    </w:p>
    <w:p>
      <w:pPr>
        <w:pStyle w:val="Normal"/>
        <w:numPr>
          <w:ilvl w:val="3"/>
          <w:numId w:val="21"/>
        </w:numPr>
        <w:tabs>
          <w:tab w:val="clear" w:pos="720"/>
          <w:tab w:val="left" w:pos="2700" w:leader="none"/>
        </w:tabs>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inspect the interiors of flues or chimneys, humidifiers or dehumidifiers, solar space heating systems, and heat exchangers;</w:t>
      </w:r>
    </w:p>
    <w:p>
      <w:pPr>
        <w:pStyle w:val="Normal"/>
        <w:numPr>
          <w:ilvl w:val="3"/>
          <w:numId w:val="21"/>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measure amperage of electric heating elements.</w:t>
      </w:r>
    </w:p>
    <w:p>
      <w:pPr>
        <w:pStyle w:val="Normal"/>
        <w:numPr>
          <w:ilvl w:val="1"/>
          <w:numId w:val="21"/>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Air conditioning systems.</w:t>
      </w:r>
    </w:p>
    <w:p>
      <w:pPr>
        <w:pStyle w:val="Normal"/>
        <w:numPr>
          <w:ilvl w:val="2"/>
          <w:numId w:val="21"/>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inspector shall open readily openable access panels.</w:t>
      </w:r>
    </w:p>
    <w:p>
      <w:pPr>
        <w:pStyle w:val="Normal"/>
        <w:numPr>
          <w:ilvl w:val="2"/>
          <w:numId w:val="21"/>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The inspector shall inspect:</w:t>
      </w:r>
    </w:p>
    <w:p>
      <w:pPr>
        <w:pStyle w:val="Normal"/>
        <w:numPr>
          <w:ilvl w:val="3"/>
          <w:numId w:val="21"/>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installed cooling equipment;</w:t>
      </w:r>
    </w:p>
    <w:p>
      <w:pPr>
        <w:pStyle w:val="Normal"/>
        <w:numPr>
          <w:ilvl w:val="3"/>
          <w:numId w:val="21"/>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cooling operation;</w:t>
      </w:r>
    </w:p>
    <w:p>
      <w:pPr>
        <w:pStyle w:val="Normal"/>
        <w:numPr>
          <w:ilvl w:val="3"/>
          <w:numId w:val="21"/>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condensate disposal provisions;</w:t>
      </w:r>
    </w:p>
    <w:p>
      <w:pPr>
        <w:pStyle w:val="Normal"/>
        <w:numPr>
          <w:ilvl w:val="3"/>
          <w:numId w:val="21"/>
        </w:numPr>
        <w:tabs>
          <w:tab w:val="clear" w:pos="720"/>
          <w:tab w:val="left" w:pos="2680" w:leader="none"/>
        </w:tabs>
        <w:spacing w:lineRule="atLeast" w:line="0"/>
        <w:ind w:hanging="520" w:start="2680" w:end="0"/>
        <w:rPr>
          <w:rFonts w:ascii="Times New Roman" w:hAnsi="Times New Roman" w:eastAsia="Times New Roman" w:cs="Times New Roman"/>
          <w:sz w:val="24"/>
        </w:rPr>
      </w:pPr>
      <w:r>
        <w:rPr>
          <w:rFonts w:eastAsia="Times New Roman" w:cs="Times New Roman" w:ascii="Times New Roman" w:hAnsi="Times New Roman"/>
          <w:sz w:val="24"/>
        </w:rPr>
        <w:t>the electrical supply provisions and disconnect; and,</w:t>
      </w:r>
    </w:p>
    <w:p>
      <w:pPr>
        <w:pStyle w:val="Normal"/>
        <w:numPr>
          <w:ilvl w:val="3"/>
          <w:numId w:val="21"/>
        </w:numPr>
        <w:tabs>
          <w:tab w:val="clear" w:pos="720"/>
          <w:tab w:val="left" w:pos="2680" w:leader="none"/>
        </w:tabs>
        <w:spacing w:lineRule="atLeast" w:line="0"/>
        <w:ind w:hanging="520" w:start="2680" w:end="0"/>
        <w:rPr>
          <w:rFonts w:ascii="Times New Roman" w:hAnsi="Times New Roman" w:eastAsia="Times New Roman" w:cs="Times New Roman"/>
          <w:sz w:val="24"/>
        </w:rPr>
      </w:pPr>
      <w:r>
        <w:rPr>
          <w:rFonts w:eastAsia="Times New Roman" w:cs="Times New Roman" w:ascii="Times New Roman" w:hAnsi="Times New Roman"/>
          <w:sz w:val="24"/>
        </w:rPr>
        <w:t>the refrigerant lines.</w:t>
      </w:r>
    </w:p>
    <w:p>
      <w:pPr>
        <w:pStyle w:val="Normal"/>
        <w:numPr>
          <w:ilvl w:val="2"/>
          <w:numId w:val="21"/>
        </w:numPr>
        <w:tabs>
          <w:tab w:val="clear" w:pos="720"/>
          <w:tab w:val="left" w:pos="2001"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inspector shall describe the cooling methods by their distinguishing characteristics and the energy sources.</w:t>
      </w:r>
    </w:p>
    <w:p>
      <w:pPr>
        <w:pStyle w:val="Normal"/>
        <w:numPr>
          <w:ilvl w:val="2"/>
          <w:numId w:val="21"/>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w:t>
      </w:r>
    </w:p>
    <w:p>
      <w:pPr>
        <w:pStyle w:val="Normal"/>
        <w:numPr>
          <w:ilvl w:val="3"/>
          <w:numId w:val="21"/>
        </w:numPr>
        <w:tabs>
          <w:tab w:val="clear" w:pos="720"/>
          <w:tab w:val="left" w:pos="2620" w:leader="none"/>
        </w:tabs>
        <w:spacing w:lineRule="atLeast" w:line="0"/>
        <w:ind w:hanging="460" w:start="2620" w:end="0"/>
        <w:rPr>
          <w:rFonts w:ascii="Times New Roman" w:hAnsi="Times New Roman" w:eastAsia="Times New Roman" w:cs="Times New Roman"/>
          <w:sz w:val="24"/>
        </w:rPr>
      </w:pPr>
      <w:r>
        <w:rPr>
          <w:rFonts w:eastAsia="Times New Roman" w:cs="Times New Roman" w:ascii="Times New Roman" w:hAnsi="Times New Roman"/>
          <w:sz w:val="24"/>
        </w:rPr>
        <w:t>verify sizing or component matching; 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10</w:t>
      </w:r>
    </w:p>
    <w:p>
      <w:pPr>
        <w:pStyle w:val="Normal"/>
        <w:spacing w:lineRule="atLeast" w:line="0"/>
        <w:ind w:start="6960" w:end="0"/>
        <w:rPr>
          <w:rFonts w:ascii="Times New Roman" w:hAnsi="Times New Roman" w:eastAsia="Times New Roman" w:cs="Times New Roman"/>
          <w:sz w:val="15"/>
        </w:rPr>
      </w:pPr>
      <w:bookmarkStart w:id="10" w:name="page11"/>
      <w:bookmarkEnd w:id="10"/>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2"/>
          <w:numId w:val="22"/>
        </w:numPr>
        <w:tabs>
          <w:tab w:val="clear" w:pos="720"/>
          <w:tab w:val="left" w:pos="2634" w:leader="none"/>
        </w:tabs>
        <w:spacing w:lineRule="auto" w:line="242"/>
        <w:ind w:start="2160" w:end="0"/>
        <w:rPr>
          <w:rFonts w:ascii="Times New Roman" w:hAnsi="Times New Roman" w:eastAsia="Times New Roman" w:cs="Times New Roman"/>
          <w:sz w:val="24"/>
        </w:rPr>
      </w:pPr>
      <w:r>
        <w:rPr>
          <w:rFonts w:eastAsia="Times New Roman" w:cs="Times New Roman" w:ascii="Times New Roman" w:hAnsi="Times New Roman"/>
          <w:sz w:val="24"/>
        </w:rPr>
        <w:t>operate equipment when outdoor temperatures may cause damage to the equipment.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Heat and air conditioning distribution systems.</w:t>
      </w:r>
    </w:p>
    <w:p>
      <w:pPr>
        <w:pStyle w:val="Normal"/>
        <w:numPr>
          <w:ilvl w:val="1"/>
          <w:numId w:val="23"/>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inspector shall inspect:</w:t>
      </w:r>
    </w:p>
    <w:p>
      <w:pPr>
        <w:pStyle w:val="Normal"/>
        <w:numPr>
          <w:ilvl w:val="2"/>
          <w:numId w:val="23"/>
        </w:numPr>
        <w:tabs>
          <w:tab w:val="clear" w:pos="720"/>
          <w:tab w:val="left" w:pos="2627" w:leader="none"/>
        </w:tabs>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plenums and ducts with associated supports, insulation, supply registers and return grills;</w:t>
      </w:r>
    </w:p>
    <w:p>
      <w:pPr>
        <w:pStyle w:val="Normal"/>
        <w:numPr>
          <w:ilvl w:val="2"/>
          <w:numId w:val="23"/>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radiators and piping;</w:t>
      </w:r>
    </w:p>
    <w:p>
      <w:pPr>
        <w:pStyle w:val="Normal"/>
        <w:numPr>
          <w:ilvl w:val="2"/>
          <w:numId w:val="23"/>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filters; and,</w:t>
      </w:r>
    </w:p>
    <w:p>
      <w:pPr>
        <w:pStyle w:val="Normal"/>
        <w:numPr>
          <w:ilvl w:val="2"/>
          <w:numId w:val="23"/>
        </w:numPr>
        <w:tabs>
          <w:tab w:val="clear" w:pos="720"/>
          <w:tab w:val="left" w:pos="2740" w:leader="none"/>
        </w:tabs>
        <w:spacing w:lineRule="atLeast" w:line="0"/>
        <w:ind w:hanging="580" w:start="2740" w:end="0"/>
        <w:rPr>
          <w:rFonts w:ascii="Times New Roman" w:hAnsi="Times New Roman" w:eastAsia="Times New Roman" w:cs="Times New Roman"/>
          <w:sz w:val="24"/>
        </w:rPr>
      </w:pPr>
      <w:r>
        <w:rPr>
          <w:rFonts w:eastAsia="Times New Roman" w:cs="Times New Roman" w:ascii="Times New Roman" w:hAnsi="Times New Roman"/>
          <w:sz w:val="24"/>
        </w:rPr>
        <w:t>main air handlers fans and blowers.</w:t>
      </w:r>
    </w:p>
    <w:p>
      <w:pPr>
        <w:pStyle w:val="Normal"/>
        <w:numPr>
          <w:ilvl w:val="1"/>
          <w:numId w:val="23"/>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The inspector shall describe the type of conditioned air distribution system.</w:t>
      </w:r>
    </w:p>
    <w:p>
      <w:pPr>
        <w:pStyle w:val="Normal"/>
        <w:numPr>
          <w:ilvl w:val="1"/>
          <w:numId w:val="23"/>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w:t>
      </w:r>
    </w:p>
    <w:p>
      <w:pPr>
        <w:pStyle w:val="Normal"/>
        <w:numPr>
          <w:ilvl w:val="2"/>
          <w:numId w:val="23"/>
        </w:numPr>
        <w:tabs>
          <w:tab w:val="clear" w:pos="720"/>
          <w:tab w:val="left" w:pos="2620" w:leader="none"/>
        </w:tabs>
        <w:spacing w:lineRule="atLeast" w:line="0"/>
        <w:ind w:hanging="460" w:start="2620" w:end="0"/>
        <w:rPr>
          <w:rFonts w:ascii="Times New Roman" w:hAnsi="Times New Roman" w:eastAsia="Times New Roman" w:cs="Times New Roman"/>
          <w:sz w:val="24"/>
        </w:rPr>
      </w:pPr>
      <w:r>
        <w:rPr>
          <w:rFonts w:eastAsia="Times New Roman" w:cs="Times New Roman" w:ascii="Times New Roman" w:hAnsi="Times New Roman"/>
          <w:sz w:val="24"/>
        </w:rPr>
        <w:t>inspect electronic air filters, heat reclamation equipment or dampers;</w:t>
      </w:r>
    </w:p>
    <w:p>
      <w:pPr>
        <w:pStyle w:val="Normal"/>
        <w:numPr>
          <w:ilvl w:val="2"/>
          <w:numId w:val="23"/>
        </w:numPr>
        <w:tabs>
          <w:tab w:val="clear" w:pos="720"/>
          <w:tab w:val="left" w:pos="2700" w:leader="none"/>
        </w:tabs>
        <w:spacing w:lineRule="atLeast" w:line="0"/>
        <w:ind w:hanging="540" w:start="2700" w:end="0"/>
        <w:rPr>
          <w:rFonts w:ascii="Times New Roman" w:hAnsi="Times New Roman" w:eastAsia="Times New Roman" w:cs="Times New Roman"/>
          <w:sz w:val="24"/>
        </w:rPr>
      </w:pPr>
      <w:r>
        <w:rPr>
          <w:rFonts w:eastAsia="Times New Roman" w:cs="Times New Roman" w:ascii="Times New Roman" w:hAnsi="Times New Roman"/>
          <w:sz w:val="24"/>
        </w:rPr>
        <w:t>determine duct leakage or calculate duct sizing; or,</w:t>
      </w:r>
    </w:p>
    <w:p>
      <w:pPr>
        <w:pStyle w:val="Normal"/>
        <w:numPr>
          <w:ilvl w:val="2"/>
          <w:numId w:val="23"/>
        </w:numPr>
        <w:tabs>
          <w:tab w:val="clear" w:pos="720"/>
          <w:tab w:val="left" w:pos="2760" w:leader="none"/>
        </w:tabs>
        <w:spacing w:lineRule="atLeast" w:line="0"/>
        <w:ind w:hanging="600" w:start="2760" w:end="0"/>
        <w:rPr>
          <w:rFonts w:ascii="Times New Roman" w:hAnsi="Times New Roman" w:eastAsia="Times New Roman" w:cs="Times New Roman"/>
          <w:sz w:val="24"/>
        </w:rPr>
      </w:pPr>
      <w:r>
        <w:rPr>
          <w:rFonts w:eastAsia="Times New Roman" w:cs="Times New Roman" w:ascii="Times New Roman" w:hAnsi="Times New Roman"/>
          <w:sz w:val="24"/>
        </w:rPr>
        <w:t>determine the uniformity, adequacy, or distribution balance</w:t>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of the heat or cooling supply to habitable rooms.</w:t>
      </w:r>
    </w:p>
    <w:p>
      <w:pPr>
        <w:pStyle w:val="Normal"/>
        <w:numPr>
          <w:ilvl w:val="0"/>
          <w:numId w:val="24"/>
        </w:numPr>
        <w:tabs>
          <w:tab w:val="clear" w:pos="720"/>
          <w:tab w:val="left" w:pos="460" w:leader="none"/>
        </w:tabs>
        <w:spacing w:lineRule="atLeast" w:line="0"/>
        <w:ind w:hanging="460" w:start="460" w:end="0"/>
        <w:rPr>
          <w:rFonts w:ascii="Times New Roman" w:hAnsi="Times New Roman" w:eastAsia="Times New Roman" w:cs="Times New Roman"/>
          <w:sz w:val="24"/>
        </w:rPr>
      </w:pPr>
      <w:r>
        <w:rPr>
          <w:rFonts w:eastAsia="Times New Roman" w:cs="Times New Roman" w:ascii="Times New Roman" w:hAnsi="Times New Roman"/>
          <w:b/>
          <w:sz w:val="24"/>
        </w:rPr>
        <w:t>Interior inspection requirements.</w:t>
      </w:r>
    </w:p>
    <w:p>
      <w:pPr>
        <w:pStyle w:val="Normal"/>
        <w:numPr>
          <w:ilvl w:val="1"/>
          <w:numId w:val="2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inspect:</w:t>
      </w:r>
    </w:p>
    <w:p>
      <w:pPr>
        <w:pStyle w:val="Normal"/>
        <w:numPr>
          <w:ilvl w:val="2"/>
          <w:numId w:val="2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walls, ceilings and floors of the dwelling and garage;</w:t>
      </w:r>
    </w:p>
    <w:p>
      <w:pPr>
        <w:pStyle w:val="Normal"/>
        <w:numPr>
          <w:ilvl w:val="2"/>
          <w:numId w:val="2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steps, stairways, balconies and railings;</w:t>
      </w:r>
    </w:p>
    <w:p>
      <w:pPr>
        <w:pStyle w:val="Normal"/>
        <w:numPr>
          <w:ilvl w:val="2"/>
          <w:numId w:val="2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doors and windows including operation, glazing and thermal pane seals;</w:t>
      </w:r>
    </w:p>
    <w:p>
      <w:pPr>
        <w:pStyle w:val="Normal"/>
        <w:numPr>
          <w:ilvl w:val="2"/>
          <w:numId w:val="2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installed cabinets and countertops; and,</w:t>
      </w:r>
    </w:p>
    <w:p>
      <w:pPr>
        <w:pStyle w:val="Normal"/>
        <w:numPr>
          <w:ilvl w:val="2"/>
          <w:numId w:val="24"/>
        </w:numPr>
        <w:tabs>
          <w:tab w:val="clear" w:pos="720"/>
          <w:tab w:val="left" w:pos="1987"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indicators of harmful water penetration or condensation on interior and structural components.</w:t>
      </w:r>
    </w:p>
    <w:p>
      <w:pPr>
        <w:pStyle w:val="Normal"/>
        <w:numPr>
          <w:ilvl w:val="1"/>
          <w:numId w:val="2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describe the walls, ceilings and floors.</w:t>
      </w:r>
    </w:p>
    <w:p>
      <w:pPr>
        <w:pStyle w:val="Normal"/>
        <w:numPr>
          <w:ilvl w:val="1"/>
          <w:numId w:val="24"/>
        </w:numPr>
        <w:tabs>
          <w:tab w:val="clear" w:pos="720"/>
          <w:tab w:val="left" w:pos="1240" w:leader="none"/>
        </w:tabs>
        <w:spacing w:lineRule="auto" w:line="237"/>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 inspect: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paint, wallpaper, and other finish treatments;</w:t>
      </w:r>
    </w:p>
    <w:p>
      <w:pPr>
        <w:pStyle w:val="Normal"/>
        <w:numPr>
          <w:ilvl w:val="2"/>
          <w:numId w:val="2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carpeting and other floor coverings;</w:t>
      </w:r>
    </w:p>
    <w:p>
      <w:pPr>
        <w:pStyle w:val="Normal"/>
        <w:numPr>
          <w:ilvl w:val="2"/>
          <w:numId w:val="2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window treatments;</w:t>
      </w:r>
    </w:p>
    <w:p>
      <w:pPr>
        <w:pStyle w:val="Normal"/>
        <w:numPr>
          <w:ilvl w:val="2"/>
          <w:numId w:val="2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operation of interior door locks, latches and devices; or,</w:t>
      </w:r>
    </w:p>
    <w:p>
      <w:pPr>
        <w:pStyle w:val="Normal"/>
        <w:numPr>
          <w:ilvl w:val="2"/>
          <w:numId w:val="24"/>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recreational facilities.</w:t>
      </w:r>
    </w:p>
    <w:p>
      <w:pPr>
        <w:pStyle w:val="Normal"/>
        <w:numPr>
          <w:ilvl w:val="0"/>
          <w:numId w:val="24"/>
        </w:numPr>
        <w:tabs>
          <w:tab w:val="clear" w:pos="720"/>
          <w:tab w:val="left" w:pos="460" w:leader="none"/>
        </w:tabs>
        <w:spacing w:lineRule="atLeast" w:line="0"/>
        <w:ind w:hanging="460" w:start="460" w:end="0"/>
        <w:rPr>
          <w:rFonts w:ascii="Times New Roman" w:hAnsi="Times New Roman" w:eastAsia="Times New Roman" w:cs="Times New Roman"/>
          <w:sz w:val="24"/>
        </w:rPr>
      </w:pPr>
      <w:r>
        <w:rPr>
          <w:rFonts w:eastAsia="Times New Roman" w:cs="Times New Roman" w:ascii="Times New Roman" w:hAnsi="Times New Roman"/>
          <w:b/>
          <w:sz w:val="24"/>
        </w:rPr>
        <w:t>Insulation and ventilation inspection requirements.</w:t>
      </w:r>
    </w:p>
    <w:p>
      <w:pPr>
        <w:pStyle w:val="Normal"/>
        <w:numPr>
          <w:ilvl w:val="1"/>
          <w:numId w:val="2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inspect:</w:t>
      </w:r>
    </w:p>
    <w:p>
      <w:pPr>
        <w:pStyle w:val="Normal"/>
        <w:numPr>
          <w:ilvl w:val="2"/>
          <w:numId w:val="2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insulation and vapor retarders/barriers in unfinished spaces;</w:t>
      </w:r>
    </w:p>
    <w:p>
      <w:pPr>
        <w:pStyle w:val="Normal"/>
        <w:numPr>
          <w:ilvl w:val="2"/>
          <w:numId w:val="2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ventilation of attics and foundation areas;</w:t>
      </w:r>
    </w:p>
    <w:p>
      <w:pPr>
        <w:pStyle w:val="Normal"/>
        <w:numPr>
          <w:ilvl w:val="2"/>
          <w:numId w:val="2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mechanical ventilation systems; and,</w:t>
      </w:r>
    </w:p>
    <w:p>
      <w:pPr>
        <w:pStyle w:val="Normal"/>
        <w:numPr>
          <w:ilvl w:val="2"/>
          <w:numId w:val="2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clothes dryer exhaust system.</w:t>
      </w:r>
    </w:p>
    <w:p>
      <w:pPr>
        <w:pStyle w:val="Normal"/>
        <w:numPr>
          <w:ilvl w:val="1"/>
          <w:numId w:val="2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describe:</w:t>
      </w:r>
    </w:p>
    <w:p>
      <w:pPr>
        <w:pStyle w:val="Normal"/>
        <w:numPr>
          <w:ilvl w:val="2"/>
          <w:numId w:val="2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insulation and vapor retarders or barriers in unfinished spaces; and,</w:t>
      </w:r>
    </w:p>
    <w:p>
      <w:pPr>
        <w:pStyle w:val="Normal"/>
        <w:numPr>
          <w:ilvl w:val="2"/>
          <w:numId w:val="2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the absence of insulation in unfinished spaces at conditioned surfaces.</w:t>
      </w:r>
    </w:p>
    <w:p>
      <w:pPr>
        <w:pStyle w:val="Normal"/>
        <w:numPr>
          <w:ilvl w:val="1"/>
          <w:numId w:val="2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w:t>
      </w:r>
    </w:p>
    <w:p>
      <w:pPr>
        <w:pStyle w:val="Normal"/>
        <w:numPr>
          <w:ilvl w:val="2"/>
          <w:numId w:val="24"/>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disturb insulation or vapor retarders or barriers;</w:t>
      </w:r>
    </w:p>
    <w:p>
      <w:pPr>
        <w:pStyle w:val="Normal"/>
        <w:numPr>
          <w:ilvl w:val="2"/>
          <w:numId w:val="2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operate powered attic vents; or,</w:t>
      </w:r>
    </w:p>
    <w:p>
      <w:pPr>
        <w:pStyle w:val="Normal"/>
        <w:numPr>
          <w:ilvl w:val="2"/>
          <w:numId w:val="24"/>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determine indoor air quality.</w:t>
      </w:r>
    </w:p>
    <w:p>
      <w:pPr>
        <w:pStyle w:val="Normal"/>
        <w:numPr>
          <w:ilvl w:val="0"/>
          <w:numId w:val="24"/>
        </w:numPr>
        <w:tabs>
          <w:tab w:val="clear" w:pos="720"/>
          <w:tab w:val="left" w:pos="520" w:leader="none"/>
        </w:tabs>
        <w:spacing w:lineRule="atLeast" w:line="0"/>
        <w:ind w:hanging="520" w:start="520" w:end="0"/>
        <w:rPr>
          <w:rFonts w:ascii="Times New Roman" w:hAnsi="Times New Roman" w:eastAsia="Times New Roman" w:cs="Times New Roman"/>
          <w:sz w:val="24"/>
        </w:rPr>
      </w:pPr>
      <w:r>
        <w:rPr>
          <w:rFonts w:eastAsia="Times New Roman" w:cs="Times New Roman" w:ascii="Times New Roman" w:hAnsi="Times New Roman"/>
          <w:b/>
          <w:sz w:val="24"/>
        </w:rPr>
        <w:t>Appliance inspection requirements.</w:t>
      </w:r>
    </w:p>
    <w:p>
      <w:pPr>
        <w:pStyle w:val="Normal"/>
        <w:numPr>
          <w:ilvl w:val="1"/>
          <w:numId w:val="24"/>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inspect the:</w:t>
      </w:r>
    </w:p>
    <w:p>
      <w:pPr>
        <w:pStyle w:val="Normal"/>
        <w:numPr>
          <w:ilvl w:val="2"/>
          <w:numId w:val="24"/>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food waste disposal;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11</w:t>
      </w:r>
    </w:p>
    <w:p>
      <w:pPr>
        <w:pStyle w:val="Normal"/>
        <w:spacing w:lineRule="atLeast" w:line="0"/>
        <w:ind w:start="6960" w:end="0"/>
        <w:rPr>
          <w:rFonts w:ascii="Times New Roman" w:hAnsi="Times New Roman" w:eastAsia="Times New Roman" w:cs="Times New Roman"/>
          <w:sz w:val="15"/>
        </w:rPr>
      </w:pPr>
      <w:bookmarkStart w:id="11" w:name="page12"/>
      <w:bookmarkEnd w:id="11"/>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2"/>
          <w:numId w:val="25"/>
        </w:numPr>
        <w:tabs>
          <w:tab w:val="clear" w:pos="720"/>
          <w:tab w:val="left" w:pos="2000" w:leader="none"/>
        </w:tabs>
        <w:spacing w:lineRule="auto" w:line="242"/>
        <w:ind w:start="1440" w:end="0"/>
        <w:rPr>
          <w:rFonts w:ascii="Times New Roman" w:hAnsi="Times New Roman" w:eastAsia="Times New Roman" w:cs="Times New Roman"/>
          <w:sz w:val="24"/>
        </w:rPr>
      </w:pPr>
      <w:r>
        <w:rPr>
          <w:rFonts w:eastAsia="Times New Roman" w:cs="Times New Roman" w:ascii="Times New Roman" w:hAnsi="Times New Roman"/>
          <w:sz w:val="24"/>
        </w:rPr>
        <w:t>range/stove, regardless of whether it is an installed or free standing appliance;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5"/>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cook top;</w:t>
      </w:r>
    </w:p>
    <w:p>
      <w:pPr>
        <w:pStyle w:val="Normal"/>
        <w:numPr>
          <w:ilvl w:val="2"/>
          <w:numId w:val="25"/>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oven(s);</w:t>
      </w:r>
    </w:p>
    <w:p>
      <w:pPr>
        <w:pStyle w:val="Normal"/>
        <w:numPr>
          <w:ilvl w:val="2"/>
          <w:numId w:val="25"/>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dishwasher;</w:t>
      </w:r>
    </w:p>
    <w:p>
      <w:pPr>
        <w:pStyle w:val="Normal"/>
        <w:numPr>
          <w:ilvl w:val="2"/>
          <w:numId w:val="25"/>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ventilation equipment or range hoods;</w:t>
      </w:r>
    </w:p>
    <w:p>
      <w:pPr>
        <w:pStyle w:val="Normal"/>
        <w:numPr>
          <w:ilvl w:val="2"/>
          <w:numId w:val="25"/>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installed microwave;</w:t>
      </w:r>
    </w:p>
    <w:p>
      <w:pPr>
        <w:pStyle w:val="Normal"/>
        <w:numPr>
          <w:ilvl w:val="2"/>
          <w:numId w:val="25"/>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trash compactor; and,</w:t>
      </w:r>
    </w:p>
    <w:p>
      <w:pPr>
        <w:pStyle w:val="Normal"/>
        <w:numPr>
          <w:ilvl w:val="2"/>
          <w:numId w:val="25"/>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gas appliance connectors and shut off valves.</w:t>
      </w:r>
    </w:p>
    <w:p>
      <w:pPr>
        <w:pStyle w:val="Normal"/>
        <w:numPr>
          <w:ilvl w:val="1"/>
          <w:numId w:val="26"/>
        </w:numPr>
        <w:tabs>
          <w:tab w:val="clear" w:pos="720"/>
          <w:tab w:val="left" w:pos="1240"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inspector shall describe the range/stove, cook top and oven(s) by the energy source.</w:t>
      </w:r>
    </w:p>
    <w:p>
      <w:pPr>
        <w:pStyle w:val="Normal"/>
        <w:numPr>
          <w:ilvl w:val="1"/>
          <w:numId w:val="26"/>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w:t>
      </w:r>
    </w:p>
    <w:p>
      <w:pPr>
        <w:pStyle w:val="Normal"/>
        <w:numPr>
          <w:ilvl w:val="2"/>
          <w:numId w:val="26"/>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operate appliances in all modes or self-cleaning cycles; or,</w:t>
      </w:r>
    </w:p>
    <w:p>
      <w:pPr>
        <w:pStyle w:val="Normal"/>
        <w:numPr>
          <w:ilvl w:val="2"/>
          <w:numId w:val="26"/>
        </w:numPr>
        <w:tabs>
          <w:tab w:val="clear" w:pos="720"/>
          <w:tab w:val="left" w:pos="1980" w:leader="none"/>
        </w:tabs>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inspect clocks, timers, thermostats or household appliances not listed in these standards.</w:t>
      </w:r>
    </w:p>
    <w:p>
      <w:pPr>
        <w:pStyle w:val="Normal"/>
        <w:numPr>
          <w:ilvl w:val="0"/>
          <w:numId w:val="27"/>
        </w:numPr>
        <w:tabs>
          <w:tab w:val="clear" w:pos="720"/>
          <w:tab w:val="left" w:pos="460" w:leader="none"/>
        </w:tabs>
        <w:spacing w:lineRule="atLeast" w:line="0"/>
        <w:ind w:hanging="460" w:start="460" w:end="0"/>
        <w:rPr>
          <w:rFonts w:ascii="Times New Roman" w:hAnsi="Times New Roman" w:eastAsia="Times New Roman" w:cs="Times New Roman"/>
          <w:sz w:val="24"/>
        </w:rPr>
      </w:pPr>
      <w:r>
        <w:rPr>
          <w:rFonts w:eastAsia="Times New Roman" w:cs="Times New Roman" w:ascii="Times New Roman" w:hAnsi="Times New Roman"/>
          <w:b/>
          <w:sz w:val="24"/>
        </w:rPr>
        <w:t>Fireplaces and solid fuel burning appliances inspection requirements.</w:t>
      </w:r>
    </w:p>
    <w:p>
      <w:pPr>
        <w:pStyle w:val="Normal"/>
        <w:numPr>
          <w:ilvl w:val="1"/>
          <w:numId w:val="27"/>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inspect the:</w:t>
      </w:r>
    </w:p>
    <w:p>
      <w:pPr>
        <w:pStyle w:val="Normal"/>
        <w:numPr>
          <w:ilvl w:val="2"/>
          <w:numId w:val="27"/>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hearth and hearth extension;</w:t>
      </w:r>
    </w:p>
    <w:p>
      <w:pPr>
        <w:pStyle w:val="Normal"/>
        <w:numPr>
          <w:ilvl w:val="2"/>
          <w:numId w:val="27"/>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damper;</w:t>
      </w:r>
    </w:p>
    <w:p>
      <w:pPr>
        <w:pStyle w:val="Normal"/>
        <w:numPr>
          <w:ilvl w:val="2"/>
          <w:numId w:val="27"/>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gas supply; and,</w:t>
      </w:r>
    </w:p>
    <w:p>
      <w:pPr>
        <w:pStyle w:val="Normal"/>
        <w:numPr>
          <w:ilvl w:val="2"/>
          <w:numId w:val="27"/>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firebox, vent systems, flues and chimneys.</w:t>
      </w:r>
    </w:p>
    <w:p>
      <w:pPr>
        <w:pStyle w:val="Normal"/>
        <w:numPr>
          <w:ilvl w:val="1"/>
          <w:numId w:val="27"/>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shall describe:</w:t>
      </w:r>
    </w:p>
    <w:p>
      <w:pPr>
        <w:pStyle w:val="Normal"/>
        <w:numPr>
          <w:ilvl w:val="2"/>
          <w:numId w:val="27"/>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the fireplaces;</w:t>
      </w:r>
    </w:p>
    <w:p>
      <w:pPr>
        <w:pStyle w:val="Normal"/>
        <w:numPr>
          <w:ilvl w:val="2"/>
          <w:numId w:val="27"/>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solid fuel burning appliances; and,</w:t>
      </w:r>
    </w:p>
    <w:p>
      <w:pPr>
        <w:pStyle w:val="Normal"/>
        <w:numPr>
          <w:ilvl w:val="2"/>
          <w:numId w:val="27"/>
        </w:numPr>
        <w:tabs>
          <w:tab w:val="clear" w:pos="720"/>
          <w:tab w:val="left" w:pos="2000" w:leader="none"/>
        </w:tabs>
        <w:spacing w:lineRule="auto" w:line="237"/>
        <w:ind w:hanging="560" w:start="2000" w:end="0"/>
        <w:rPr>
          <w:rFonts w:ascii="Times New Roman" w:hAnsi="Times New Roman" w:eastAsia="Times New Roman" w:cs="Times New Roman"/>
          <w:sz w:val="24"/>
        </w:rPr>
      </w:pPr>
      <w:r>
        <w:rPr>
          <w:rFonts w:eastAsia="Times New Roman" w:cs="Times New Roman" w:ascii="Times New Roman" w:hAnsi="Times New Roman"/>
          <w:sz w:val="24"/>
        </w:rPr>
        <w:t>chimneys.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7"/>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inspector is not required to:</w:t>
      </w:r>
    </w:p>
    <w:p>
      <w:pPr>
        <w:pStyle w:val="Normal"/>
        <w:numPr>
          <w:ilvl w:val="2"/>
          <w:numId w:val="27"/>
        </w:numPr>
        <w:tabs>
          <w:tab w:val="clear" w:pos="720"/>
          <w:tab w:val="left" w:pos="2012" w:leader="none"/>
        </w:tabs>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inspect the interiors of flues or chimneys, the fire screens and doors, the seals and gaskets, the automatic fuel feed devices, the mantels and fireplace surrounds, the combustion make-up air devices, the heat distribution assists whether gravity controlled or fan assisted or free standing solid fuel burning appliances;</w:t>
      </w:r>
    </w:p>
    <w:p>
      <w:pPr>
        <w:pStyle w:val="Normal"/>
        <w:numPr>
          <w:ilvl w:val="2"/>
          <w:numId w:val="27"/>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ignite or extinguish fires;</w:t>
      </w:r>
    </w:p>
    <w:p>
      <w:pPr>
        <w:pStyle w:val="Normal"/>
        <w:numPr>
          <w:ilvl w:val="2"/>
          <w:numId w:val="27"/>
        </w:numPr>
        <w:tabs>
          <w:tab w:val="clear" w:pos="720"/>
          <w:tab w:val="left" w:pos="2000" w:leader="none"/>
        </w:tabs>
        <w:spacing w:lineRule="atLeast" w:line="0"/>
        <w:ind w:hanging="560" w:start="2000" w:end="0"/>
        <w:rPr>
          <w:rFonts w:ascii="Times New Roman" w:hAnsi="Times New Roman" w:eastAsia="Times New Roman" w:cs="Times New Roman"/>
          <w:sz w:val="24"/>
        </w:rPr>
      </w:pPr>
      <w:r>
        <w:rPr>
          <w:rFonts w:eastAsia="Times New Roman" w:cs="Times New Roman" w:ascii="Times New Roman" w:hAnsi="Times New Roman"/>
          <w:sz w:val="24"/>
        </w:rPr>
        <w:t>determine draft characteristics; and,</w:t>
      </w:r>
    </w:p>
    <w:p>
      <w:pPr>
        <w:pStyle w:val="Normal"/>
        <w:numPr>
          <w:ilvl w:val="2"/>
          <w:numId w:val="27"/>
        </w:numPr>
        <w:tabs>
          <w:tab w:val="clear" w:pos="720"/>
          <w:tab w:val="left" w:pos="2020" w:leader="none"/>
        </w:tabs>
        <w:spacing w:lineRule="atLeast" w:line="0"/>
        <w:ind w:hanging="580" w:start="2020" w:end="0"/>
        <w:rPr>
          <w:rFonts w:ascii="Times New Roman" w:hAnsi="Times New Roman" w:eastAsia="Times New Roman" w:cs="Times New Roman"/>
          <w:sz w:val="24"/>
        </w:rPr>
      </w:pPr>
      <w:r>
        <w:rPr>
          <w:rFonts w:eastAsia="Times New Roman" w:cs="Times New Roman" w:ascii="Times New Roman" w:hAnsi="Times New Roman"/>
          <w:sz w:val="24"/>
        </w:rPr>
        <w:t>move fireplace inserts, stoves or firebox contents.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40" w:end="0"/>
        <w:jc w:val="both"/>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11 -14-08 (emergency); Added at 26 Ok Reg 2463, eff 7-11-09; Amended at 27 Ok Reg 2093, eff 7-11-10; Amended at 30 Ok Reg 1555, eff 7-11-13; Amended at 31 Ok Reg 933, eff 9-12-14; Amended at 32 Ok Reg 1649, eff 9-11-15; Amended at 37 Ok Reg 1073, eff 10-1-20]</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158:70-1-4. Sample Forms or Formats.</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firstLine="360" w:end="0"/>
        <w:jc w:val="both"/>
        <w:rPr/>
      </w:pPr>
      <w:r>
        <w:rPr>
          <w:rFonts w:eastAsia="Times New Roman" w:cs="Times New Roman" w:ascii="Times New Roman" w:hAnsi="Times New Roman"/>
          <w:sz w:val="24"/>
        </w:rPr>
        <w:t>Sample Home Inspection Exclusion form – Per OAC 158:70-1-3(a)(3)(D). The inspector shall report on any systems and components designated for inspection in these standards which were present at the time of the Home Inspection but were not inspected and a reason they were not inspected. See Appendix A of this Chapter.</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t>[Source: Added at 30 Ok Reg 1555, eff 7-11-13]</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12</w:t>
      </w:r>
    </w:p>
    <w:p>
      <w:pPr>
        <w:pStyle w:val="Normal"/>
        <w:spacing w:lineRule="atLeast" w:line="0"/>
        <w:jc w:val="end"/>
        <w:rPr>
          <w:rFonts w:ascii="Times New Roman" w:hAnsi="Times New Roman" w:eastAsia="Times New Roman" w:cs="Times New Roman"/>
          <w:sz w:val="16"/>
        </w:rPr>
      </w:pPr>
      <w:bookmarkStart w:id="12" w:name="page13"/>
      <w:bookmarkEnd w:id="12"/>
      <w:r>
        <w:rPr>
          <w:rFonts w:eastAsia="Times New Roman" w:cs="Times New Roman" w:ascii="Times New Roman" w:hAnsi="Times New Roman"/>
          <w:sz w:val="16"/>
        </w:rPr>
        <w:t>Permanent Rules Effective 10/1/2020</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60" w:end="0"/>
        <w:rPr>
          <w:rFonts w:ascii="Times New Roman" w:hAnsi="Times New Roman" w:eastAsia="Times New Roman" w:cs="Times New Roman"/>
          <w:b/>
          <w:sz w:val="24"/>
        </w:rPr>
      </w:pPr>
      <w:r>
        <w:rPr>
          <w:rFonts w:eastAsia="Times New Roman" w:cs="Times New Roman" w:ascii="Times New Roman" w:hAnsi="Times New Roman"/>
          <w:b/>
          <w:sz w:val="24"/>
        </w:rPr>
        <w:t>SUBCHAPTER 3. PROCEDURES OF THE COMMITTEE</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158:70-3-1. Procedures of the Committee.</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8"/>
        </w:numPr>
        <w:tabs>
          <w:tab w:val="clear" w:pos="720"/>
          <w:tab w:val="left" w:pos="507" w:leader="none"/>
        </w:tabs>
        <w:spacing w:lineRule="auto" w:line="220"/>
        <w:jc w:val="both"/>
        <w:rPr>
          <w:rFonts w:ascii="Times New Roman" w:hAnsi="Times New Roman" w:eastAsia="Times New Roman" w:cs="Times New Roman"/>
          <w:sz w:val="24"/>
        </w:rPr>
      </w:pPr>
      <w:r>
        <w:rPr>
          <w:rFonts w:eastAsia="Times New Roman" w:cs="Times New Roman" w:ascii="Times New Roman" w:hAnsi="Times New Roman"/>
          <w:sz w:val="24"/>
        </w:rPr>
        <w:t>Committee meetings are generally, and unless otherwise stated by the Committee, held at the offices of the Construction Industries Board at 2401 N.W. 23</w:t>
      </w:r>
      <w:r>
        <w:rPr>
          <w:rFonts w:eastAsia="Times New Roman" w:cs="Times New Roman" w:ascii="Times New Roman" w:hAnsi="Times New Roman"/>
          <w:sz w:val="31"/>
          <w:vertAlign w:val="superscript"/>
        </w:rPr>
        <w:t>rd</w:t>
      </w:r>
      <w:r>
        <w:rPr>
          <w:rFonts w:eastAsia="Times New Roman" w:cs="Times New Roman" w:ascii="Times New Roman" w:hAnsi="Times New Roman"/>
          <w:sz w:val="24"/>
        </w:rPr>
        <w:t xml:space="preserve"> Street, Suite 2F, Oklahoma City, Oklahoma 73107. The Committee shall meet as often as is necessary, but at least once each quarter. Meetings of the Committee will comply with the Oklahoma Open Meetings Act.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8"/>
        </w:numPr>
        <w:tabs>
          <w:tab w:val="clear" w:pos="720"/>
          <w:tab w:val="left" w:pos="521"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The Committee shall provide oversight to the overall licensure examination process; shall set minimum standards for certifying qualified applicants; may write examinations; may recommend regulations to the Administrator and to the Board; and, shall act as advisor to the Administrator on home inspection licensing and standards enforcement matters.</w:t>
      </w:r>
    </w:p>
    <w:p>
      <w:pPr>
        <w:pStyle w:val="Normal"/>
        <w:numPr>
          <w:ilvl w:val="0"/>
          <w:numId w:val="28"/>
        </w:numPr>
        <w:tabs>
          <w:tab w:val="clear" w:pos="720"/>
          <w:tab w:val="left" w:pos="507"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Application for a home inspection license shall be accomplished by filling out an application for examination on a form provided by the Committee.</w:t>
      </w:r>
    </w:p>
    <w:p>
      <w:pPr>
        <w:pStyle w:val="Normal"/>
        <w:numPr>
          <w:ilvl w:val="0"/>
          <w:numId w:val="28"/>
        </w:numPr>
        <w:tabs>
          <w:tab w:val="clear" w:pos="720"/>
          <w:tab w:val="left" w:pos="521" w:leader="none"/>
        </w:tabs>
        <w:spacing w:lineRule="auto" w:line="249"/>
        <w:jc w:val="both"/>
        <w:rPr>
          <w:rFonts w:ascii="Times New Roman" w:hAnsi="Times New Roman" w:eastAsia="Times New Roman" w:cs="Times New Roman"/>
          <w:sz w:val="24"/>
        </w:rPr>
      </w:pPr>
      <w:r>
        <w:rPr>
          <w:rFonts w:eastAsia="Times New Roman" w:cs="Times New Roman" w:ascii="Times New Roman" w:hAnsi="Times New Roman"/>
          <w:sz w:val="24"/>
        </w:rPr>
        <w:t>The public may communicate with the Committee, in person or by mail, through the Board. The Board will make available all forms and instructions used by the Committee, rules, and all other written statements of policy or interpretations, all final orders, decisions and opinions. Copies of same may be provided in accordance with OAC 158:1-3-5.</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11 -14-08 (emergency); Added at 26 Ok Reg 2463, eff 7-11-09; Amended at 31 Ok Reg 933, eff 9-12-14; Amended at 32 Ok Reg 1649, eff 9-11-15]</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jc w:val="center"/>
        <w:rPr>
          <w:rFonts w:ascii="Times New Roman" w:hAnsi="Times New Roman" w:eastAsia="Times New Roman" w:cs="Times New Roman"/>
          <w:b/>
          <w:sz w:val="24"/>
        </w:rPr>
      </w:pPr>
      <w:r>
        <w:rPr>
          <w:rFonts w:eastAsia="Times New Roman" w:cs="Times New Roman" w:ascii="Times New Roman" w:hAnsi="Times New Roman"/>
          <w:b/>
          <w:sz w:val="24"/>
        </w:rPr>
        <w:t>SUBCHAPTER 5. LICENSE REQUIREMENTS, LICENSE FEES, LICENSE PERIOD, RE-EXAMINATION, DISPLAY AND INSURANCE</w:t>
      </w:r>
    </w:p>
    <w:p>
      <w:pPr>
        <w:pStyle w:val="Normal"/>
        <w:spacing w:lineRule="exact" w:line="1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158:70-5-1. Home inspection license requirements</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9"/>
        </w:numPr>
        <w:tabs>
          <w:tab w:val="clear" w:pos="720"/>
          <w:tab w:val="left" w:pos="483"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No persons, on their own behalf or on behalf of a firm or company engaged in home inspection work shall engage or offer to engage in, by advertisement or otherwise, any home inspection work who does not possess a valid and appropriate license from the Board, unless otherwise exempt by law.</w:t>
      </w:r>
    </w:p>
    <w:p>
      <w:pPr>
        <w:pStyle w:val="Normal"/>
        <w:numPr>
          <w:ilvl w:val="0"/>
          <w:numId w:val="29"/>
        </w:numPr>
        <w:tabs>
          <w:tab w:val="clear" w:pos="720"/>
          <w:tab w:val="left" w:pos="412" w:leader="none"/>
        </w:tabs>
        <w:spacing w:lineRule="auto" w:line="268"/>
        <w:rPr>
          <w:rFonts w:ascii="Times New Roman" w:hAnsi="Times New Roman" w:eastAsia="Times New Roman" w:cs="Times New Roman"/>
          <w:sz w:val="24"/>
        </w:rPr>
      </w:pPr>
      <w:r>
        <w:rPr>
          <w:rFonts w:eastAsia="Times New Roman" w:cs="Times New Roman" w:ascii="Times New Roman" w:hAnsi="Times New Roman"/>
          <w:sz w:val="24"/>
        </w:rPr>
        <w:t>Any change in the principal business address of a licensee must be reported in writing to the Oklahoma Construction Industries Board within thirty (30) days of such change.</w: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11-14-08 (emergency); Added at 26 Ok Reg 2463, eff 7-11-09; Amended at 31 Ok Reg 933, eff 9-12-14]</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rPr>
          <w:rFonts w:ascii="Times New Roman" w:hAnsi="Times New Roman" w:eastAsia="Times New Roman" w:cs="Times New Roman"/>
          <w:b/>
          <w:sz w:val="24"/>
        </w:rPr>
      </w:pPr>
      <w:r>
        <w:rPr>
          <w:rFonts w:eastAsia="Times New Roman" w:cs="Times New Roman" w:ascii="Times New Roman" w:hAnsi="Times New Roman"/>
          <w:b/>
          <w:sz w:val="24"/>
        </w:rPr>
        <w:t>158:70-5-2. License fees, license period, re-examination, display, and insurance requirements</w:t>
      </w:r>
    </w:p>
    <w:p>
      <w:pPr>
        <w:pStyle w:val="Normal"/>
        <w:numPr>
          <w:ilvl w:val="0"/>
          <w:numId w:val="30"/>
        </w:numPr>
        <w:tabs>
          <w:tab w:val="clear" w:pos="720"/>
          <w:tab w:val="left" w:pos="500" w:leader="none"/>
        </w:tabs>
        <w:spacing w:lineRule="atLeast" w:line="0"/>
        <w:ind w:hanging="500" w:start="500" w:end="0"/>
        <w:rPr>
          <w:rFonts w:ascii="Times New Roman" w:hAnsi="Times New Roman" w:eastAsia="Times New Roman" w:cs="Times New Roman"/>
          <w:sz w:val="24"/>
        </w:rPr>
      </w:pPr>
      <w:r>
        <w:rPr>
          <w:rFonts w:eastAsia="Times New Roman" w:cs="Times New Roman" w:ascii="Times New Roman" w:hAnsi="Times New Roman"/>
          <w:b/>
          <w:sz w:val="24"/>
        </w:rPr>
        <w:t>Initial license fees.</w:t>
      </w:r>
      <w:r>
        <w:rPr>
          <w:rFonts w:eastAsia="Times New Roman" w:cs="Times New Roman" w:ascii="Times New Roman" w:hAnsi="Times New Roman"/>
          <w:sz w:val="24"/>
        </w:rPr>
        <w:t xml:space="preserve"> The following fees apply to home inspection industry licensure:</w:t>
      </w:r>
    </w:p>
    <w:p>
      <w:pPr>
        <w:pStyle w:val="Normal"/>
        <w:numPr>
          <w:ilvl w:val="1"/>
          <w:numId w:val="30"/>
        </w:numPr>
        <w:tabs>
          <w:tab w:val="clear" w:pos="720"/>
          <w:tab w:val="left" w:pos="1241"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Approval fees for schools, instructors and home inspection organizations - $100.00. If the same home inspection organization conference has multiple instructors, the fee will not exceed $100.00.</w:t>
      </w:r>
    </w:p>
    <w:p>
      <w:pPr>
        <w:pStyle w:val="Normal"/>
        <w:numPr>
          <w:ilvl w:val="1"/>
          <w:numId w:val="30"/>
        </w:numPr>
        <w:tabs>
          <w:tab w:val="clear" w:pos="720"/>
          <w:tab w:val="left" w:pos="1240"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Approval fees for educational course content - $50.00. If the same home inspection organization conference has multiple courses, the fee will not exceed $100.00.</w:t>
      </w:r>
    </w:p>
    <w:p>
      <w:pPr>
        <w:pStyle w:val="Normal"/>
        <w:numPr>
          <w:ilvl w:val="1"/>
          <w:numId w:val="30"/>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Application for license - $30.00</w:t>
      </w:r>
    </w:p>
    <w:p>
      <w:pPr>
        <w:pStyle w:val="Normal"/>
        <w:numPr>
          <w:ilvl w:val="1"/>
          <w:numId w:val="30"/>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Licensure for reciprocity - $50.00</w:t>
      </w:r>
    </w:p>
    <w:p>
      <w:pPr>
        <w:pStyle w:val="Normal"/>
        <w:numPr>
          <w:ilvl w:val="1"/>
          <w:numId w:val="30"/>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Examination fee - $200.00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13</w:t>
      </w:r>
    </w:p>
    <w:p>
      <w:pPr>
        <w:pStyle w:val="Normal"/>
        <w:spacing w:lineRule="atLeast" w:line="0"/>
        <w:ind w:start="6960" w:end="0"/>
        <w:rPr>
          <w:rFonts w:ascii="Times New Roman" w:hAnsi="Times New Roman" w:eastAsia="Times New Roman" w:cs="Times New Roman"/>
          <w:sz w:val="15"/>
        </w:rPr>
      </w:pPr>
      <w:bookmarkStart w:id="13" w:name="page14"/>
      <w:bookmarkEnd w:id="13"/>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1"/>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License fee - $250.00</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1"/>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License renewal - $150.00</w:t>
      </w:r>
    </w:p>
    <w:p>
      <w:pPr>
        <w:pStyle w:val="Normal"/>
        <w:numPr>
          <w:ilvl w:val="1"/>
          <w:numId w:val="31"/>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License reactivation - $50.00</w:t>
      </w:r>
    </w:p>
    <w:p>
      <w:pPr>
        <w:pStyle w:val="Normal"/>
        <w:numPr>
          <w:ilvl w:val="0"/>
          <w:numId w:val="32"/>
        </w:numPr>
        <w:tabs>
          <w:tab w:val="clear" w:pos="720"/>
          <w:tab w:val="left" w:pos="520" w:leader="none"/>
        </w:tabs>
        <w:spacing w:lineRule="atLeast" w:line="0"/>
        <w:ind w:hanging="520" w:start="520" w:end="0"/>
        <w:rPr>
          <w:rFonts w:ascii="Times New Roman" w:hAnsi="Times New Roman" w:eastAsia="Times New Roman" w:cs="Times New Roman"/>
          <w:sz w:val="24"/>
        </w:rPr>
      </w:pPr>
      <w:r>
        <w:rPr>
          <w:rFonts w:eastAsia="Times New Roman" w:cs="Times New Roman" w:ascii="Times New Roman" w:hAnsi="Times New Roman"/>
          <w:b/>
          <w:sz w:val="24"/>
        </w:rPr>
        <w:t>License period.</w:t>
      </w:r>
    </w:p>
    <w:p>
      <w:pPr>
        <w:pStyle w:val="Normal"/>
        <w:numPr>
          <w:ilvl w:val="1"/>
          <w:numId w:val="32"/>
        </w:numPr>
        <w:tabs>
          <w:tab w:val="clear" w:pos="720"/>
          <w:tab w:val="left" w:pos="1240"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 license shall expire twelve (12) months after issuance, and may be renewed without penalty for thirty (30) days following expiration.</w:t>
      </w:r>
    </w:p>
    <w:p>
      <w:pPr>
        <w:pStyle w:val="Normal"/>
        <w:numPr>
          <w:ilvl w:val="1"/>
          <w:numId w:val="32"/>
        </w:numPr>
        <w:tabs>
          <w:tab w:val="clear" w:pos="720"/>
          <w:tab w:val="left" w:pos="1240"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A license which has been expired for more than one (1) year shall not be renewed. An individual may obtain a valid license by successful completion of the appropriate examination and other licensure requirements.</w:t>
      </w:r>
    </w:p>
    <w:p>
      <w:pPr>
        <w:pStyle w:val="Normal"/>
        <w:numPr>
          <w:ilvl w:val="0"/>
          <w:numId w:val="32"/>
        </w:numPr>
        <w:tabs>
          <w:tab w:val="clear" w:pos="720"/>
          <w:tab w:val="left" w:pos="508" w:leader="none"/>
        </w:tabs>
        <w:spacing w:lineRule="atLeast" w:line="0"/>
        <w:rPr>
          <w:rFonts w:ascii="Times New Roman" w:hAnsi="Times New Roman" w:eastAsia="Times New Roman" w:cs="Times New Roman"/>
          <w:sz w:val="24"/>
        </w:rPr>
      </w:pPr>
      <w:r>
        <w:rPr>
          <w:rFonts w:eastAsia="Times New Roman" w:cs="Times New Roman" w:ascii="Times New Roman" w:hAnsi="Times New Roman"/>
          <w:b/>
          <w:sz w:val="24"/>
        </w:rPr>
        <w:t>Re-examination.</w:t>
      </w:r>
      <w:r>
        <w:rPr>
          <w:rFonts w:eastAsia="Times New Roman" w:cs="Times New Roman" w:ascii="Times New Roman" w:hAnsi="Times New Roman"/>
          <w:sz w:val="24"/>
        </w:rPr>
        <w:t xml:space="preserve"> Any applicant who fails an examination must wait thirty (30) days before retaking the home inspection examination.</w:t>
      </w:r>
    </w:p>
    <w:p>
      <w:pPr>
        <w:pStyle w:val="Normal"/>
        <w:numPr>
          <w:ilvl w:val="0"/>
          <w:numId w:val="32"/>
        </w:numPr>
        <w:tabs>
          <w:tab w:val="clear" w:pos="720"/>
          <w:tab w:val="left" w:pos="521"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b/>
          <w:sz w:val="24"/>
        </w:rPr>
        <w:t>License display.</w:t>
      </w:r>
      <w:r>
        <w:rPr>
          <w:rFonts w:eastAsia="Times New Roman" w:cs="Times New Roman" w:ascii="Times New Roman" w:hAnsi="Times New Roman"/>
          <w:sz w:val="24"/>
        </w:rPr>
        <w:t xml:space="preserve"> The state issued license number shall be placed on all letterhead stationery, business cards, bids, estimates and printed advertisements, and shall be included in viewable electronic media advertisements. Decals and yard signs shall display the state issued license number.</w:t>
      </w:r>
    </w:p>
    <w:p>
      <w:pPr>
        <w:pStyle w:val="Normal"/>
        <w:numPr>
          <w:ilvl w:val="0"/>
          <w:numId w:val="32"/>
        </w:numPr>
        <w:tabs>
          <w:tab w:val="clear" w:pos="720"/>
          <w:tab w:val="left" w:pos="508" w:leader="none"/>
        </w:tabs>
        <w:spacing w:lineRule="atLeast" w:line="0"/>
        <w:rPr>
          <w:rFonts w:ascii="Times New Roman" w:hAnsi="Times New Roman" w:eastAsia="Times New Roman" w:cs="Times New Roman"/>
          <w:sz w:val="24"/>
        </w:rPr>
      </w:pPr>
      <w:r>
        <w:rPr>
          <w:rFonts w:eastAsia="Times New Roman" w:cs="Times New Roman" w:ascii="Times New Roman" w:hAnsi="Times New Roman"/>
          <w:b/>
          <w:sz w:val="24"/>
        </w:rPr>
        <w:t>Personal license display.</w:t>
      </w:r>
      <w:r>
        <w:rPr>
          <w:rFonts w:eastAsia="Times New Roman" w:cs="Times New Roman" w:ascii="Times New Roman" w:hAnsi="Times New Roman"/>
          <w:sz w:val="24"/>
        </w:rPr>
        <w:t xml:space="preserve"> All persons subject to these rules shall possess the state issued card any time the person is working. The card shall be shown when requested.</w:t>
      </w:r>
    </w:p>
    <w:p>
      <w:pPr>
        <w:pStyle w:val="Normal"/>
        <w:numPr>
          <w:ilvl w:val="0"/>
          <w:numId w:val="32"/>
        </w:numPr>
        <w:tabs>
          <w:tab w:val="clear" w:pos="720"/>
          <w:tab w:val="left" w:pos="480" w:leader="none"/>
        </w:tabs>
        <w:spacing w:lineRule="auto" w:line="237"/>
        <w:jc w:val="both"/>
        <w:rPr>
          <w:rFonts w:ascii="Times New Roman" w:hAnsi="Times New Roman" w:eastAsia="Times New Roman" w:cs="Times New Roman"/>
          <w:sz w:val="24"/>
        </w:rPr>
      </w:pPr>
      <w:r>
        <w:rPr>
          <w:rFonts w:eastAsia="Times New Roman" w:cs="Times New Roman" w:ascii="Times New Roman" w:hAnsi="Times New Roman"/>
          <w:b/>
          <w:sz w:val="24"/>
        </w:rPr>
        <w:t>Insurance requirements.</w:t>
      </w:r>
      <w:r>
        <w:rPr>
          <w:rFonts w:eastAsia="Times New Roman" w:cs="Times New Roman" w:ascii="Times New Roman" w:hAnsi="Times New Roman"/>
          <w:sz w:val="24"/>
        </w:rPr>
        <w:t xml:space="preserve"> Each licensee must maintain insurance coverage and furnish and maintain in effect a certificate of insurance therefore which indicates that the licensee has a comprehensive general liability policy. Limits of liability are to be no less than $50,000.00 combined single limit for bodily injury and property damage. The certificate of insurance shall provide for thirty (30) days notice to the Home Inspection License Unit, prior to cancellation or material alteration of the required insurance. The Licensee must add the Construction Industries Board as a certificate holder but not as an additional insured and with no additional cost. This is required in order for the Construction Industries Board to be notified in the event such liability policy is cancelled for any reason or expires for non-payment of premiums. Failure to provide the complete information with current insurance certificate or failure to maintain insurance will result in an inactive home inspector's license being temporarily issued until such time as the requirements are met.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2"/>
        </w:numPr>
        <w:tabs>
          <w:tab w:val="clear" w:pos="720"/>
          <w:tab w:val="left" w:pos="521" w:leader="none"/>
        </w:tabs>
        <w:spacing w:lineRule="auto" w:line="268"/>
        <w:rPr>
          <w:rFonts w:ascii="Times New Roman" w:hAnsi="Times New Roman" w:eastAsia="Times New Roman" w:cs="Times New Roman"/>
          <w:sz w:val="24"/>
        </w:rPr>
      </w:pPr>
      <w:r>
        <w:rPr>
          <w:rFonts w:eastAsia="Times New Roman" w:cs="Times New Roman" w:ascii="Times New Roman" w:hAnsi="Times New Roman"/>
          <w:b/>
          <w:sz w:val="24"/>
        </w:rPr>
        <w:t>One time low-income fee waiver.</w:t>
      </w:r>
      <w:r>
        <w:rPr>
          <w:rFonts w:eastAsia="Times New Roman" w:cs="Times New Roman" w:ascii="Times New Roman" w:hAnsi="Times New Roman"/>
          <w:sz w:val="24"/>
        </w:rPr>
        <w:t xml:space="preserve"> See OAC 158:1-3-13(c) regarding eligibility on a one-time, one-year fee waiver.</w: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11-14-08 (emergency); Added at 26 Ok Reg 2463, eff 7-11-09; Amended at 31 Ok Reg 933, eff 9-12-14; Amended at 35 Ok Reg 938, eff 10-1-18; Amended at 37 Ok Reg 1078, eff 10-1-20]</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jc w:val="center"/>
        <w:rPr>
          <w:rFonts w:ascii="Times New Roman" w:hAnsi="Times New Roman" w:eastAsia="Times New Roman" w:cs="Times New Roman"/>
          <w:b/>
          <w:sz w:val="24"/>
        </w:rPr>
      </w:pPr>
      <w:r>
        <w:rPr>
          <w:rFonts w:eastAsia="Times New Roman" w:cs="Times New Roman" w:ascii="Times New Roman" w:hAnsi="Times New Roman"/>
          <w:b/>
          <w:sz w:val="24"/>
        </w:rPr>
        <w:t>SUBCHAPTER 9. EXAMINATION APPLICATIONS, EXAMINATIONS, COURSE APPROVAL REQUIREMENTS, INSTRUCTOR REQUIREMENTS, CONTINUING EDUCATION, DENIED APPLICATION APPEAL, SUBMISSION OF RECORDS, SUBSTANTIAL COMPLIANCE AND RECIPROCITY</w:t>
      </w:r>
    </w:p>
    <w:p>
      <w:pPr>
        <w:pStyle w:val="Normal"/>
        <w:spacing w:lineRule="exact" w:line="2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158:70-9-1. Qualifications and examination applications</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firstLine="360" w:end="0"/>
        <w:rPr>
          <w:rFonts w:ascii="Times New Roman" w:hAnsi="Times New Roman" w:eastAsia="Times New Roman" w:cs="Times New Roman"/>
          <w:sz w:val="24"/>
        </w:rPr>
      </w:pPr>
      <w:r>
        <w:rPr>
          <w:rFonts w:eastAsia="Times New Roman" w:cs="Times New Roman" w:ascii="Times New Roman" w:hAnsi="Times New Roman"/>
          <w:sz w:val="24"/>
        </w:rPr>
        <w:t>Applicants for home inspection license examinations must be eighteen (18) years of age or older and every application must be accompanied by evidence of successful completion of ninety</w:t>
      </w:r>
    </w:p>
    <w:p>
      <w:pPr>
        <w:pStyle w:val="Normal"/>
        <w:numPr>
          <w:ilvl w:val="0"/>
          <w:numId w:val="33"/>
        </w:numPr>
        <w:tabs>
          <w:tab w:val="clear" w:pos="720"/>
          <w:tab w:val="left" w:pos="463" w:leader="none"/>
        </w:tabs>
        <w:spacing w:lineRule="auto" w:line="268"/>
        <w:rPr>
          <w:rFonts w:ascii="Times New Roman" w:hAnsi="Times New Roman" w:eastAsia="Times New Roman" w:cs="Times New Roman"/>
          <w:sz w:val="24"/>
        </w:rPr>
      </w:pPr>
      <w:r>
        <w:rPr>
          <w:rFonts w:eastAsia="Times New Roman" w:cs="Times New Roman" w:ascii="Times New Roman" w:hAnsi="Times New Roman"/>
          <w:sz w:val="24"/>
        </w:rPr>
        <w:t>credit hours of home inspection training that is approved pursuant to OAC 158:70-9-3, or its equivalent.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14</w:t>
      </w:r>
    </w:p>
    <w:p>
      <w:pPr>
        <w:pStyle w:val="Normal"/>
        <w:spacing w:lineRule="atLeast" w:line="0"/>
        <w:ind w:start="6960" w:end="0"/>
        <w:rPr>
          <w:rFonts w:ascii="Times New Roman" w:hAnsi="Times New Roman" w:eastAsia="Times New Roman" w:cs="Times New Roman"/>
          <w:sz w:val="15"/>
        </w:rPr>
      </w:pPr>
      <w:bookmarkStart w:id="14" w:name="page15"/>
      <w:bookmarkEnd w:id="14"/>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11-14-08 (emergency); Added at 26 Ok Reg 2463, eff 7-11-09; Amended at 30 Ok Reg 1555, eff 7-11-13; Amended at 31 Ok Reg 933, eff 9-12-14; Amended at 37 Ok Reg 1079, eff 10-1-20]</w:t>
      </w:r>
    </w:p>
    <w:p>
      <w:pPr>
        <w:pStyle w:val="Normal"/>
        <w:spacing w:lineRule="exact" w:line="397"/>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42"/>
        <w:rPr>
          <w:rFonts w:ascii="Times New Roman" w:hAnsi="Times New Roman" w:eastAsia="Times New Roman" w:cs="Times New Roman"/>
          <w:b/>
          <w:sz w:val="24"/>
        </w:rPr>
      </w:pPr>
      <w:r>
        <w:rPr>
          <w:rFonts w:eastAsia="Times New Roman" w:cs="Times New Roman" w:ascii="Times New Roman" w:hAnsi="Times New Roman"/>
          <w:b/>
          <w:sz w:val="24"/>
        </w:rPr>
        <w:t>158:70-9-1.1. Acceptance of Military education, training and experience toward qualification for licensure examination</w:t>
      </w:r>
    </w:p>
    <w:p>
      <w:pPr>
        <w:pStyle w:val="Normal"/>
        <w:numPr>
          <w:ilvl w:val="0"/>
          <w:numId w:val="34"/>
        </w:numPr>
        <w:tabs>
          <w:tab w:val="clear" w:pos="720"/>
          <w:tab w:val="left" w:pos="337"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b/>
          <w:sz w:val="24"/>
        </w:rPr>
        <w:t>Licensure – military service.</w:t>
      </w:r>
      <w:r>
        <w:rPr>
          <w:rFonts w:eastAsia="Times New Roman" w:cs="Times New Roman" w:ascii="Times New Roman" w:hAnsi="Times New Roman"/>
          <w:sz w:val="24"/>
        </w:rPr>
        <w:t xml:space="preserve"> See OAC 158:1-3-10 for provisions related to the application of substantially equivalent education, training, and experience completed as a member of the Armed Forces or Reserves of the United States, National Guard of any jurisdiction, the Military Reserves of any jurisdiction, or the Naval Militias of any jurisdiction toward satisfying the qualifications for examination and license issuance.</w:t>
      </w:r>
    </w:p>
    <w:p>
      <w:pPr>
        <w:pStyle w:val="Normal"/>
        <w:numPr>
          <w:ilvl w:val="0"/>
          <w:numId w:val="34"/>
        </w:numPr>
        <w:tabs>
          <w:tab w:val="clear" w:pos="720"/>
          <w:tab w:val="left" w:pos="341" w:leader="none"/>
        </w:tabs>
        <w:spacing w:lineRule="auto" w:line="254"/>
        <w:ind w:end="240"/>
        <w:rPr>
          <w:rFonts w:ascii="Times New Roman" w:hAnsi="Times New Roman" w:eastAsia="Times New Roman" w:cs="Times New Roman"/>
          <w:sz w:val="24"/>
        </w:rPr>
      </w:pPr>
      <w:r>
        <w:rPr>
          <w:rFonts w:eastAsia="Times New Roman" w:cs="Times New Roman" w:ascii="Times New Roman" w:hAnsi="Times New Roman"/>
          <w:b/>
          <w:sz w:val="24"/>
        </w:rPr>
        <w:t>Military spouse applicant.</w:t>
      </w:r>
      <w:r>
        <w:rPr>
          <w:rFonts w:eastAsia="Times New Roman" w:cs="Times New Roman" w:ascii="Times New Roman" w:hAnsi="Times New Roman"/>
          <w:sz w:val="24"/>
        </w:rPr>
        <w:t xml:space="preserve"> See OAC 158:1-3-10 for provisions related to issuance of a license in an equivalent category for the spouse of an active-duty member of the Armed Forces or Reserves of the United States.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32 Ok Reg 1649, eff 9-11-15; Amended at 37 Ok Reg 1079, eff 10-1-20]</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color w:val="0D0D0D"/>
          <w:sz w:val="24"/>
        </w:rPr>
      </w:pPr>
      <w:r>
        <w:rPr>
          <w:rFonts w:eastAsia="Times New Roman" w:cs="Times New Roman" w:ascii="Times New Roman" w:hAnsi="Times New Roman"/>
          <w:b/>
          <w:color w:val="0D0D0D"/>
          <w:sz w:val="24"/>
        </w:rPr>
        <w:t>158:70-9-1.2. Expediting issuances of license to military spouse</w:t>
      </w:r>
    </w:p>
    <w:p>
      <w:pPr>
        <w:pStyle w:val="Normal"/>
        <w:spacing w:lineRule="exact" w:line="10"/>
        <w:rPr>
          <w:rFonts w:ascii="Times New Roman" w:hAnsi="Times New Roman" w:eastAsia="Times New Roman" w:cs="Times New Roman"/>
          <w:b/>
          <w:color w:val="0D0D0D"/>
          <w:sz w:val="24"/>
        </w:rPr>
      </w:pPr>
      <w:r>
        <w:rPr>
          <w:rFonts w:eastAsia="Times New Roman" w:cs="Times New Roman" w:ascii="Times New Roman" w:hAnsi="Times New Roman"/>
          <w:b/>
          <w:color w:val="0D0D0D"/>
          <w:sz w:val="24"/>
        </w:rPr>
      </w:r>
    </w:p>
    <w:p>
      <w:pPr>
        <w:pStyle w:val="Normal"/>
        <w:spacing w:lineRule="auto" w:line="268"/>
        <w:ind w:firstLine="360" w:end="0"/>
        <w:jc w:val="both"/>
        <w:rPr>
          <w:rFonts w:ascii="Times New Roman" w:hAnsi="Times New Roman" w:eastAsia="Times New Roman" w:cs="Times New Roman"/>
          <w:color w:val="0D0D0D"/>
          <w:sz w:val="24"/>
        </w:rPr>
      </w:pPr>
      <w:r>
        <w:rPr>
          <w:rFonts w:eastAsia="Times New Roman" w:cs="Times New Roman" w:ascii="Times New Roman" w:hAnsi="Times New Roman"/>
          <w:color w:val="0D0D0D"/>
          <w:sz w:val="24"/>
        </w:rPr>
        <w:t>See OAC 158:1-3-11 for provisions related the Board expediting the issuance of a license for spouses of certain members of the Armed Forces on active duty in this state.</w:t>
      </w:r>
    </w:p>
    <w:p>
      <w:pPr>
        <w:pStyle w:val="Normal"/>
        <w:spacing w:lineRule="exact" w:line="112"/>
        <w:rPr>
          <w:rFonts w:ascii="Times New Roman" w:hAnsi="Times New Roman" w:eastAsia="Times New Roman" w:cs="Times New Roman"/>
          <w:color w:val="0D0D0D"/>
          <w:sz w:val="24"/>
        </w:rPr>
      </w:pPr>
      <w:r>
        <w:rPr>
          <w:rFonts w:eastAsia="Times New Roman" w:cs="Times New Roman" w:ascii="Times New Roman" w:hAnsi="Times New Roman"/>
          <w:color w:val="0D0D0D"/>
          <w:sz w:val="24"/>
        </w:rPr>
      </w:r>
    </w:p>
    <w:p>
      <w:pPr>
        <w:pStyle w:val="Normal"/>
        <w:spacing w:lineRule="atLeast" w:line="0"/>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32 Ok Reg 1649, eff 9-11-15]</w:t>
      </w:r>
    </w:p>
    <w:p>
      <w:pPr>
        <w:pStyle w:val="Normal"/>
        <w:spacing w:lineRule="exact" w:line="359"/>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rPr>
          <w:rFonts w:ascii="Times New Roman" w:hAnsi="Times New Roman" w:eastAsia="Times New Roman" w:cs="Times New Roman"/>
          <w:b/>
          <w:color w:val="0D0D0D"/>
          <w:sz w:val="24"/>
        </w:rPr>
      </w:pPr>
      <w:r>
        <w:rPr>
          <w:rFonts w:eastAsia="Times New Roman" w:cs="Times New Roman" w:ascii="Times New Roman" w:hAnsi="Times New Roman"/>
          <w:b/>
          <w:color w:val="0D0D0D"/>
          <w:sz w:val="24"/>
        </w:rPr>
        <w:t>158:70-9-1.3. Renewals for licensee - post-military service</w:t>
      </w:r>
    </w:p>
    <w:p>
      <w:pPr>
        <w:pStyle w:val="Normal"/>
        <w:spacing w:lineRule="exact" w:line="10"/>
        <w:rPr>
          <w:rFonts w:ascii="Times New Roman" w:hAnsi="Times New Roman" w:eastAsia="Times New Roman" w:cs="Times New Roman"/>
          <w:b/>
          <w:color w:val="0D0D0D"/>
          <w:sz w:val="24"/>
        </w:rPr>
      </w:pPr>
      <w:r>
        <w:rPr>
          <w:rFonts w:eastAsia="Times New Roman" w:cs="Times New Roman" w:ascii="Times New Roman" w:hAnsi="Times New Roman"/>
          <w:b/>
          <w:color w:val="0D0D0D"/>
          <w:sz w:val="24"/>
        </w:rPr>
      </w:r>
    </w:p>
    <w:p>
      <w:pPr>
        <w:pStyle w:val="Normal"/>
        <w:spacing w:lineRule="auto" w:line="249"/>
        <w:ind w:firstLine="360" w:end="0"/>
        <w:jc w:val="both"/>
        <w:rPr>
          <w:rFonts w:ascii="Times New Roman" w:hAnsi="Times New Roman" w:eastAsia="Times New Roman" w:cs="Times New Roman"/>
          <w:color w:val="0D0D0D"/>
          <w:sz w:val="24"/>
        </w:rPr>
      </w:pPr>
      <w:r>
        <w:rPr>
          <w:rFonts w:eastAsia="Times New Roman" w:cs="Times New Roman" w:ascii="Times New Roman" w:hAnsi="Times New Roman"/>
          <w:color w:val="0D0D0D"/>
          <w:sz w:val="24"/>
        </w:rPr>
        <w:t>See OAC 158:1-3-12 for provisions related to license renewal while a licensee holder is a member of the Armed Forces of the United States on active duty, and for provisions related to a licensee whose license expires while on active duty as a member of the National Guard or reserve component of the Armed Forces.</w:t>
      </w:r>
    </w:p>
    <w:p>
      <w:pPr>
        <w:pStyle w:val="Normal"/>
        <w:spacing w:lineRule="exact" w:line="137"/>
        <w:rPr>
          <w:rFonts w:ascii="Times New Roman" w:hAnsi="Times New Roman" w:eastAsia="Times New Roman" w:cs="Times New Roman"/>
          <w:color w:val="0D0D0D"/>
          <w:sz w:val="24"/>
        </w:rPr>
      </w:pPr>
      <w:r>
        <w:rPr>
          <w:rFonts w:eastAsia="Times New Roman" w:cs="Times New Roman" w:ascii="Times New Roman" w:hAnsi="Times New Roman"/>
          <w:color w:val="0D0D0D"/>
          <w:sz w:val="24"/>
        </w:rPr>
      </w:r>
    </w:p>
    <w:p>
      <w:pPr>
        <w:pStyle w:val="Normal"/>
        <w:spacing w:lineRule="atLeast" w:line="0"/>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32 Ok Reg 1649, eff 9-11-15]</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158:70-9-2. Examinations</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5"/>
        </w:numPr>
        <w:tabs>
          <w:tab w:val="clear" w:pos="720"/>
          <w:tab w:val="left" w:pos="507"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Home inspection license examinations may include, without limitation, written questions, consisting of open book, closed book and problems, based on current national standards, and other related questions.</w:t>
      </w:r>
    </w:p>
    <w:p>
      <w:pPr>
        <w:pStyle w:val="Normal"/>
        <w:numPr>
          <w:ilvl w:val="0"/>
          <w:numId w:val="35"/>
        </w:numPr>
        <w:tabs>
          <w:tab w:val="clear" w:pos="720"/>
          <w:tab w:val="left" w:pos="521"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maximum grade value of each part of the examination shall be 100 points. A passing score is 70% or more on each part.</w:t>
      </w:r>
    </w:p>
    <w:p>
      <w:pPr>
        <w:pStyle w:val="Normal"/>
        <w:numPr>
          <w:ilvl w:val="0"/>
          <w:numId w:val="35"/>
        </w:numPr>
        <w:tabs>
          <w:tab w:val="clear" w:pos="720"/>
          <w:tab w:val="left" w:pos="507"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Each applicant shall pay the examination fee before undertaking any examination. Reexamination fees shall be the same as the initial examination fees.</w:t>
      </w:r>
    </w:p>
    <w:p>
      <w:pPr>
        <w:pStyle w:val="Normal"/>
        <w:numPr>
          <w:ilvl w:val="0"/>
          <w:numId w:val="35"/>
        </w:numPr>
        <w:tabs>
          <w:tab w:val="clear" w:pos="720"/>
          <w:tab w:val="left" w:pos="520" w:leader="none"/>
        </w:tabs>
        <w:spacing w:lineRule="atLeast" w:line="0"/>
        <w:ind w:hanging="520" w:start="520" w:end="0"/>
        <w:rPr>
          <w:rFonts w:ascii="Times New Roman" w:hAnsi="Times New Roman" w:eastAsia="Times New Roman" w:cs="Times New Roman"/>
          <w:sz w:val="24"/>
        </w:rPr>
      </w:pPr>
      <w:r>
        <w:rPr>
          <w:rFonts w:eastAsia="Times New Roman" w:cs="Times New Roman" w:ascii="Times New Roman" w:hAnsi="Times New Roman"/>
          <w:sz w:val="24"/>
        </w:rPr>
        <w:t>Unless authorized by the Committee, only examinees shall be permitted in the examination</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area.</w:t>
      </w:r>
    </w:p>
    <w:p>
      <w:pPr>
        <w:pStyle w:val="Normal"/>
        <w:numPr>
          <w:ilvl w:val="0"/>
          <w:numId w:val="35"/>
        </w:numPr>
        <w:tabs>
          <w:tab w:val="clear" w:pos="720"/>
          <w:tab w:val="left" w:pos="500" w:leader="none"/>
        </w:tabs>
        <w:spacing w:lineRule="atLeast" w:line="0"/>
        <w:ind w:hanging="500" w:start="500" w:end="0"/>
        <w:rPr>
          <w:rFonts w:ascii="Times New Roman" w:hAnsi="Times New Roman" w:eastAsia="Times New Roman" w:cs="Times New Roman"/>
          <w:sz w:val="24"/>
        </w:rPr>
      </w:pPr>
      <w:r>
        <w:rPr>
          <w:rFonts w:eastAsia="Times New Roman" w:cs="Times New Roman" w:ascii="Times New Roman" w:hAnsi="Times New Roman"/>
          <w:sz w:val="24"/>
        </w:rPr>
        <w:t>Applicants shall present positive identification before undertaking an examination.</w:t>
      </w:r>
    </w:p>
    <w:p>
      <w:pPr>
        <w:pStyle w:val="Normal"/>
        <w:numPr>
          <w:ilvl w:val="0"/>
          <w:numId w:val="35"/>
        </w:numPr>
        <w:tabs>
          <w:tab w:val="clear" w:pos="720"/>
          <w:tab w:val="left" w:pos="480" w:leader="none"/>
        </w:tabs>
        <w:spacing w:lineRule="auto" w:line="237"/>
        <w:rPr>
          <w:rFonts w:ascii="Times New Roman" w:hAnsi="Times New Roman" w:eastAsia="Times New Roman" w:cs="Times New Roman"/>
          <w:sz w:val="24"/>
        </w:rPr>
      </w:pPr>
      <w:r>
        <w:rPr>
          <w:rFonts w:eastAsia="Times New Roman" w:cs="Times New Roman" w:ascii="Times New Roman" w:hAnsi="Times New Roman"/>
          <w:sz w:val="24"/>
        </w:rPr>
        <w:t>Any applicant who fails an examination must wait thirty (30) days before retaking the home inspection examination.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clear" w:pos="720"/>
          <w:tab w:val="left" w:pos="521" w:leader="none"/>
        </w:tabs>
        <w:spacing w:lineRule="auto" w:line="249"/>
        <w:jc w:val="both"/>
        <w:rPr>
          <w:rFonts w:ascii="Times New Roman" w:hAnsi="Times New Roman" w:eastAsia="Times New Roman" w:cs="Times New Roman"/>
          <w:sz w:val="24"/>
        </w:rPr>
      </w:pPr>
      <w:r>
        <w:rPr>
          <w:rFonts w:eastAsia="Times New Roman" w:cs="Times New Roman" w:ascii="Times New Roman" w:hAnsi="Times New Roman"/>
          <w:color w:val="0D0D0D"/>
          <w:sz w:val="24"/>
        </w:rPr>
        <w:t>Any applicant who violates exam procedures as determined by the examination provider, including but not limited to cheating, misrepresenting oneself as another, or inappropriate actions during an examination may be immediately notified and expelled from the examination. Furthermore, the applicant's exam will be considered invalid and the applicant will be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15</w:t>
      </w:r>
    </w:p>
    <w:p>
      <w:pPr>
        <w:pStyle w:val="Normal"/>
        <w:spacing w:lineRule="atLeast" w:line="0"/>
        <w:ind w:start="6960" w:end="0"/>
        <w:rPr>
          <w:rFonts w:ascii="Times New Roman" w:hAnsi="Times New Roman" w:eastAsia="Times New Roman" w:cs="Times New Roman"/>
          <w:sz w:val="15"/>
        </w:rPr>
      </w:pPr>
      <w:bookmarkStart w:id="15" w:name="page16"/>
      <w:bookmarkEnd w:id="15"/>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rPr>
          <w:rFonts w:ascii="Times New Roman" w:hAnsi="Times New Roman" w:eastAsia="Times New Roman" w:cs="Times New Roman"/>
          <w:color w:val="0D0D0D"/>
          <w:sz w:val="24"/>
        </w:rPr>
      </w:pPr>
      <w:r>
        <w:rPr>
          <w:rFonts w:eastAsia="Times New Roman" w:cs="Times New Roman" w:ascii="Times New Roman" w:hAnsi="Times New Roman"/>
          <w:color w:val="0D0D0D"/>
          <w:sz w:val="24"/>
        </w:rPr>
        <w:t>disqualified from retaking the exam for a period of time no less than 30 days and no more than 365 days as determined by the Administrator of the Construction Industries Board.</w:t>
      </w:r>
    </w:p>
    <w:p>
      <w:pPr>
        <w:pStyle w:val="Normal"/>
        <w:spacing w:lineRule="exact" w:line="104"/>
        <w:rPr>
          <w:rFonts w:ascii="Times New Roman" w:hAnsi="Times New Roman" w:eastAsia="Times New Roman" w:cs="Times New Roman"/>
          <w:color w:val="0D0D0D"/>
          <w:sz w:val="24"/>
        </w:rPr>
      </w:pPr>
      <w:r>
        <w:rPr>
          <w:rFonts w:eastAsia="Times New Roman" w:cs="Times New Roman" w:ascii="Times New Roman" w:hAnsi="Times New Roman"/>
          <w:color w:val="0D0D0D"/>
          <w:sz w:val="24"/>
        </w:rPr>
      </w:r>
    </w:p>
    <w:p>
      <w:pPr>
        <w:pStyle w:val="Normal"/>
        <w:spacing w:lineRule="atLeast" w:line="0"/>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11-14-08 (emergency); Added at 26 Ok Reg 2463, eff 7-11-09; Amended at 34 Ok Reg 894, eff 10-1-17]</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158:70-9-3. Course approval requirements</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6"/>
        </w:numPr>
        <w:tabs>
          <w:tab w:val="clear" w:pos="720"/>
          <w:tab w:val="left" w:pos="506"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Any person or entity seeking to conduct an approved course for home inspection training or continuing education credits shall make application and submit documents, statements and forms as may reasonably be required by the Committee in accordance with OAC 158:70-5-2, at least fifteen (15) days prior to the date of the Regular meeting of the Committee from which the person or entity wants the course to be considered for approval, and at least thirty (30) days prior to the date for which the course is scheduled.</w:t>
      </w:r>
    </w:p>
    <w:p>
      <w:pPr>
        <w:pStyle w:val="Normal"/>
        <w:numPr>
          <w:ilvl w:val="1"/>
          <w:numId w:val="36"/>
        </w:numPr>
        <w:tabs>
          <w:tab w:val="clear" w:pos="720"/>
          <w:tab w:val="left" w:pos="580" w:leader="none"/>
        </w:tabs>
        <w:spacing w:lineRule="atLeast" w:line="0"/>
        <w:ind w:hanging="520" w:start="580" w:end="0"/>
        <w:rPr>
          <w:rFonts w:ascii="Times New Roman" w:hAnsi="Times New Roman" w:eastAsia="Times New Roman" w:cs="Times New Roman"/>
          <w:sz w:val="24"/>
        </w:rPr>
      </w:pPr>
      <w:r>
        <w:rPr>
          <w:rFonts w:eastAsia="Times New Roman" w:cs="Times New Roman" w:ascii="Times New Roman" w:hAnsi="Times New Roman"/>
          <w:sz w:val="24"/>
        </w:rPr>
        <w:t>Applications shall include the following information:</w:t>
      </w:r>
    </w:p>
    <w:p>
      <w:pPr>
        <w:pStyle w:val="Normal"/>
        <w:numPr>
          <w:ilvl w:val="2"/>
          <w:numId w:val="36"/>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Name and address of the provider;</w:t>
      </w:r>
    </w:p>
    <w:p>
      <w:pPr>
        <w:pStyle w:val="Normal"/>
        <w:numPr>
          <w:ilvl w:val="2"/>
          <w:numId w:val="36"/>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Contact person and his or her address, telephone number and fax number;</w:t>
      </w:r>
    </w:p>
    <w:p>
      <w:pPr>
        <w:pStyle w:val="Normal"/>
        <w:numPr>
          <w:ilvl w:val="2"/>
          <w:numId w:val="36"/>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location of the courses or programs;</w:t>
      </w:r>
    </w:p>
    <w:p>
      <w:pPr>
        <w:pStyle w:val="Normal"/>
        <w:numPr>
          <w:ilvl w:val="2"/>
          <w:numId w:val="36"/>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The number and type of education credit hours requested for each course;</w:t>
      </w:r>
    </w:p>
    <w:p>
      <w:pPr>
        <w:pStyle w:val="Normal"/>
        <w:numPr>
          <w:ilvl w:val="2"/>
          <w:numId w:val="36"/>
        </w:numPr>
        <w:tabs>
          <w:tab w:val="clear" w:pos="720"/>
          <w:tab w:val="left" w:pos="1241"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Topic outlines, which list the summarized topics, covered in each course and upon request a copy of any course materials;</w:t>
      </w:r>
    </w:p>
    <w:p>
      <w:pPr>
        <w:pStyle w:val="Normal"/>
        <w:numPr>
          <w:ilvl w:val="2"/>
          <w:numId w:val="36"/>
        </w:numPr>
        <w:tabs>
          <w:tab w:val="clear" w:pos="720"/>
          <w:tab w:val="left" w:pos="1240"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If a prior approved course has substantially changed, a summarization of these records;</w:t>
      </w:r>
    </w:p>
    <w:p>
      <w:pPr>
        <w:pStyle w:val="Normal"/>
        <w:numPr>
          <w:ilvl w:val="2"/>
          <w:numId w:val="36"/>
        </w:numPr>
        <w:tabs>
          <w:tab w:val="clear" w:pos="720"/>
          <w:tab w:val="left" w:pos="1240"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names and qualifications of each instructor who is qualified in accordance with OAC 158:70-9-4;</w:t>
      </w:r>
    </w:p>
    <w:p>
      <w:pPr>
        <w:pStyle w:val="Normal"/>
        <w:numPr>
          <w:ilvl w:val="2"/>
          <w:numId w:val="36"/>
        </w:numPr>
        <w:tabs>
          <w:tab w:val="clear" w:pos="720"/>
          <w:tab w:val="left" w:pos="1133" w:leader="none"/>
        </w:tabs>
        <w:spacing w:lineRule="auto" w:line="237"/>
        <w:ind w:start="720" w:end="0"/>
        <w:rPr>
          <w:rFonts w:ascii="Times New Roman" w:hAnsi="Times New Roman" w:eastAsia="Times New Roman" w:cs="Times New Roman"/>
          <w:sz w:val="24"/>
        </w:rPr>
      </w:pPr>
      <w:r>
        <w:rPr>
          <w:rFonts w:eastAsia="Times New Roman" w:cs="Times New Roman" w:ascii="Times New Roman" w:hAnsi="Times New Roman"/>
          <w:sz w:val="24"/>
        </w:rPr>
        <w:t>Information demonstrating the proposed home inspection training program meets the education standards for licensing; and,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6"/>
        </w:numPr>
        <w:tabs>
          <w:tab w:val="clear" w:pos="720"/>
          <w:tab w:val="left" w:pos="1120"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Information demonstrating the proposed continuing education course meets the standard provided in OAC 158:70-9-5(b).</w:t>
      </w:r>
    </w:p>
    <w:p>
      <w:pPr>
        <w:pStyle w:val="Normal"/>
        <w:numPr>
          <w:ilvl w:val="0"/>
          <w:numId w:val="37"/>
        </w:numPr>
        <w:tabs>
          <w:tab w:val="clear" w:pos="720"/>
          <w:tab w:val="left" w:pos="508"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Board may automatically accept without further review, courses pre-approved by the Committee.</w:t>
      </w:r>
    </w:p>
    <w:p>
      <w:pPr>
        <w:pStyle w:val="Normal"/>
        <w:numPr>
          <w:ilvl w:val="0"/>
          <w:numId w:val="37"/>
        </w:numPr>
        <w:tabs>
          <w:tab w:val="clear" w:pos="720"/>
          <w:tab w:val="left" w:pos="522"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Committee may withhold or withdraw approval of any provider for violation of or non-compliance with any provision of this section.</w:t>
      </w:r>
    </w:p>
    <w:p>
      <w:pPr>
        <w:pStyle w:val="Normal"/>
        <w:numPr>
          <w:ilvl w:val="0"/>
          <w:numId w:val="37"/>
        </w:numPr>
        <w:tabs>
          <w:tab w:val="clear" w:pos="720"/>
          <w:tab w:val="left" w:pos="506"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No person or entity sponsoring or conducting a course shall advertise that it is endorsed, recommended, or accredited by the Committee. All advertising must include the course ID number and the number of hours of CE credit approved by the Committee, except for advertising that refers or links to a website that displays the required information including the course ID in the website material that advertises or refers to the home inspection class.</w:t>
      </w:r>
    </w:p>
    <w:p>
      <w:pPr>
        <w:pStyle w:val="Normal"/>
        <w:numPr>
          <w:ilvl w:val="0"/>
          <w:numId w:val="37"/>
        </w:numPr>
        <w:tabs>
          <w:tab w:val="clear" w:pos="720"/>
          <w:tab w:val="left" w:pos="480"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The Committee may decline to renew, or revoke the approval of any qualifying course or any instructor or entity previously approved to conduct a home inspection training course upon a showing or demonstration that the course, instructor or entity has substantially failed to adequately prepare its attendees or participants to pass the national Home Inspection Examination or similar qualifying examination.</w:t>
      </w:r>
    </w:p>
    <w:p>
      <w:pPr>
        <w:pStyle w:val="Normal"/>
        <w:numPr>
          <w:ilvl w:val="0"/>
          <w:numId w:val="37"/>
        </w:numPr>
        <w:tabs>
          <w:tab w:val="clear" w:pos="720"/>
          <w:tab w:val="left" w:pos="511"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Each course is to be submitted on a separate application for each date, or dates, that constitute a single course.</w:t>
      </w:r>
    </w:p>
    <w:p>
      <w:pPr>
        <w:pStyle w:val="Normal"/>
        <w:numPr>
          <w:ilvl w:val="0"/>
          <w:numId w:val="37"/>
        </w:numPr>
        <w:tabs>
          <w:tab w:val="clear" w:pos="720"/>
          <w:tab w:val="left" w:pos="405" w:leader="none"/>
        </w:tabs>
        <w:spacing w:lineRule="auto" w:line="268"/>
        <w:rPr>
          <w:rFonts w:ascii="Times New Roman" w:hAnsi="Times New Roman" w:eastAsia="Times New Roman" w:cs="Times New Roman"/>
          <w:sz w:val="24"/>
        </w:rPr>
      </w:pPr>
      <w:r>
        <w:rPr>
          <w:rFonts w:eastAsia="Times New Roman" w:cs="Times New Roman" w:ascii="Times New Roman" w:hAnsi="Times New Roman"/>
          <w:sz w:val="24"/>
        </w:rPr>
        <w:t>Applications for approval of online or correspondence courses shall be resubmitted annually, from date of approval, for review and approval.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16</w:t>
      </w:r>
    </w:p>
    <w:p>
      <w:pPr>
        <w:pStyle w:val="Normal"/>
        <w:spacing w:lineRule="atLeast" w:line="0"/>
        <w:ind w:start="6960" w:end="0"/>
        <w:rPr>
          <w:rFonts w:ascii="Times New Roman" w:hAnsi="Times New Roman" w:eastAsia="Times New Roman" w:cs="Times New Roman"/>
          <w:sz w:val="15"/>
        </w:rPr>
      </w:pPr>
      <w:bookmarkStart w:id="16" w:name="page17"/>
      <w:bookmarkEnd w:id="16"/>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8"/>
        </w:numPr>
        <w:tabs>
          <w:tab w:val="clear" w:pos="720"/>
          <w:tab w:val="left" w:pos="378" w:leader="none"/>
        </w:tabs>
        <w:spacing w:lineRule="auto" w:line="256"/>
        <w:jc w:val="both"/>
        <w:rPr>
          <w:rFonts w:ascii="Times New Roman" w:hAnsi="Times New Roman" w:eastAsia="Times New Roman" w:cs="Times New Roman"/>
          <w:sz w:val="24"/>
        </w:rPr>
      </w:pPr>
      <w:r>
        <w:rPr>
          <w:rFonts w:eastAsia="Times New Roman" w:cs="Times New Roman" w:ascii="Times New Roman" w:hAnsi="Times New Roman"/>
          <w:sz w:val="24"/>
        </w:rPr>
        <w:t>The course, including the named advertised participants, must be conducted substantially as approved, including lunch and breaks shown on the approved agenda, subject to emergency withdrawals and alterations.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rPr/>
      </w:pPr>
      <w:r>
        <w:rPr>
          <w:rFonts w:eastAsia="Times New Roman" w:cs="Times New Roman" w:ascii="Times New Roman" w:hAnsi="Times New Roman"/>
          <w:sz w:val="16"/>
        </w:rPr>
        <w:t>[</w:t>
      </w:r>
      <w:r>
        <w:rPr>
          <w:rFonts w:eastAsia="Times New Roman" w:cs="Times New Roman" w:ascii="Times New Roman" w:hAnsi="Times New Roman"/>
          <w:b/>
          <w:sz w:val="16"/>
        </w:rPr>
        <w:t>Source:</w:t>
      </w:r>
      <w:r>
        <w:rPr>
          <w:rFonts w:eastAsia="Times New Roman" w:cs="Times New Roman" w:ascii="Times New Roman" w:hAnsi="Times New Roman"/>
          <w:sz w:val="16"/>
        </w:rPr>
        <w:t xml:space="preserve"> Added at 26 Ok Reg 390, eff 11-14-08 (emergency); Added at 26 Ok Reg 2463, eff 7-11-09</w:t>
      </w:r>
      <w:r>
        <w:rPr>
          <w:rFonts w:eastAsia="Times New Roman" w:cs="Times New Roman" w:ascii="Times New Roman" w:hAnsi="Times New Roman"/>
          <w:i/>
          <w:sz w:val="16"/>
        </w:rPr>
        <w:t>; Amended at 31 Ok Reg 933, eff 9-12-14; Amended at 32 Ok Reg 1649, eff 9-11-15; Amended at 34 Ok Reg 894, eff 10-1-17]</w:t>
      </w:r>
    </w:p>
    <w:p>
      <w:pPr>
        <w:pStyle w:val="Normal"/>
        <w:spacing w:lineRule="exact" w:line="39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158:70-9-4. Instructor requirements</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9"/>
        </w:numPr>
        <w:tabs>
          <w:tab w:val="clear" w:pos="720"/>
          <w:tab w:val="left" w:pos="500" w:leader="none"/>
        </w:tabs>
        <w:spacing w:lineRule="atLeast" w:line="0"/>
        <w:ind w:hanging="500" w:start="500" w:end="0"/>
        <w:rPr>
          <w:rFonts w:ascii="Times New Roman" w:hAnsi="Times New Roman" w:eastAsia="Times New Roman" w:cs="Times New Roman"/>
          <w:sz w:val="24"/>
        </w:rPr>
      </w:pPr>
      <w:r>
        <w:rPr>
          <w:rFonts w:eastAsia="Times New Roman" w:cs="Times New Roman" w:ascii="Times New Roman" w:hAnsi="Times New Roman"/>
          <w:b/>
          <w:sz w:val="24"/>
        </w:rPr>
        <w:t>Instructor qualifications.</w:t>
      </w:r>
      <w:r>
        <w:rPr>
          <w:rFonts w:eastAsia="Times New Roman" w:cs="Times New Roman" w:ascii="Times New Roman" w:hAnsi="Times New Roman"/>
          <w:sz w:val="24"/>
        </w:rPr>
        <w:t xml:space="preserve"> An instructor should have one of the following qualifications:</w:t>
      </w:r>
    </w:p>
    <w:p>
      <w:pPr>
        <w:pStyle w:val="Normal"/>
        <w:numPr>
          <w:ilvl w:val="1"/>
          <w:numId w:val="39"/>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Three (3) years of recent experience in the subject matter being taught; or</w:t>
      </w:r>
    </w:p>
    <w:p>
      <w:pPr>
        <w:pStyle w:val="Normal"/>
        <w:numPr>
          <w:ilvl w:val="1"/>
          <w:numId w:val="39"/>
        </w:numPr>
        <w:tabs>
          <w:tab w:val="clear" w:pos="720"/>
          <w:tab w:val="left" w:pos="1240" w:leader="none"/>
        </w:tabs>
        <w:spacing w:lineRule="atLeast" w:line="0"/>
        <w:ind w:hanging="520" w:start="1240" w:end="0"/>
        <w:rPr>
          <w:rFonts w:ascii="Times New Roman" w:hAnsi="Times New Roman" w:eastAsia="Times New Roman" w:cs="Times New Roman"/>
          <w:sz w:val="24"/>
        </w:rPr>
      </w:pPr>
      <w:r>
        <w:rPr>
          <w:rFonts w:eastAsia="Times New Roman" w:cs="Times New Roman" w:ascii="Times New Roman" w:hAnsi="Times New Roman"/>
          <w:sz w:val="24"/>
        </w:rPr>
        <w:t>A degree related to the subject area being taught; or</w:t>
      </w:r>
    </w:p>
    <w:p>
      <w:pPr>
        <w:pStyle w:val="Normal"/>
        <w:numPr>
          <w:ilvl w:val="1"/>
          <w:numId w:val="39"/>
        </w:numPr>
        <w:tabs>
          <w:tab w:val="clear" w:pos="720"/>
          <w:tab w:val="left" w:pos="1240"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Two (2) years of recent experience in the subject area being taught and twelve (12) hours of college credit and/or vocational technical school credit hours in the subject being taught; or</w:t>
      </w:r>
    </w:p>
    <w:p>
      <w:pPr>
        <w:pStyle w:val="Normal"/>
        <w:numPr>
          <w:ilvl w:val="1"/>
          <w:numId w:val="39"/>
        </w:numPr>
        <w:tabs>
          <w:tab w:val="clear" w:pos="720"/>
          <w:tab w:val="left" w:pos="1241"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Other educational, teaching, or professional qualifications determined by the Committee which constitute an equivalent to one or more of the qualifications in the previously stated sub-paragraphs (1), (2), and (3) of this paragraph.</w:t>
      </w:r>
    </w:p>
    <w:p>
      <w:pPr>
        <w:pStyle w:val="Normal"/>
        <w:numPr>
          <w:ilvl w:val="0"/>
          <w:numId w:val="39"/>
        </w:numPr>
        <w:tabs>
          <w:tab w:val="clear" w:pos="720"/>
          <w:tab w:val="left" w:pos="521"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b/>
          <w:sz w:val="24"/>
        </w:rPr>
        <w:t>Instructor renewal.</w:t>
      </w:r>
      <w:r>
        <w:rPr>
          <w:rFonts w:eastAsia="Times New Roman" w:cs="Times New Roman" w:ascii="Times New Roman" w:hAnsi="Times New Roman"/>
          <w:sz w:val="24"/>
        </w:rPr>
        <w:t xml:space="preserve"> In order to maintain approved status, an instructor must furnish evidence that the instructor has taught a Committee approved course, or any other CE course the Committee determines to be equivalent, within a required thirty-six (36) month period.</w:t>
      </w:r>
    </w:p>
    <w:p>
      <w:pPr>
        <w:pStyle w:val="Normal"/>
        <w:numPr>
          <w:ilvl w:val="0"/>
          <w:numId w:val="39"/>
        </w:numPr>
        <w:tabs>
          <w:tab w:val="clear" w:pos="720"/>
          <w:tab w:val="left" w:pos="508" w:leader="none"/>
        </w:tabs>
        <w:spacing w:lineRule="auto" w:line="268"/>
        <w:rPr>
          <w:rFonts w:ascii="Times New Roman" w:hAnsi="Times New Roman" w:eastAsia="Times New Roman" w:cs="Times New Roman"/>
          <w:sz w:val="24"/>
        </w:rPr>
      </w:pPr>
      <w:r>
        <w:rPr>
          <w:rFonts w:eastAsia="Times New Roman" w:cs="Times New Roman" w:ascii="Times New Roman" w:hAnsi="Times New Roman"/>
          <w:b/>
          <w:sz w:val="24"/>
        </w:rPr>
        <w:t>Re-application.</w:t>
      </w:r>
      <w:r>
        <w:rPr>
          <w:rFonts w:eastAsia="Times New Roman" w:cs="Times New Roman" w:ascii="Times New Roman" w:hAnsi="Times New Roman"/>
          <w:sz w:val="24"/>
        </w:rPr>
        <w:t xml:space="preserve"> Any instructor not meeting the requirements of this subsection will be required to re-apply as an original instructor applicant.</w: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11 -14-08 (emergency); Added at 26 Ok Reg 2463, eff 7-11-09; Amended at 31 Ok Reg 933, eff 9-12-14; Amended at 32 Ok Reg 1649, eff 9-11-15]</w:t>
      </w:r>
    </w:p>
    <w:p>
      <w:pPr>
        <w:pStyle w:val="Normal"/>
        <w:spacing w:lineRule="exact" w:line="394"/>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158:70-9-5. Continuing education</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0"/>
        </w:numPr>
        <w:tabs>
          <w:tab w:val="clear" w:pos="720"/>
          <w:tab w:val="left" w:pos="386"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b/>
          <w:sz w:val="24"/>
        </w:rPr>
        <w:t>Continuing education hours.</w:t>
      </w:r>
      <w:r>
        <w:rPr>
          <w:rFonts w:eastAsia="Times New Roman" w:cs="Times New Roman" w:ascii="Times New Roman" w:hAnsi="Times New Roman"/>
          <w:sz w:val="24"/>
        </w:rPr>
        <w:t xml:space="preserve"> No home inspection license shall be renewed unless the licensee has completed at least eight (8) credit hours, consisting of no more than two (2) hours of Ancillary Systems topics per year, of continuing education prior to the date of renewal.</w:t>
      </w:r>
    </w:p>
    <w:p>
      <w:pPr>
        <w:pStyle w:val="Normal"/>
        <w:numPr>
          <w:ilvl w:val="0"/>
          <w:numId w:val="40"/>
        </w:numPr>
        <w:tabs>
          <w:tab w:val="clear" w:pos="720"/>
          <w:tab w:val="left" w:pos="428" w:leader="none"/>
        </w:tabs>
        <w:spacing w:lineRule="atLeast" w:line="0"/>
        <w:rPr>
          <w:rFonts w:ascii="Times New Roman" w:hAnsi="Times New Roman" w:eastAsia="Times New Roman" w:cs="Times New Roman"/>
          <w:sz w:val="24"/>
        </w:rPr>
      </w:pPr>
      <w:r>
        <w:rPr>
          <w:rFonts w:eastAsia="Times New Roman" w:cs="Times New Roman" w:ascii="Times New Roman" w:hAnsi="Times New Roman"/>
          <w:b/>
          <w:sz w:val="24"/>
        </w:rPr>
        <w:t>Special approval requirements for continuing education.</w:t>
      </w:r>
      <w:r>
        <w:rPr>
          <w:rFonts w:eastAsia="Times New Roman" w:cs="Times New Roman" w:ascii="Times New Roman" w:hAnsi="Times New Roman"/>
          <w:sz w:val="24"/>
        </w:rPr>
        <w:t xml:space="preserve"> All continuing education providers shall abide by the following requirements:</w:t>
      </w:r>
    </w:p>
    <w:p>
      <w:pPr>
        <w:pStyle w:val="Normal"/>
        <w:numPr>
          <w:ilvl w:val="1"/>
          <w:numId w:val="40"/>
        </w:numPr>
        <w:tabs>
          <w:tab w:val="clear" w:pos="720"/>
          <w:tab w:val="left" w:pos="1061"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Course content should be designed to update knowledge and improve inspection skills directly related to the components and systems described in Subchapter 1 of this Chapter.</w:t>
      </w:r>
    </w:p>
    <w:p>
      <w:pPr>
        <w:pStyle w:val="Normal"/>
        <w:numPr>
          <w:ilvl w:val="1"/>
          <w:numId w:val="40"/>
        </w:numPr>
        <w:tabs>
          <w:tab w:val="clear" w:pos="720"/>
          <w:tab w:val="left" w:pos="1089"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All courses shall be at least two (2) hours in length. Recommended curriculum for Committee approval may cover, but it is not limited to, the following topics related to residential real property of four or fewer residences: (Approval of Continuing Education material is not an endorsement or underwriting of the subject content or the presentation.)</w:t>
      </w:r>
    </w:p>
    <w:p>
      <w:pPr>
        <w:pStyle w:val="Normal"/>
        <w:numPr>
          <w:ilvl w:val="2"/>
          <w:numId w:val="40"/>
        </w:numPr>
        <w:tabs>
          <w:tab w:val="clear" w:pos="720"/>
          <w:tab w:val="left" w:pos="1800" w:leader="none"/>
        </w:tabs>
        <w:spacing w:lineRule="atLeast" w:line="0"/>
        <w:ind w:hanging="540" w:start="1800" w:end="0"/>
        <w:rPr>
          <w:rFonts w:ascii="Times New Roman" w:hAnsi="Times New Roman" w:eastAsia="Times New Roman" w:cs="Times New Roman"/>
          <w:sz w:val="24"/>
        </w:rPr>
      </w:pPr>
      <w:r>
        <w:rPr>
          <w:rFonts w:eastAsia="Times New Roman" w:cs="Times New Roman" w:ascii="Times New Roman" w:hAnsi="Times New Roman"/>
          <w:sz w:val="24"/>
        </w:rPr>
        <w:t>structural systems</w:t>
      </w:r>
    </w:p>
    <w:p>
      <w:pPr>
        <w:pStyle w:val="Normal"/>
        <w:numPr>
          <w:ilvl w:val="2"/>
          <w:numId w:val="40"/>
        </w:numPr>
        <w:tabs>
          <w:tab w:val="clear" w:pos="720"/>
          <w:tab w:val="left" w:pos="1800" w:leader="none"/>
        </w:tabs>
        <w:spacing w:lineRule="atLeast" w:line="0"/>
        <w:ind w:hanging="540" w:start="1800" w:end="0"/>
        <w:rPr>
          <w:rFonts w:ascii="Times New Roman" w:hAnsi="Times New Roman" w:eastAsia="Times New Roman" w:cs="Times New Roman"/>
          <w:sz w:val="24"/>
        </w:rPr>
      </w:pPr>
      <w:r>
        <w:rPr>
          <w:rFonts w:eastAsia="Times New Roman" w:cs="Times New Roman" w:ascii="Times New Roman" w:hAnsi="Times New Roman"/>
          <w:sz w:val="24"/>
        </w:rPr>
        <w:t>foundations, basements, grading and drainage</w:t>
      </w:r>
    </w:p>
    <w:p>
      <w:pPr>
        <w:pStyle w:val="Normal"/>
        <w:numPr>
          <w:ilvl w:val="2"/>
          <w:numId w:val="40"/>
        </w:numPr>
        <w:tabs>
          <w:tab w:val="clear" w:pos="720"/>
          <w:tab w:val="left" w:pos="1800" w:leader="none"/>
        </w:tabs>
        <w:spacing w:lineRule="atLeast" w:line="0"/>
        <w:ind w:hanging="540" w:start="1800" w:end="0"/>
        <w:rPr>
          <w:rFonts w:ascii="Times New Roman" w:hAnsi="Times New Roman" w:eastAsia="Times New Roman" w:cs="Times New Roman"/>
          <w:sz w:val="24"/>
        </w:rPr>
      </w:pPr>
      <w:r>
        <w:rPr>
          <w:rFonts w:eastAsia="Times New Roman" w:cs="Times New Roman" w:ascii="Times New Roman" w:hAnsi="Times New Roman"/>
          <w:sz w:val="24"/>
        </w:rPr>
        <w:t>interior walls, windows, doors, stairways, ceilings and floors</w:t>
      </w:r>
    </w:p>
    <w:p>
      <w:pPr>
        <w:pStyle w:val="Normal"/>
        <w:numPr>
          <w:ilvl w:val="2"/>
          <w:numId w:val="40"/>
        </w:numPr>
        <w:tabs>
          <w:tab w:val="clear" w:pos="720"/>
          <w:tab w:val="left" w:pos="1800" w:leader="none"/>
        </w:tabs>
        <w:spacing w:lineRule="atLeast" w:line="0"/>
        <w:ind w:hanging="540" w:start="1800" w:end="0"/>
        <w:rPr>
          <w:rFonts w:ascii="Times New Roman" w:hAnsi="Times New Roman" w:eastAsia="Times New Roman" w:cs="Times New Roman"/>
          <w:sz w:val="24"/>
        </w:rPr>
      </w:pPr>
      <w:r>
        <w:rPr>
          <w:rFonts w:eastAsia="Times New Roman" w:cs="Times New Roman" w:ascii="Times New Roman" w:hAnsi="Times New Roman"/>
          <w:sz w:val="24"/>
        </w:rPr>
        <w:t>exterior walls, windows, doors, and stairways</w:t>
      </w:r>
    </w:p>
    <w:p>
      <w:pPr>
        <w:pStyle w:val="Normal"/>
        <w:numPr>
          <w:ilvl w:val="2"/>
          <w:numId w:val="40"/>
        </w:numPr>
        <w:tabs>
          <w:tab w:val="clear" w:pos="720"/>
          <w:tab w:val="left" w:pos="1800" w:leader="none"/>
        </w:tabs>
        <w:spacing w:lineRule="atLeast" w:line="0"/>
        <w:ind w:hanging="540" w:start="1800" w:end="0"/>
        <w:rPr>
          <w:rFonts w:ascii="Times New Roman" w:hAnsi="Times New Roman" w:eastAsia="Times New Roman" w:cs="Times New Roman"/>
          <w:sz w:val="24"/>
        </w:rPr>
      </w:pPr>
      <w:r>
        <w:rPr>
          <w:rFonts w:eastAsia="Times New Roman" w:cs="Times New Roman" w:ascii="Times New Roman" w:hAnsi="Times New Roman"/>
          <w:sz w:val="24"/>
        </w:rPr>
        <w:t>exterior coatings, claddings and glazing</w:t>
      </w:r>
    </w:p>
    <w:p>
      <w:pPr>
        <w:pStyle w:val="Normal"/>
        <w:numPr>
          <w:ilvl w:val="2"/>
          <w:numId w:val="40"/>
        </w:numPr>
        <w:tabs>
          <w:tab w:val="clear" w:pos="720"/>
          <w:tab w:val="left" w:pos="1800" w:leader="none"/>
        </w:tabs>
        <w:spacing w:lineRule="atLeast" w:line="0"/>
        <w:ind w:hanging="540" w:start="1800" w:end="0"/>
        <w:rPr>
          <w:rFonts w:ascii="Times New Roman" w:hAnsi="Times New Roman" w:eastAsia="Times New Roman" w:cs="Times New Roman"/>
          <w:sz w:val="24"/>
        </w:rPr>
      </w:pPr>
      <w:r>
        <w:rPr>
          <w:rFonts w:eastAsia="Times New Roman" w:cs="Times New Roman" w:ascii="Times New Roman" w:hAnsi="Times New Roman"/>
          <w:sz w:val="24"/>
        </w:rPr>
        <w:t>roof structure, coverings, penetrations, drainage and attics</w:t>
      </w:r>
    </w:p>
    <w:p>
      <w:pPr>
        <w:pStyle w:val="Normal"/>
        <w:numPr>
          <w:ilvl w:val="2"/>
          <w:numId w:val="40"/>
        </w:numPr>
        <w:tabs>
          <w:tab w:val="clear" w:pos="720"/>
          <w:tab w:val="left" w:pos="1800" w:leader="none"/>
        </w:tabs>
        <w:spacing w:lineRule="atLeast" w:line="0"/>
        <w:ind w:hanging="540" w:start="1800" w:end="0"/>
        <w:rPr>
          <w:rFonts w:ascii="Times New Roman" w:hAnsi="Times New Roman" w:eastAsia="Times New Roman" w:cs="Times New Roman"/>
          <w:sz w:val="24"/>
        </w:rPr>
      </w:pPr>
      <w:r>
        <w:rPr>
          <w:rFonts w:eastAsia="Times New Roman" w:cs="Times New Roman" w:ascii="Times New Roman" w:hAnsi="Times New Roman"/>
          <w:sz w:val="24"/>
        </w:rPr>
        <w:t>porches, decks, driveways and walkways</w:t>
      </w:r>
    </w:p>
    <w:p>
      <w:pPr>
        <w:pStyle w:val="Normal"/>
        <w:numPr>
          <w:ilvl w:val="2"/>
          <w:numId w:val="40"/>
        </w:numPr>
        <w:tabs>
          <w:tab w:val="clear" w:pos="720"/>
          <w:tab w:val="left" w:pos="1800" w:leader="none"/>
        </w:tabs>
        <w:spacing w:lineRule="atLeast" w:line="0"/>
        <w:ind w:hanging="540" w:start="1800" w:end="0"/>
        <w:rPr>
          <w:rFonts w:ascii="Times New Roman" w:hAnsi="Times New Roman" w:eastAsia="Times New Roman" w:cs="Times New Roman"/>
          <w:sz w:val="24"/>
        </w:rPr>
      </w:pPr>
      <w:r>
        <w:rPr>
          <w:rFonts w:eastAsia="Times New Roman" w:cs="Times New Roman" w:ascii="Times New Roman" w:hAnsi="Times New Roman"/>
          <w:sz w:val="24"/>
        </w:rPr>
        <w:t>railings and assistive devices</w:t>
      </w:r>
    </w:p>
    <w:p>
      <w:pPr>
        <w:pStyle w:val="Normal"/>
        <w:numPr>
          <w:ilvl w:val="2"/>
          <w:numId w:val="40"/>
        </w:numPr>
        <w:tabs>
          <w:tab w:val="clear" w:pos="720"/>
          <w:tab w:val="left" w:pos="1800" w:leader="none"/>
        </w:tabs>
        <w:spacing w:lineRule="atLeast" w:line="0"/>
        <w:ind w:hanging="540" w:start="1800" w:end="0"/>
        <w:rPr>
          <w:rFonts w:ascii="Times New Roman" w:hAnsi="Times New Roman" w:eastAsia="Times New Roman" w:cs="Times New Roman"/>
          <w:sz w:val="24"/>
        </w:rPr>
      </w:pPr>
      <w:r>
        <w:rPr>
          <w:rFonts w:eastAsia="Times New Roman" w:cs="Times New Roman" w:ascii="Times New Roman" w:hAnsi="Times New Roman"/>
          <w:sz w:val="24"/>
        </w:rPr>
        <w:t>thermal insulation, air penetration, and moisture barriers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17</w:t>
      </w:r>
    </w:p>
    <w:p>
      <w:pPr>
        <w:pStyle w:val="Normal"/>
        <w:spacing w:lineRule="atLeast" w:line="0"/>
        <w:ind w:start="6960" w:end="0"/>
        <w:rPr>
          <w:rFonts w:ascii="Times New Roman" w:hAnsi="Times New Roman" w:eastAsia="Times New Roman" w:cs="Times New Roman"/>
          <w:sz w:val="15"/>
        </w:rPr>
      </w:pPr>
      <w:bookmarkStart w:id="17" w:name="page18"/>
      <w:bookmarkEnd w:id="17"/>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1"/>
        </w:numPr>
        <w:tabs>
          <w:tab w:val="clear" w:pos="720"/>
          <w:tab w:val="left" w:pos="1799" w:leader="none"/>
        </w:tabs>
        <w:spacing w:lineRule="auto" w:line="242"/>
        <w:ind w:start="1260" w:end="0"/>
        <w:rPr>
          <w:rFonts w:ascii="Times New Roman" w:hAnsi="Times New Roman" w:eastAsia="Times New Roman" w:cs="Times New Roman"/>
          <w:sz w:val="24"/>
        </w:rPr>
      </w:pPr>
      <w:r>
        <w:rPr>
          <w:rFonts w:eastAsia="Times New Roman" w:cs="Times New Roman" w:ascii="Times New Roman" w:hAnsi="Times New Roman"/>
          <w:sz w:val="24"/>
        </w:rPr>
        <w:t>electrical service entrances, panels, branch electrical circuits, connected devices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1"/>
        </w:numPr>
        <w:tabs>
          <w:tab w:val="clear" w:pos="720"/>
          <w:tab w:val="left" w:pos="1746" w:leader="none"/>
        </w:tabs>
        <w:spacing w:lineRule="atLeast" w:line="0"/>
        <w:ind w:start="1260" w:end="0"/>
        <w:rPr>
          <w:rFonts w:ascii="Times New Roman" w:hAnsi="Times New Roman" w:eastAsia="Times New Roman" w:cs="Times New Roman"/>
          <w:sz w:val="24"/>
        </w:rPr>
      </w:pPr>
      <w:r>
        <w:rPr>
          <w:rFonts w:eastAsia="Times New Roman" w:cs="Times New Roman" w:ascii="Times New Roman" w:hAnsi="Times New Roman"/>
          <w:sz w:val="24"/>
        </w:rPr>
        <w:t>environmental heating, cooling ventilation, and air conditioning devices, controls and distribution systems</w:t>
      </w:r>
    </w:p>
    <w:p>
      <w:pPr>
        <w:pStyle w:val="Normal"/>
        <w:numPr>
          <w:ilvl w:val="1"/>
          <w:numId w:val="41"/>
        </w:numPr>
        <w:tabs>
          <w:tab w:val="clear" w:pos="720"/>
          <w:tab w:val="left" w:pos="1800" w:leader="none"/>
        </w:tabs>
        <w:spacing w:lineRule="atLeast" w:line="0"/>
        <w:ind w:hanging="540" w:start="1800" w:end="0"/>
        <w:rPr>
          <w:rFonts w:ascii="Times New Roman" w:hAnsi="Times New Roman" w:eastAsia="Times New Roman" w:cs="Times New Roman"/>
          <w:sz w:val="24"/>
        </w:rPr>
      </w:pPr>
      <w:r>
        <w:rPr>
          <w:rFonts w:eastAsia="Times New Roman" w:cs="Times New Roman" w:ascii="Times New Roman" w:hAnsi="Times New Roman"/>
          <w:sz w:val="24"/>
        </w:rPr>
        <w:t>solid, liquid, and gas fuel heating systems</w:t>
      </w:r>
    </w:p>
    <w:p>
      <w:pPr>
        <w:pStyle w:val="Normal"/>
        <w:numPr>
          <w:ilvl w:val="1"/>
          <w:numId w:val="41"/>
        </w:numPr>
        <w:tabs>
          <w:tab w:val="clear" w:pos="720"/>
          <w:tab w:val="left" w:pos="1800" w:leader="none"/>
        </w:tabs>
        <w:spacing w:lineRule="atLeast" w:line="0"/>
        <w:ind w:start="1260" w:end="0"/>
        <w:rPr>
          <w:rFonts w:ascii="Times New Roman" w:hAnsi="Times New Roman" w:eastAsia="Times New Roman" w:cs="Times New Roman"/>
          <w:sz w:val="24"/>
        </w:rPr>
      </w:pPr>
      <w:r>
        <w:rPr>
          <w:rFonts w:eastAsia="Times New Roman" w:cs="Times New Roman" w:ascii="Times New Roman" w:hAnsi="Times New Roman"/>
          <w:sz w:val="24"/>
        </w:rPr>
        <w:t>electrical heating and cooling systems chimneys, ductwork, vents, fans and flues (including dryer vents)</w:t>
      </w:r>
    </w:p>
    <w:p>
      <w:pPr>
        <w:pStyle w:val="Normal"/>
        <w:numPr>
          <w:ilvl w:val="1"/>
          <w:numId w:val="41"/>
        </w:numPr>
        <w:tabs>
          <w:tab w:val="clear" w:pos="720"/>
          <w:tab w:val="left" w:pos="1800" w:leader="none"/>
        </w:tabs>
        <w:spacing w:lineRule="atLeast" w:line="0"/>
        <w:ind w:hanging="540" w:start="1800" w:end="0"/>
        <w:rPr>
          <w:rFonts w:ascii="Times New Roman" w:hAnsi="Times New Roman" w:eastAsia="Times New Roman" w:cs="Times New Roman"/>
          <w:sz w:val="24"/>
        </w:rPr>
      </w:pPr>
      <w:r>
        <w:rPr>
          <w:rFonts w:eastAsia="Times New Roman" w:cs="Times New Roman" w:ascii="Times New Roman" w:hAnsi="Times New Roman"/>
          <w:sz w:val="24"/>
        </w:rPr>
        <w:t>home inspection administrative subjects</w:t>
      </w:r>
    </w:p>
    <w:p>
      <w:pPr>
        <w:pStyle w:val="Normal"/>
        <w:numPr>
          <w:ilvl w:val="2"/>
          <w:numId w:val="41"/>
        </w:numPr>
        <w:tabs>
          <w:tab w:val="clear" w:pos="720"/>
          <w:tab w:val="left" w:pos="2320" w:leader="none"/>
        </w:tabs>
        <w:spacing w:lineRule="atLeast" w:line="0"/>
        <w:ind w:hanging="520" w:start="2320" w:end="0"/>
        <w:rPr>
          <w:rFonts w:ascii="Times New Roman" w:hAnsi="Times New Roman" w:eastAsia="Times New Roman" w:cs="Times New Roman"/>
          <w:sz w:val="24"/>
        </w:rPr>
      </w:pPr>
      <w:r>
        <w:rPr>
          <w:rFonts w:eastAsia="Times New Roman" w:cs="Times New Roman" w:ascii="Times New Roman" w:hAnsi="Times New Roman"/>
          <w:sz w:val="24"/>
        </w:rPr>
        <w:t>Oklahoma home inspection laws and regulations</w:t>
      </w:r>
    </w:p>
    <w:p>
      <w:pPr>
        <w:pStyle w:val="Normal"/>
        <w:numPr>
          <w:ilvl w:val="2"/>
          <w:numId w:val="41"/>
        </w:numPr>
        <w:tabs>
          <w:tab w:val="clear" w:pos="720"/>
          <w:tab w:val="left" w:pos="2340" w:leader="none"/>
        </w:tabs>
        <w:spacing w:lineRule="atLeast" w:line="0"/>
        <w:ind w:hanging="540" w:start="2340" w:end="0"/>
        <w:rPr>
          <w:rFonts w:ascii="Times New Roman" w:hAnsi="Times New Roman" w:eastAsia="Times New Roman" w:cs="Times New Roman"/>
          <w:sz w:val="24"/>
        </w:rPr>
      </w:pPr>
      <w:r>
        <w:rPr>
          <w:rFonts w:eastAsia="Times New Roman" w:cs="Times New Roman" w:ascii="Times New Roman" w:hAnsi="Times New Roman"/>
          <w:sz w:val="24"/>
        </w:rPr>
        <w:t>Oklahoma Standards of Practice</w:t>
      </w:r>
    </w:p>
    <w:p>
      <w:pPr>
        <w:pStyle w:val="Normal"/>
        <w:numPr>
          <w:ilvl w:val="2"/>
          <w:numId w:val="41"/>
        </w:numPr>
        <w:tabs>
          <w:tab w:val="clear" w:pos="720"/>
          <w:tab w:val="left" w:pos="2340" w:leader="none"/>
        </w:tabs>
        <w:spacing w:lineRule="atLeast" w:line="0"/>
        <w:ind w:hanging="540" w:start="2340" w:end="0"/>
        <w:rPr>
          <w:rFonts w:ascii="Times New Roman" w:hAnsi="Times New Roman" w:eastAsia="Times New Roman" w:cs="Times New Roman"/>
          <w:sz w:val="24"/>
        </w:rPr>
      </w:pPr>
      <w:r>
        <w:rPr>
          <w:rFonts w:eastAsia="Times New Roman" w:cs="Times New Roman" w:ascii="Times New Roman" w:hAnsi="Times New Roman"/>
          <w:sz w:val="24"/>
        </w:rPr>
        <w:t>ethics</w:t>
      </w:r>
    </w:p>
    <w:p>
      <w:pPr>
        <w:pStyle w:val="Normal"/>
        <w:numPr>
          <w:ilvl w:val="2"/>
          <w:numId w:val="41"/>
        </w:numPr>
        <w:tabs>
          <w:tab w:val="clear" w:pos="720"/>
          <w:tab w:val="left" w:pos="2320" w:leader="none"/>
        </w:tabs>
        <w:spacing w:lineRule="atLeast" w:line="0"/>
        <w:ind w:hanging="520" w:start="2320" w:end="0"/>
        <w:rPr>
          <w:rFonts w:ascii="Times New Roman" w:hAnsi="Times New Roman" w:eastAsia="Times New Roman" w:cs="Times New Roman"/>
          <w:sz w:val="24"/>
        </w:rPr>
      </w:pPr>
      <w:r>
        <w:rPr>
          <w:rFonts w:eastAsia="Times New Roman" w:cs="Times New Roman" w:ascii="Times New Roman" w:hAnsi="Times New Roman"/>
          <w:sz w:val="24"/>
        </w:rPr>
        <w:t>Home Inspection documentation, forms and contracts</w:t>
      </w:r>
    </w:p>
    <w:p>
      <w:pPr>
        <w:pStyle w:val="Normal"/>
        <w:numPr>
          <w:ilvl w:val="2"/>
          <w:numId w:val="41"/>
        </w:numPr>
        <w:tabs>
          <w:tab w:val="clear" w:pos="720"/>
          <w:tab w:val="left" w:pos="2340" w:leader="none"/>
        </w:tabs>
        <w:spacing w:lineRule="atLeast" w:line="0"/>
        <w:ind w:hanging="540" w:start="2340" w:end="0"/>
        <w:rPr>
          <w:rFonts w:ascii="Times New Roman" w:hAnsi="Times New Roman" w:eastAsia="Times New Roman" w:cs="Times New Roman"/>
          <w:sz w:val="24"/>
        </w:rPr>
      </w:pPr>
      <w:r>
        <w:rPr>
          <w:rFonts w:eastAsia="Times New Roman" w:cs="Times New Roman" w:ascii="Times New Roman" w:hAnsi="Times New Roman"/>
          <w:sz w:val="24"/>
        </w:rPr>
        <w:t>Report writing and legal ramifications of report content</w:t>
      </w:r>
    </w:p>
    <w:p>
      <w:pPr>
        <w:pStyle w:val="Normal"/>
        <w:numPr>
          <w:ilvl w:val="1"/>
          <w:numId w:val="41"/>
        </w:numPr>
        <w:tabs>
          <w:tab w:val="clear" w:pos="720"/>
          <w:tab w:val="left" w:pos="1720" w:leader="none"/>
        </w:tabs>
        <w:spacing w:lineRule="atLeast" w:line="0"/>
        <w:ind w:hanging="460" w:start="1720" w:end="0"/>
        <w:rPr>
          <w:rFonts w:ascii="Times New Roman" w:hAnsi="Times New Roman" w:eastAsia="Times New Roman" w:cs="Times New Roman"/>
          <w:sz w:val="24"/>
        </w:rPr>
      </w:pPr>
      <w:r>
        <w:rPr>
          <w:rFonts w:eastAsia="Times New Roman" w:cs="Times New Roman" w:ascii="Times New Roman" w:hAnsi="Times New Roman"/>
          <w:sz w:val="24"/>
        </w:rPr>
        <w:t>Ancillary Systems</w:t>
      </w:r>
    </w:p>
    <w:p>
      <w:pPr>
        <w:pStyle w:val="Normal"/>
        <w:numPr>
          <w:ilvl w:val="2"/>
          <w:numId w:val="41"/>
        </w:numPr>
        <w:tabs>
          <w:tab w:val="clear" w:pos="720"/>
          <w:tab w:val="left" w:pos="2140" w:leader="none"/>
        </w:tabs>
        <w:spacing w:lineRule="atLeast" w:line="0"/>
        <w:ind w:hanging="340" w:start="2140" w:end="0"/>
        <w:rPr>
          <w:rFonts w:ascii="Times New Roman" w:hAnsi="Times New Roman" w:eastAsia="Times New Roman" w:cs="Times New Roman"/>
          <w:sz w:val="24"/>
        </w:rPr>
      </w:pPr>
      <w:r>
        <w:rPr>
          <w:rFonts w:eastAsia="Times New Roman" w:cs="Times New Roman" w:ascii="Times New Roman" w:hAnsi="Times New Roman"/>
          <w:sz w:val="24"/>
        </w:rPr>
        <w:t>Plumbing systems, controls, and components (including septic systems)</w:t>
      </w:r>
    </w:p>
    <w:p>
      <w:pPr>
        <w:pStyle w:val="Normal"/>
        <w:numPr>
          <w:ilvl w:val="2"/>
          <w:numId w:val="41"/>
        </w:numPr>
        <w:tabs>
          <w:tab w:val="clear" w:pos="720"/>
          <w:tab w:val="left" w:pos="2214" w:leader="none"/>
        </w:tabs>
        <w:spacing w:lineRule="atLeast" w:line="0"/>
        <w:ind w:start="1800" w:end="1620"/>
        <w:rPr>
          <w:rFonts w:ascii="Times New Roman" w:hAnsi="Times New Roman" w:eastAsia="Times New Roman" w:cs="Times New Roman"/>
          <w:sz w:val="24"/>
        </w:rPr>
      </w:pPr>
      <w:r>
        <w:rPr>
          <w:rFonts w:eastAsia="Times New Roman" w:cs="Times New Roman" w:ascii="Times New Roman" w:hAnsi="Times New Roman"/>
          <w:sz w:val="24"/>
        </w:rPr>
        <w:t>Water supply system, capacities, and components (drilled wells/community water supplies)</w:t>
      </w:r>
    </w:p>
    <w:p>
      <w:pPr>
        <w:pStyle w:val="Normal"/>
        <w:numPr>
          <w:ilvl w:val="2"/>
          <w:numId w:val="41"/>
        </w:numPr>
        <w:tabs>
          <w:tab w:val="clear" w:pos="720"/>
          <w:tab w:val="left" w:pos="2280" w:leader="none"/>
        </w:tabs>
        <w:spacing w:lineRule="atLeast" w:line="0"/>
        <w:ind w:hanging="480" w:start="2280" w:end="0"/>
        <w:rPr>
          <w:rFonts w:ascii="Times New Roman" w:hAnsi="Times New Roman" w:eastAsia="Times New Roman" w:cs="Times New Roman"/>
          <w:sz w:val="24"/>
        </w:rPr>
      </w:pPr>
      <w:r>
        <w:rPr>
          <w:rFonts w:eastAsia="Times New Roman" w:cs="Times New Roman" w:ascii="Times New Roman" w:hAnsi="Times New Roman"/>
          <w:sz w:val="24"/>
        </w:rPr>
        <w:t>Swimming pools, spas and hot tubs</w:t>
      </w:r>
    </w:p>
    <w:p>
      <w:pPr>
        <w:pStyle w:val="Normal"/>
        <w:numPr>
          <w:ilvl w:val="2"/>
          <w:numId w:val="41"/>
        </w:numPr>
        <w:tabs>
          <w:tab w:val="clear" w:pos="720"/>
          <w:tab w:val="left" w:pos="2260" w:leader="none"/>
        </w:tabs>
        <w:spacing w:lineRule="atLeast" w:line="0"/>
        <w:ind w:hanging="460" w:start="2260" w:end="0"/>
        <w:rPr>
          <w:rFonts w:ascii="Times New Roman" w:hAnsi="Times New Roman" w:eastAsia="Times New Roman" w:cs="Times New Roman"/>
          <w:sz w:val="24"/>
        </w:rPr>
      </w:pPr>
      <w:r>
        <w:rPr>
          <w:rFonts w:eastAsia="Times New Roman" w:cs="Times New Roman" w:ascii="Times New Roman" w:hAnsi="Times New Roman"/>
          <w:sz w:val="24"/>
        </w:rPr>
        <w:t>Solar/wind/generator energy systems</w:t>
      </w:r>
    </w:p>
    <w:p>
      <w:pPr>
        <w:pStyle w:val="Normal"/>
        <w:numPr>
          <w:ilvl w:val="2"/>
          <w:numId w:val="41"/>
        </w:numPr>
        <w:tabs>
          <w:tab w:val="clear" w:pos="720"/>
          <w:tab w:val="left" w:pos="2220" w:leader="none"/>
        </w:tabs>
        <w:spacing w:lineRule="atLeast" w:line="0"/>
        <w:ind w:hanging="420" w:start="2220" w:end="0"/>
        <w:rPr>
          <w:rFonts w:ascii="Times New Roman" w:hAnsi="Times New Roman" w:eastAsia="Times New Roman" w:cs="Times New Roman"/>
          <w:sz w:val="24"/>
        </w:rPr>
      </w:pPr>
      <w:r>
        <w:rPr>
          <w:rFonts w:eastAsia="Times New Roman" w:cs="Times New Roman" w:ascii="Times New Roman" w:hAnsi="Times New Roman"/>
          <w:sz w:val="24"/>
        </w:rPr>
        <w:t>Lawn irrigation systems</w:t>
      </w:r>
    </w:p>
    <w:p>
      <w:pPr>
        <w:pStyle w:val="Normal"/>
        <w:numPr>
          <w:ilvl w:val="2"/>
          <w:numId w:val="41"/>
        </w:numPr>
        <w:tabs>
          <w:tab w:val="clear" w:pos="720"/>
          <w:tab w:val="left" w:pos="2260" w:leader="none"/>
        </w:tabs>
        <w:spacing w:lineRule="atLeast" w:line="0"/>
        <w:ind w:hanging="460" w:start="2260" w:end="0"/>
        <w:rPr>
          <w:rFonts w:ascii="Times New Roman" w:hAnsi="Times New Roman" w:eastAsia="Times New Roman" w:cs="Times New Roman"/>
          <w:sz w:val="24"/>
        </w:rPr>
      </w:pPr>
      <w:r>
        <w:rPr>
          <w:rFonts w:eastAsia="Times New Roman" w:cs="Times New Roman" w:ascii="Times New Roman" w:hAnsi="Times New Roman"/>
          <w:sz w:val="24"/>
        </w:rPr>
        <w:t>Energy auditing</w:t>
      </w:r>
    </w:p>
    <w:p>
      <w:pPr>
        <w:pStyle w:val="Normal"/>
        <w:numPr>
          <w:ilvl w:val="0"/>
          <w:numId w:val="42"/>
        </w:numPr>
        <w:tabs>
          <w:tab w:val="clear" w:pos="720"/>
          <w:tab w:val="left" w:pos="965" w:leader="none"/>
        </w:tabs>
        <w:spacing w:lineRule="atLeast" w:line="0"/>
        <w:ind w:start="600" w:end="0"/>
        <w:rPr>
          <w:rFonts w:ascii="Times New Roman" w:hAnsi="Times New Roman" w:eastAsia="Times New Roman" w:cs="Times New Roman"/>
          <w:sz w:val="24"/>
        </w:rPr>
      </w:pPr>
      <w:r>
        <w:rPr>
          <w:rFonts w:eastAsia="Times New Roman" w:cs="Times New Roman" w:ascii="Times New Roman" w:hAnsi="Times New Roman"/>
          <w:sz w:val="24"/>
        </w:rPr>
        <w:t>Unless provided after regular working hours, the course location shall be outside the regular work place.</w:t>
      </w:r>
    </w:p>
    <w:p>
      <w:pPr>
        <w:pStyle w:val="Normal"/>
        <w:numPr>
          <w:ilvl w:val="0"/>
          <w:numId w:val="42"/>
        </w:numPr>
        <w:tabs>
          <w:tab w:val="clear" w:pos="720"/>
          <w:tab w:val="left" w:pos="940" w:leader="none"/>
        </w:tabs>
        <w:spacing w:lineRule="atLeast" w:line="0"/>
        <w:ind w:hanging="340" w:start="940" w:end="0"/>
        <w:rPr>
          <w:rFonts w:ascii="Times New Roman" w:hAnsi="Times New Roman" w:eastAsia="Times New Roman" w:cs="Times New Roman"/>
          <w:sz w:val="24"/>
        </w:rPr>
      </w:pPr>
      <w:r>
        <w:rPr>
          <w:rFonts w:eastAsia="Times New Roman" w:cs="Times New Roman" w:ascii="Times New Roman" w:hAnsi="Times New Roman"/>
          <w:sz w:val="24"/>
        </w:rPr>
        <w:t>The CE provider shall return the sign-in sheets to the home inspection license unit.</w:t>
      </w:r>
    </w:p>
    <w:p>
      <w:pPr>
        <w:pStyle w:val="Normal"/>
        <w:numPr>
          <w:ilvl w:val="0"/>
          <w:numId w:val="42"/>
        </w:numPr>
        <w:tabs>
          <w:tab w:val="clear" w:pos="720"/>
          <w:tab w:val="left" w:pos="1060" w:leader="none"/>
        </w:tabs>
        <w:spacing w:lineRule="auto" w:line="237"/>
        <w:ind w:hanging="460" w:start="1060" w:end="0"/>
        <w:rPr>
          <w:rFonts w:ascii="Times New Roman" w:hAnsi="Times New Roman" w:eastAsia="Times New Roman" w:cs="Times New Roman"/>
          <w:sz w:val="24"/>
        </w:rPr>
      </w:pPr>
      <w:r>
        <w:rPr>
          <w:rFonts w:eastAsia="Times New Roman" w:cs="Times New Roman" w:ascii="Times New Roman" w:hAnsi="Times New Roman"/>
          <w:sz w:val="24"/>
        </w:rPr>
        <w:t>Complaint procedure.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2"/>
        </w:numPr>
        <w:tabs>
          <w:tab w:val="clear" w:pos="720"/>
          <w:tab w:val="left" w:pos="1722" w:leader="none"/>
        </w:tabs>
        <w:spacing w:lineRule="atLeast" w:line="0"/>
        <w:ind w:start="1260" w:end="0"/>
        <w:jc w:val="both"/>
        <w:rPr>
          <w:rFonts w:ascii="Times New Roman" w:hAnsi="Times New Roman" w:eastAsia="Times New Roman" w:cs="Times New Roman"/>
          <w:sz w:val="24"/>
        </w:rPr>
      </w:pPr>
      <w:r>
        <w:rPr>
          <w:rFonts w:eastAsia="Times New Roman" w:cs="Times New Roman" w:ascii="Times New Roman" w:hAnsi="Times New Roman"/>
          <w:sz w:val="24"/>
        </w:rPr>
        <w:t>A person, government, or private organization may submit a written complaint to the Committee, or its designee, charging a provider of continuing education with a violation of the rules, and specifying the grounds for the complaint.</w:t>
      </w:r>
    </w:p>
    <w:p>
      <w:pPr>
        <w:pStyle w:val="Normal"/>
        <w:numPr>
          <w:ilvl w:val="1"/>
          <w:numId w:val="42"/>
        </w:numPr>
        <w:tabs>
          <w:tab w:val="clear" w:pos="720"/>
          <w:tab w:val="left" w:pos="1980" w:leader="none"/>
        </w:tabs>
        <w:spacing w:lineRule="atLeast" w:line="0"/>
        <w:ind w:start="1260" w:end="0"/>
        <w:jc w:val="both"/>
        <w:rPr>
          <w:rFonts w:ascii="Times New Roman" w:hAnsi="Times New Roman" w:eastAsia="Times New Roman" w:cs="Times New Roman"/>
          <w:sz w:val="24"/>
        </w:rPr>
      </w:pPr>
      <w:r>
        <w:rPr>
          <w:rFonts w:eastAsia="Times New Roman" w:cs="Times New Roman" w:ascii="Times New Roman" w:hAnsi="Times New Roman"/>
          <w:sz w:val="24"/>
        </w:rPr>
        <w:t>Complaints must be in writing and include contact information, and shall be filed on the proper complaint form prescribed by the Construction Industries Board, or its designee.</w:t>
      </w:r>
    </w:p>
    <w:p>
      <w:pPr>
        <w:pStyle w:val="Normal"/>
        <w:numPr>
          <w:ilvl w:val="1"/>
          <w:numId w:val="42"/>
        </w:numPr>
        <w:tabs>
          <w:tab w:val="clear" w:pos="720"/>
          <w:tab w:val="left" w:pos="1980" w:leader="none"/>
        </w:tabs>
        <w:spacing w:lineRule="atLeast" w:line="0"/>
        <w:ind w:start="1260" w:end="0"/>
        <w:rPr>
          <w:rFonts w:ascii="Times New Roman" w:hAnsi="Times New Roman" w:eastAsia="Times New Roman" w:cs="Times New Roman"/>
          <w:sz w:val="24"/>
        </w:rPr>
      </w:pPr>
      <w:r>
        <w:rPr>
          <w:rFonts w:eastAsia="Times New Roman" w:cs="Times New Roman" w:ascii="Times New Roman" w:hAnsi="Times New Roman"/>
          <w:sz w:val="24"/>
        </w:rPr>
        <w:t>The Committee or its designee may consider an unsigned or anonymous complaint for further investigation.</w:t>
      </w:r>
    </w:p>
    <w:p>
      <w:pPr>
        <w:pStyle w:val="Normal"/>
        <w:numPr>
          <w:ilvl w:val="1"/>
          <w:numId w:val="42"/>
        </w:numPr>
        <w:tabs>
          <w:tab w:val="clear" w:pos="720"/>
          <w:tab w:val="left" w:pos="1717" w:leader="none"/>
        </w:tabs>
        <w:spacing w:lineRule="atLeast" w:line="0"/>
        <w:ind w:start="1260" w:end="0"/>
        <w:jc w:val="both"/>
        <w:rPr>
          <w:rFonts w:ascii="Times New Roman" w:hAnsi="Times New Roman" w:eastAsia="Times New Roman" w:cs="Times New Roman"/>
          <w:sz w:val="24"/>
        </w:rPr>
      </w:pPr>
      <w:r>
        <w:rPr>
          <w:rFonts w:eastAsia="Times New Roman" w:cs="Times New Roman" w:ascii="Times New Roman" w:hAnsi="Times New Roman"/>
          <w:sz w:val="24"/>
        </w:rPr>
        <w:t>Upon receipt of a signed complaint form, a copy shall be sent to the continuing education provider addressed in the complaint. The continuing education provider shall provide a written response within fifteen (15) days. Upon receipt of the continuing education provider's written response, both complaint and response shall be considered by the Committee, or its designee, for appropriate action including dismissal of the complaint, further investigation, or a finding of violation of a statute or rule. The Committee, or its designee, shall notify both complainant and continuing education provider of the determination made by the Committee, or its designee for an anonymous complaint. Failure of the continuing education provider to respond will be considered as a violation of this rule.</w:t>
      </w:r>
    </w:p>
    <w:p>
      <w:pPr>
        <w:pStyle w:val="Normal"/>
        <w:numPr>
          <w:ilvl w:val="1"/>
          <w:numId w:val="42"/>
        </w:numPr>
        <w:tabs>
          <w:tab w:val="clear" w:pos="720"/>
          <w:tab w:val="left" w:pos="1981" w:leader="none"/>
        </w:tabs>
        <w:spacing w:lineRule="auto" w:line="254"/>
        <w:ind w:start="1260" w:end="0"/>
        <w:jc w:val="both"/>
        <w:rPr>
          <w:rFonts w:ascii="Times New Roman" w:hAnsi="Times New Roman" w:eastAsia="Times New Roman" w:cs="Times New Roman"/>
          <w:sz w:val="24"/>
        </w:rPr>
      </w:pPr>
      <w:r>
        <w:rPr>
          <w:rFonts w:eastAsia="Times New Roman" w:cs="Times New Roman" w:ascii="Times New Roman" w:hAnsi="Times New Roman"/>
          <w:sz w:val="24"/>
        </w:rPr>
        <w:t>If a reasonable cause violation determination is made by the Committee, the Oklahoma Administrative Procedure Act shall be followed for all disciplinary proceedings undertaken including but not limited to all parts of this subsection.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18</w:t>
      </w:r>
    </w:p>
    <w:p>
      <w:pPr>
        <w:pStyle w:val="Normal"/>
        <w:spacing w:lineRule="atLeast" w:line="0"/>
        <w:ind w:start="6960" w:end="0"/>
        <w:rPr>
          <w:rFonts w:ascii="Times New Roman" w:hAnsi="Times New Roman" w:eastAsia="Times New Roman" w:cs="Times New Roman"/>
          <w:sz w:val="15"/>
        </w:rPr>
      </w:pPr>
      <w:bookmarkStart w:id="18" w:name="page19"/>
      <w:bookmarkEnd w:id="18"/>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11-14-08 (emergency); Added at 26 Ok Reg 2463, eff 7-11-09; Amended at 30 Ok Reg 1555, eff 7-11-13; Amended at 31 Ok Reg 933, eff 9-12-14; Amended at 34 Ok Reg 894, eff 10-1-17; Amended at 35 Ok Reg 938, eff 10-1-18]</w:t>
      </w:r>
    </w:p>
    <w:p>
      <w:pPr>
        <w:pStyle w:val="Normal"/>
        <w:spacing w:lineRule="exact" w:line="397"/>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158:70-9-6. Denied application appeal</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3"/>
        </w:numPr>
        <w:tabs>
          <w:tab w:val="clear" w:pos="720"/>
          <w:tab w:val="left" w:pos="364"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b/>
          <w:sz w:val="24"/>
        </w:rPr>
        <w:t>Denied instructor/provider application.</w:t>
      </w:r>
      <w:r>
        <w:rPr>
          <w:rFonts w:eastAsia="Times New Roman" w:cs="Times New Roman" w:ascii="Times New Roman" w:hAnsi="Times New Roman"/>
          <w:sz w:val="24"/>
        </w:rPr>
        <w:t xml:space="preserve"> If the Committee fails to approve any proposed instructor or entity seeking to conduct an approved course, the Committee shall give written notice of the rejection and the cause therefore within fifteen (15) days after such decision. The applicant may appeal the decision by filing a written request for a hearing before the Committee within thirty (30) days after notice of denial. The Committee shall set the matter for hearing to be conducted within sixty (60) days thereafter. No part of the application fee is refundable.</w:t>
      </w:r>
    </w:p>
    <w:p>
      <w:pPr>
        <w:pStyle w:val="Normal"/>
        <w:numPr>
          <w:ilvl w:val="0"/>
          <w:numId w:val="43"/>
        </w:numPr>
        <w:tabs>
          <w:tab w:val="clear" w:pos="720"/>
          <w:tab w:val="left" w:pos="392" w:leader="none"/>
        </w:tabs>
        <w:spacing w:lineRule="auto" w:line="244"/>
        <w:jc w:val="both"/>
        <w:rPr>
          <w:rFonts w:ascii="Times New Roman" w:hAnsi="Times New Roman" w:eastAsia="Times New Roman" w:cs="Times New Roman"/>
          <w:sz w:val="24"/>
        </w:rPr>
      </w:pPr>
      <w:r>
        <w:rPr>
          <w:rFonts w:eastAsia="Times New Roman" w:cs="Times New Roman" w:ascii="Times New Roman" w:hAnsi="Times New Roman"/>
          <w:b/>
          <w:sz w:val="24"/>
        </w:rPr>
        <w:t>Denied course application.</w:t>
      </w:r>
      <w:r>
        <w:rPr>
          <w:rFonts w:eastAsia="Times New Roman" w:cs="Times New Roman" w:ascii="Times New Roman" w:hAnsi="Times New Roman"/>
          <w:sz w:val="24"/>
        </w:rPr>
        <w:t xml:space="preserve"> If the Committee fails to approve any proposed continuing education or proposed ninety (90) hour home inspection training course, the Committee shall give written notice of the rejection and the cause therefore within fifteen (15) days after such decision to the applicant for approval. Upon the written request from the applicant, filed within thirty (30) days after such notice of denial, the Committee shall set the matter for hearing to be conducted within sixty (60) days thereafter for an appeal of the determination of the cause for rejection. No portion of the fee is refundable.</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11-14-08 (emergency); Added at 26 Ok Reg 2463, eff 7-11-09; Amended at 30 Ok Reg 1555, eff 7-11-13; Amended at 31 Ok Reg 933, eff 9-12-14]</w:t>
      </w:r>
    </w:p>
    <w:p>
      <w:pPr>
        <w:pStyle w:val="Normal"/>
        <w:spacing w:lineRule="exact" w:line="397"/>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158:70-9-7. Submission of records</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4"/>
        </w:numPr>
        <w:tabs>
          <w:tab w:val="clear" w:pos="720"/>
          <w:tab w:val="left" w:pos="375"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An entity conducting an approved CE course shall, within five (5) working days of the completion thereof, submit to the Committee on a form approved by the Committee, a list of the names and license numbers or social security numbers of the licensees who successfully completed the said course. Each licensee successfully completing an approved CE course shall be furnished a certificate certifying completion by the CE provider.</w:t>
      </w:r>
    </w:p>
    <w:p>
      <w:pPr>
        <w:pStyle w:val="Normal"/>
        <w:numPr>
          <w:ilvl w:val="0"/>
          <w:numId w:val="44"/>
        </w:numPr>
        <w:tabs>
          <w:tab w:val="clear" w:pos="720"/>
          <w:tab w:val="left" w:pos="351" w:leader="none"/>
        </w:tabs>
        <w:spacing w:lineRule="auto" w:line="268"/>
        <w:rPr>
          <w:rFonts w:ascii="Times New Roman" w:hAnsi="Times New Roman" w:eastAsia="Times New Roman" w:cs="Times New Roman"/>
          <w:sz w:val="24"/>
        </w:rPr>
      </w:pPr>
      <w:r>
        <w:rPr>
          <w:rFonts w:eastAsia="Times New Roman" w:cs="Times New Roman" w:ascii="Times New Roman" w:hAnsi="Times New Roman"/>
          <w:sz w:val="24"/>
        </w:rPr>
        <w:t>Providers shall maintain course records for at least five (5) years. The Committee may order an examination of the records for good cause shown.</w: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11-14-08 (emergency); Added at 26 Ok Reg 2463, eff 7-11-09; Amended at 32 Ok Reg 1649, eff 9-11-15]</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158:70-9-8. Substantial compliance and reciprocity</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5"/>
        </w:numPr>
        <w:tabs>
          <w:tab w:val="clear" w:pos="720"/>
          <w:tab w:val="left" w:pos="507"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In addition to accepting courses approved as described in this Subchapter, qualifying and continuing education credits may be granted to an individual in such case that said individual supplies acceptable documentation showing that the course meets applicable Committee requirements for the category of credit applied for, including proof that said individual attended and successfully completed the course.</w:t>
      </w:r>
    </w:p>
    <w:p>
      <w:pPr>
        <w:pStyle w:val="Normal"/>
        <w:numPr>
          <w:ilvl w:val="0"/>
          <w:numId w:val="45"/>
        </w:numPr>
        <w:tabs>
          <w:tab w:val="clear" w:pos="720"/>
          <w:tab w:val="left" w:pos="520" w:leader="none"/>
        </w:tabs>
        <w:spacing w:lineRule="auto" w:line="242"/>
        <w:jc w:val="both"/>
        <w:rPr>
          <w:rFonts w:ascii="Times New Roman" w:hAnsi="Times New Roman" w:eastAsia="Times New Roman" w:cs="Times New Roman"/>
          <w:sz w:val="24"/>
        </w:rPr>
      </w:pPr>
      <w:r>
        <w:rPr>
          <w:rFonts w:eastAsia="Times New Roman" w:cs="Times New Roman" w:ascii="Times New Roman" w:hAnsi="Times New Roman"/>
          <w:sz w:val="24"/>
        </w:rPr>
        <w:t>If a non-resident licensee satisfies a continuing education requirement in another state for license renewal, the Committee will exempt the non-resident licensee from the continuing education requirement in this state. In order to qualify for the exemption, the non-resident licensee must file with the license renewal of this state a certificate from the state in which the continuing education was satisfied stating that the non-resident licensee had completed the continuing education requirement for license renewal in that state. The certificate from the state verifying the non-resident's compliance with continuing education in the other state must be received by the Committee within sixty (60) days of issuance by the other state and must be received in conjunction with license renewal.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19</w:t>
      </w:r>
    </w:p>
    <w:p>
      <w:pPr>
        <w:pStyle w:val="Normal"/>
        <w:spacing w:lineRule="atLeast" w:line="0"/>
        <w:ind w:start="6960" w:end="0"/>
        <w:rPr>
          <w:rFonts w:ascii="Times New Roman" w:hAnsi="Times New Roman" w:eastAsia="Times New Roman" w:cs="Times New Roman"/>
          <w:sz w:val="15"/>
        </w:rPr>
      </w:pPr>
      <w:bookmarkStart w:id="19" w:name="page20"/>
      <w:bookmarkEnd w:id="19"/>
      <w:r>
        <w:rPr>
          <w:rFonts w:eastAsia="Times New Roman" w:cs="Times New Roman" w:ascii="Times New Roman" w:hAnsi="Times New Roman"/>
          <w:sz w:val="15"/>
        </w:rPr>
        <w:t>Permanent Rules Effective 10/1/2020</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11-14-08 (emergency); Added at 26 Ok Reg 2463, eff 7-11-09; Amended at 32 Ok Reg 1649, eff 9-11-15]</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jc w:val="center"/>
        <w:rPr>
          <w:rFonts w:ascii="Times New Roman" w:hAnsi="Times New Roman" w:eastAsia="Times New Roman" w:cs="Times New Roman"/>
          <w:b/>
          <w:sz w:val="24"/>
        </w:rPr>
      </w:pPr>
      <w:r>
        <w:rPr>
          <w:rFonts w:eastAsia="Times New Roman" w:cs="Times New Roman" w:ascii="Times New Roman" w:hAnsi="Times New Roman"/>
          <w:b/>
          <w:sz w:val="24"/>
        </w:rPr>
        <w:t>SUBCHAPTER 11. LICENSE REVOCATION AND SUSPENSION AND ADDITIONAL PROHIBITED ACTS</w:t>
      </w:r>
    </w:p>
    <w:p>
      <w:pPr>
        <w:pStyle w:val="Normal"/>
        <w:spacing w:lineRule="exact" w:line="1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158:70-11-1. License revocation and suspension</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6"/>
        </w:numPr>
        <w:tabs>
          <w:tab w:val="clear" w:pos="720"/>
          <w:tab w:val="left" w:pos="507"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employment or use of unlicensed individuals may be grounds to suspend, revoke, or deny renewal of the license of the person so employing or using unlicensed individuals.</w:t>
      </w:r>
    </w:p>
    <w:p>
      <w:pPr>
        <w:pStyle w:val="Normal"/>
        <w:numPr>
          <w:ilvl w:val="0"/>
          <w:numId w:val="46"/>
        </w:numPr>
        <w:tabs>
          <w:tab w:val="clear" w:pos="720"/>
          <w:tab w:val="left" w:pos="520"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The repeated violation of any rule or provision of the Act, or the violation of multiple sections of this Chapter or provisions of the Act, may be grounds to suspend or revoke a licensee's license.</w:t>
      </w:r>
    </w:p>
    <w:p>
      <w:pPr>
        <w:pStyle w:val="Normal"/>
        <w:numPr>
          <w:ilvl w:val="0"/>
          <w:numId w:val="46"/>
        </w:numPr>
        <w:tabs>
          <w:tab w:val="clear" w:pos="720"/>
          <w:tab w:val="left" w:pos="506"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Any person convicted in a court of competent jurisdiction of forgery, fraud, conspiracy to defraud, or any similar offense, or pleading guilty or nolo contendre to any such offense may be subject to license suspension or revocation.</w:t>
      </w:r>
    </w:p>
    <w:p>
      <w:pPr>
        <w:pStyle w:val="Normal"/>
        <w:numPr>
          <w:ilvl w:val="0"/>
          <w:numId w:val="46"/>
        </w:numPr>
        <w:tabs>
          <w:tab w:val="clear" w:pos="720"/>
          <w:tab w:val="left" w:pos="521"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Any person failing to comply with a fine assessment or other administrative order of the Board within ninety (90) days of issuance of such assessment or order shall be subject to license suspension.</w:t>
      </w:r>
    </w:p>
    <w:p>
      <w:pPr>
        <w:pStyle w:val="Normal"/>
        <w:numPr>
          <w:ilvl w:val="0"/>
          <w:numId w:val="46"/>
        </w:numPr>
        <w:tabs>
          <w:tab w:val="clear" w:pos="720"/>
          <w:tab w:val="left" w:pos="506"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Any person whose license is suspended pursuant to these Rules may not perform a home inspection and, prior to reinstatement, must make application therefor, which must be accompanied by evidence of successful completion of the continuing education requirements set forth in OAC 158:70-9-3.</w:t>
      </w:r>
    </w:p>
    <w:p>
      <w:pPr>
        <w:pStyle w:val="Normal"/>
        <w:numPr>
          <w:ilvl w:val="0"/>
          <w:numId w:val="46"/>
        </w:numPr>
        <w:tabs>
          <w:tab w:val="clear" w:pos="720"/>
          <w:tab w:val="left" w:pos="480"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Any person whose license is revoked pursuant to these rules may not perform a home inspection before attaining licensure pursuant to OAC 158:70-9-1.</w:t>
      </w:r>
    </w:p>
    <w:p>
      <w:pPr>
        <w:pStyle w:val="Normal"/>
        <w:numPr>
          <w:ilvl w:val="0"/>
          <w:numId w:val="46"/>
        </w:numPr>
        <w:tabs>
          <w:tab w:val="clear" w:pos="720"/>
          <w:tab w:val="left" w:pos="520"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Failure to cooperate or provide information regarding an investigation may be grounds to suspend or revoke a licensee's home inspection license.</w:t>
      </w:r>
    </w:p>
    <w:p>
      <w:pPr>
        <w:pStyle w:val="Normal"/>
        <w:numPr>
          <w:ilvl w:val="0"/>
          <w:numId w:val="46"/>
        </w:numPr>
        <w:tabs>
          <w:tab w:val="clear" w:pos="720"/>
          <w:tab w:val="left" w:pos="520" w:leader="none"/>
        </w:tabs>
        <w:spacing w:lineRule="auto" w:line="268"/>
        <w:rPr>
          <w:rFonts w:ascii="Times New Roman" w:hAnsi="Times New Roman" w:eastAsia="Times New Roman" w:cs="Times New Roman"/>
          <w:sz w:val="24"/>
        </w:rPr>
      </w:pPr>
      <w:r>
        <w:rPr>
          <w:rFonts w:eastAsia="Times New Roman" w:cs="Times New Roman" w:ascii="Times New Roman" w:hAnsi="Times New Roman"/>
          <w:sz w:val="24"/>
        </w:rPr>
        <w:t>Failure to maintain and furnish a certificate of insurance coverage as provided in OAC 158: 70-5-2(f) may be grounds to suspend or revoke a licensee's home inspection license.</w: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11-14-08 (emergency); Added at 26 Ok Reg 2463, eff 7-11-09; Amended at 31 Ok Reg 933, eff 9-12-14]</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158:70-11-2. Additional prohibited acts</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7"/>
        </w:numPr>
        <w:tabs>
          <w:tab w:val="clear" w:pos="720"/>
          <w:tab w:val="left" w:pos="508"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 person, entity, or firm may engage in or perform home inspection work without first obtaining a license or registration pursuant to these Rules.</w:t>
      </w:r>
    </w:p>
    <w:p>
      <w:pPr>
        <w:pStyle w:val="Normal"/>
        <w:numPr>
          <w:ilvl w:val="0"/>
          <w:numId w:val="47"/>
        </w:numPr>
        <w:tabs>
          <w:tab w:val="clear" w:pos="720"/>
          <w:tab w:val="left" w:pos="520"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 person shall offer to engage in work as a home inspector during the period his or her license is suspended or revoked.</w:t>
      </w:r>
    </w:p>
    <w:p>
      <w:pPr>
        <w:pStyle w:val="Normal"/>
        <w:numPr>
          <w:ilvl w:val="0"/>
          <w:numId w:val="47"/>
        </w:numPr>
        <w:tabs>
          <w:tab w:val="clear" w:pos="720"/>
          <w:tab w:val="left" w:pos="507"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 employing home inspection firm shall employ or use an unlicensed home inspector to perform home inspection work.</w:t>
      </w:r>
    </w:p>
    <w:p>
      <w:pPr>
        <w:pStyle w:val="Normal"/>
        <w:numPr>
          <w:ilvl w:val="0"/>
          <w:numId w:val="47"/>
        </w:numPr>
        <w:tabs>
          <w:tab w:val="clear" w:pos="720"/>
          <w:tab w:val="left" w:pos="520" w:leader="none"/>
        </w:tabs>
        <w:spacing w:lineRule="atLeast" w:line="0"/>
        <w:ind w:hanging="520" w:start="520" w:end="0"/>
        <w:rPr>
          <w:rFonts w:ascii="Times New Roman" w:hAnsi="Times New Roman" w:eastAsia="Times New Roman" w:cs="Times New Roman"/>
          <w:sz w:val="24"/>
        </w:rPr>
      </w:pPr>
      <w:r>
        <w:rPr>
          <w:rFonts w:eastAsia="Times New Roman" w:cs="Times New Roman" w:ascii="Times New Roman" w:hAnsi="Times New Roman"/>
          <w:sz w:val="24"/>
        </w:rPr>
        <w:t>No person, entity, or firm may transfer a license or registration.</w:t>
      </w:r>
    </w:p>
    <w:p>
      <w:pPr>
        <w:pStyle w:val="Normal"/>
        <w:numPr>
          <w:ilvl w:val="0"/>
          <w:numId w:val="47"/>
        </w:numPr>
        <w:tabs>
          <w:tab w:val="clear" w:pos="720"/>
          <w:tab w:val="left" w:pos="507"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No home inspector, licensed pursuant to this Chapter, shall enter into an agreement for the use of his or her license with any firm or person who is, or has been adjudicated to be, in violation of any provision of the Act, or whose license is currently suspended or has within the last year been revoked, unless or until otherwise approved by the Board.</w:t>
      </w:r>
    </w:p>
    <w:p>
      <w:pPr>
        <w:pStyle w:val="Normal"/>
        <w:numPr>
          <w:ilvl w:val="0"/>
          <w:numId w:val="47"/>
        </w:numPr>
        <w:tabs>
          <w:tab w:val="clear" w:pos="720"/>
          <w:tab w:val="left" w:pos="481" w:leader="none"/>
        </w:tabs>
        <w:spacing w:lineRule="auto" w:line="254"/>
        <w:jc w:val="both"/>
        <w:rPr>
          <w:rFonts w:ascii="Times New Roman" w:hAnsi="Times New Roman" w:eastAsia="Times New Roman" w:cs="Times New Roman"/>
          <w:sz w:val="24"/>
        </w:rPr>
      </w:pPr>
      <w:r>
        <w:rPr>
          <w:rFonts w:eastAsia="Times New Roman" w:cs="Times New Roman" w:ascii="Times New Roman" w:hAnsi="Times New Roman"/>
          <w:sz w:val="24"/>
        </w:rPr>
        <w:t>No person shall make a materially false or fraudulent statement in an application for license or for approval of continuing education, engage in cheating, or otherwise commit an act in violation of OAC 158:70-9-2(g).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20</w:t>
      </w:r>
    </w:p>
    <w:p>
      <w:pPr>
        <w:pStyle w:val="Normal"/>
        <w:spacing w:lineRule="atLeast" w:line="0"/>
        <w:jc w:val="end"/>
        <w:rPr>
          <w:rFonts w:ascii="Times New Roman" w:hAnsi="Times New Roman" w:eastAsia="Times New Roman" w:cs="Times New Roman"/>
          <w:sz w:val="16"/>
        </w:rPr>
      </w:pPr>
      <w:bookmarkStart w:id="20" w:name="page21"/>
      <w:bookmarkEnd w:id="20"/>
      <w:r>
        <w:rPr>
          <w:rFonts w:eastAsia="Times New Roman" w:cs="Times New Roman" w:ascii="Times New Roman" w:hAnsi="Times New Roman"/>
          <w:sz w:val="16"/>
        </w:rPr>
        <w:t>Permanent Rules Effective 10/1/2020</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8"/>
        </w:numPr>
        <w:tabs>
          <w:tab w:val="clear" w:pos="720"/>
          <w:tab w:val="left" w:pos="520" w:leader="none"/>
        </w:tabs>
        <w:spacing w:lineRule="atLeast" w:line="0"/>
        <w:ind w:hanging="520" w:start="520" w:end="0"/>
        <w:rPr>
          <w:rFonts w:ascii="Times New Roman" w:hAnsi="Times New Roman" w:eastAsia="Times New Roman" w:cs="Times New Roman"/>
          <w:sz w:val="24"/>
        </w:rPr>
      </w:pPr>
      <w:r>
        <w:rPr>
          <w:rFonts w:eastAsia="Times New Roman" w:cs="Times New Roman" w:ascii="Times New Roman" w:hAnsi="Times New Roman"/>
          <w:sz w:val="24"/>
        </w:rPr>
        <w:t>No person shall falsify or fail to disclose in a home inspection report a material defect.</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8"/>
        </w:numPr>
        <w:tabs>
          <w:tab w:val="clear" w:pos="720"/>
          <w:tab w:val="left" w:pos="520"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 person shall accept inspection assignments when the employment itself is contingent upon reporting a predetermined estimate, analysis or opinion.</w:t>
      </w:r>
    </w:p>
    <w:p>
      <w:pPr>
        <w:pStyle w:val="Normal"/>
        <w:numPr>
          <w:ilvl w:val="0"/>
          <w:numId w:val="48"/>
        </w:numPr>
        <w:tabs>
          <w:tab w:val="clear" w:pos="720"/>
          <w:tab w:val="left" w:pos="467"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No person shall accept inspection assignments when the fee to be paid is contingent upon the opinion, the conclusion, analysis, or report reached, or upon the consequences resulting from such assignments.</w:t>
      </w:r>
    </w:p>
    <w:p>
      <w:pPr>
        <w:pStyle w:val="Normal"/>
        <w:numPr>
          <w:ilvl w:val="0"/>
          <w:numId w:val="48"/>
        </w:numPr>
        <w:tabs>
          <w:tab w:val="clear" w:pos="720"/>
          <w:tab w:val="left" w:pos="467"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No person shall perform a home inspection upon a home, or any part thereof, where the home inspector has solicited or performed any work or repair service therein upon a system or component described in Subchapter 1 of this Chapter, within the previous thirty (30) days. If the person performing the home inspection has performed such work within the previous one-hundred eighty (180) days, such prior work must be disclosed to the client.</w:t>
      </w:r>
    </w:p>
    <w:p>
      <w:pPr>
        <w:pStyle w:val="Normal"/>
        <w:numPr>
          <w:ilvl w:val="0"/>
          <w:numId w:val="48"/>
        </w:numPr>
        <w:tabs>
          <w:tab w:val="clear" w:pos="720"/>
          <w:tab w:val="left" w:pos="520"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 person shall solicit or perform work or repair services upon a home, or any part thereof, that the home inspector has inspected for one (1) year after the date of the inspection.</w:t>
      </w:r>
    </w:p>
    <w:p>
      <w:pPr>
        <w:pStyle w:val="Normal"/>
        <w:numPr>
          <w:ilvl w:val="0"/>
          <w:numId w:val="48"/>
        </w:numPr>
        <w:tabs>
          <w:tab w:val="clear" w:pos="720"/>
          <w:tab w:val="left" w:pos="467"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No person shall knowingly accept compensation from more than one client for a single home inspection, unless the home inspector has informed all clients who are paying a fee for that home inspection that such compensation is sought or anticipated.</w:t>
      </w:r>
    </w:p>
    <w:p>
      <w:pPr>
        <w:pStyle w:val="Normal"/>
        <w:numPr>
          <w:ilvl w:val="0"/>
          <w:numId w:val="48"/>
        </w:numPr>
        <w:tabs>
          <w:tab w:val="clear" w:pos="720"/>
          <w:tab w:val="left" w:pos="585"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Unless upon demand in writing by the Board, a law enforcement agency, or by order of a court of competent jurisdiction, no person shall disclose the results of a home inspection to any person other than the client without the written consent of the client.</w:t>
      </w:r>
    </w:p>
    <w:p>
      <w:pPr>
        <w:pStyle w:val="Normal"/>
        <w:numPr>
          <w:ilvl w:val="0"/>
          <w:numId w:val="48"/>
        </w:numPr>
        <w:tabs>
          <w:tab w:val="clear" w:pos="720"/>
          <w:tab w:val="left" w:pos="520" w:leader="none"/>
        </w:tabs>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No person shall fail to disclose to the client any conflict of interest of which the inspector knows or should have known that may adversely affect the client. Based upon the potentially adverse affect to the home inspector's ability to produce an unbiased report, some circumstances or conditions are presumed to adversely affect the client and must be disclosed to the client in writing prior to the inspection. These include, but are not limited to, the following:</w:t>
      </w:r>
    </w:p>
    <w:p>
      <w:pPr>
        <w:pStyle w:val="Normal"/>
        <w:numPr>
          <w:ilvl w:val="1"/>
          <w:numId w:val="48"/>
        </w:numPr>
        <w:tabs>
          <w:tab w:val="clear" w:pos="720"/>
          <w:tab w:val="left" w:pos="1240" w:leader="none"/>
        </w:tabs>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Situations where the payment of remuneration or other consideration is made by the home inspector to a third party and representing a reward or compensation to the third party for the home inspector receiving inspection employment.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8"/>
        </w:numPr>
        <w:tabs>
          <w:tab w:val="clear" w:pos="720"/>
          <w:tab w:val="left" w:pos="1240"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Situations where the payment of remuneration or other consideration is received by the home inspector from a third party and representing a reward or compensation for the home inspector recommending services or products to the client or other persons having an interest in the property.</w:t>
      </w:r>
    </w:p>
    <w:p>
      <w:pPr>
        <w:pStyle w:val="Normal"/>
        <w:numPr>
          <w:ilvl w:val="1"/>
          <w:numId w:val="48"/>
        </w:numPr>
        <w:tabs>
          <w:tab w:val="clear" w:pos="720"/>
          <w:tab w:val="left" w:pos="1240"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In those cases where the client is the buyer of real property, situations where the home inspector has had some prior connection, relationship or association with the seller, his or her assigns or family members related to the seller within the second degree.</w:t>
      </w:r>
    </w:p>
    <w:p>
      <w:pPr>
        <w:pStyle w:val="Normal"/>
        <w:numPr>
          <w:ilvl w:val="1"/>
          <w:numId w:val="48"/>
        </w:numPr>
        <w:tabs>
          <w:tab w:val="clear" w:pos="720"/>
          <w:tab w:val="left" w:pos="1240"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Situations where prior reports or inspections have been made or conducted upon any system or component of the real property that the home inspector has agreed to inspect.</w:t>
      </w:r>
    </w:p>
    <w:p>
      <w:pPr>
        <w:pStyle w:val="Normal"/>
        <w:numPr>
          <w:ilvl w:val="0"/>
          <w:numId w:val="48"/>
        </w:numPr>
        <w:tabs>
          <w:tab w:val="clear" w:pos="720"/>
          <w:tab w:val="left" w:pos="520" w:leader="none"/>
        </w:tabs>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 person shall fail to submit a written home inspection report within a reasonable time as determined by the Board to the client after compensation has been paid to the home inspector.</w:t>
      </w:r>
    </w:p>
    <w:p>
      <w:pPr>
        <w:pStyle w:val="Normal"/>
        <w:numPr>
          <w:ilvl w:val="0"/>
          <w:numId w:val="48"/>
        </w:numPr>
        <w:tabs>
          <w:tab w:val="clear" w:pos="720"/>
          <w:tab w:val="left" w:pos="581" w:leader="none"/>
        </w:tabs>
        <w:spacing w:lineRule="auto" w:line="268"/>
        <w:rPr>
          <w:rFonts w:ascii="Times New Roman" w:hAnsi="Times New Roman" w:eastAsia="Times New Roman" w:cs="Times New Roman"/>
          <w:sz w:val="24"/>
        </w:rPr>
      </w:pPr>
      <w:r>
        <w:rPr>
          <w:rFonts w:eastAsia="Times New Roman" w:cs="Times New Roman" w:ascii="Times New Roman" w:hAnsi="Times New Roman"/>
          <w:sz w:val="24"/>
        </w:rPr>
        <w:t>A home inspector is prohibited from inspecting a home when an immediate family member is a realtor involved in the transaction.</w: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rPr/>
      </w:pPr>
      <w:r>
        <w:rPr>
          <w:rFonts w:eastAsia="Times New Roman" w:cs="Times New Roman" w:ascii="Times New Roman" w:hAnsi="Times New Roman"/>
          <w:i/>
          <w:sz w:val="16"/>
        </w:rPr>
        <w:t>[</w:t>
      </w:r>
      <w:r>
        <w:rPr>
          <w:rFonts w:eastAsia="Times New Roman" w:cs="Times New Roman" w:ascii="Times New Roman" w:hAnsi="Times New Roman"/>
          <w:b/>
          <w:i/>
          <w:sz w:val="16"/>
        </w:rPr>
        <w:t>Source:</w:t>
      </w:r>
      <w:r>
        <w:rPr>
          <w:rFonts w:eastAsia="Times New Roman" w:cs="Times New Roman" w:ascii="Times New Roman" w:hAnsi="Times New Roman"/>
          <w:i/>
          <w:sz w:val="16"/>
        </w:rPr>
        <w:t xml:space="preserve"> Added at 26 Ok Reg 390, eff 11 -14-08 (emergency); Added at 26 Ok Reg 2463, eff 7-11-09; Amended at 31 Ok Reg 933, eff 9-12-14; Amended at 37 Ok Reg 1079, eff 10-1-20]</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11" w:footer="0" w:bottom="167"/>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21</w:t>
      </w:r>
    </w:p>
    <w:p>
      <w:pPr>
        <w:pStyle w:val="Normal"/>
        <w:spacing w:lineRule="atLeast" w:line="0"/>
        <w:jc w:val="end"/>
        <w:rPr>
          <w:rFonts w:ascii="Times New Roman" w:hAnsi="Times New Roman" w:eastAsia="Times New Roman" w:cs="Times New Roman"/>
          <w:sz w:val="16"/>
        </w:rPr>
      </w:pPr>
      <w:bookmarkStart w:id="21" w:name="page22"/>
      <w:bookmarkEnd w:id="21"/>
      <w:r>
        <w:rPr>
          <w:rFonts w:eastAsia="Times New Roman" w:cs="Times New Roman" w:ascii="Times New Roman" w:hAnsi="Times New Roman"/>
          <w:sz w:val="16"/>
        </w:rPr>
        <w:t>Permanent Rules Effective 10/1/2020</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6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APPENDIX A. SAMPLE HOME INSPECTION EXCLUSION FORM</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firstLine="1866" w:end="1860"/>
        <w:rPr/>
      </w:pPr>
      <w:r>
        <w:rPr>
          <w:rFonts w:eastAsia="Times New Roman" w:cs="Times New Roman" w:ascii="Times New Roman" w:hAnsi="Times New Roman"/>
          <w:b/>
          <w:i/>
          <w:sz w:val="24"/>
        </w:rPr>
        <w:t xml:space="preserve">(SAMPLE) HOME INSPECTION EXCLUSION FORM </w:t>
      </w:r>
      <w:r>
        <w:rPr>
          <w:rFonts w:eastAsia="Times New Roman" w:cs="Times New Roman" w:ascii="Times New Roman" w:hAnsi="Times New Roman"/>
          <w:sz w:val="24"/>
        </w:rPr>
        <w:t>PER OAC 158:70-1-3(a)(3)(D):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both"/>
        <w:rPr>
          <w:rFonts w:ascii="Times New Roman" w:hAnsi="Times New Roman" w:eastAsia="Times New Roman" w:cs="Times New Roman"/>
          <w:sz w:val="24"/>
        </w:rPr>
      </w:pPr>
      <w:r>
        <w:rPr>
          <w:rFonts w:eastAsia="Times New Roman" w:cs="Times New Roman" w:ascii="Times New Roman" w:hAnsi="Times New Roman"/>
          <w:sz w:val="24"/>
        </w:rPr>
        <w:t>The Inspector shall report on any systems and components designed for inspection in these standards which were present at the time of the Home Inspection but were not inspected and a reason they were not inspected.</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EXCLUSIONS REQUESTED BY CLIENT PRIOR TO INSPECTION:</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(Initials = excluded from inspection)</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_____Structural Systems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_____Exterior</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_____Roof System</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_____Plumbing System</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_____Electrical System</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_____Heating System</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_____Cooling System</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_____Interior</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_____Insulation &amp; Ventilation</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_____Appliances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_____Fireplaces and solid fuel burning appliances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_____Other as noted _________________________________________</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 ______________________________, the client, understand that by excluding the above</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rFonts w:ascii="Times New Roman" w:hAnsi="Times New Roman" w:eastAsia="Times New Roman" w:cs="Times New Roman"/>
          <w:sz w:val="24"/>
        </w:rPr>
      </w:pPr>
      <w:r>
        <w:rPr>
          <w:rFonts w:eastAsia="Times New Roman" w:cs="Times New Roman" w:ascii="Times New Roman" w:hAnsi="Times New Roman"/>
          <w:sz w:val="24"/>
        </w:rPr>
        <w:t>systems or components from mandatory inspection in accordance with Oklahoma Home Inspection Industry Regulations (OAC 158:70), I relieve the inspector of any responsibility to report on their condition at the time of the inspection and take full responsibility for any future adverse conditions or malfunctions that may have been disclosed at the time I excluded them from inspection.</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 _______________ CLIENT SIGNATURE____________________________________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INSPECTOR _____________________________________LIC#________________________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22</w:t>
      </w:r>
    </w:p>
    <w:sectPr>
      <w:type w:val="nextPage"/>
      <w:pgSz w:w="12240" w:h="15840"/>
      <w:pgMar w:left="1440" w:right="1440" w:gutter="0" w:header="0" w:top="411" w:footer="0" w:bottom="1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lowerLetter"/>
      <w:lvlText w:val="%1"/>
      <w:lvlJc w:val="start"/>
      <w:pPr>
        <w:tabs>
          <w:tab w:val="num" w:pos="0"/>
        </w:tabs>
        <w:ind w:start="0" w:hanging="0"/>
      </w:pPr>
    </w:lvl>
    <w:lvl w:ilvl="1">
      <w:start w:val="4"/>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2"/>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decimal"/>
      <w:lvlText w:val="%1"/>
      <w:lvlJc w:val="start"/>
      <w:pPr>
        <w:tabs>
          <w:tab w:val="num" w:pos="0"/>
        </w:tabs>
        <w:ind w:start="0" w:hanging="0"/>
      </w:pPr>
    </w:lvl>
    <w:lvl w:ilvl="1">
      <w:start w:val="6"/>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4"/>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5"/>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3"/>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5"/>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lowerLetter"/>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4"/>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8"/>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lowerLetter"/>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5"/>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decimal"/>
      <w:lvlText w:val="%1"/>
      <w:lvlJc w:val="start"/>
      <w:pPr>
        <w:tabs>
          <w:tab w:val="num" w:pos="0"/>
        </w:tabs>
        <w:ind w:start="0" w:hanging="0"/>
      </w:pPr>
    </w:lvl>
    <w:lvl w:ilvl="1">
      <w:start w:val="7"/>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
    <w:lvl w:ilvl="0">
      <w:start w:val="2"/>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3"/>
      <w:numFmt w:val="decimal"/>
      <w:lvlText w:val="(%3)"/>
      <w:lvlJc w:val="start"/>
      <w:pPr>
        <w:tabs>
          <w:tab w:val="num" w:pos="0"/>
        </w:tabs>
        <w:ind w:start="0" w:hanging="0"/>
      </w:pPr>
    </w:lvl>
    <w:lvl w:ilvl="3">
      <w:start w:val="1"/>
      <w:numFmt w:val="upp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
    <w:lvl w:ilvl="0">
      <w:start w:val="7"/>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upperLetter"/>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3"/>
      <w:numFmt w:val="upp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1"/>
      <w:numFmt w:val="lowerLetter"/>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
    <w:lvl w:ilvl="0">
      <w:start w:val="8"/>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2">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2"/>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3">
    <w:lvl w:ilvl="0">
      <w:start w:val="3"/>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4">
    <w:lvl w:ilvl="0">
      <w:start w:val="9"/>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5">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2"/>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lowerLetter"/>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7">
    <w:lvl w:ilvl="0">
      <w:start w:val="12"/>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8">
    <w:lvl w:ilvl="0">
      <w:start w:val="1"/>
      <w:numFmt w:val="lowerLetter"/>
      <w:lvlText w:val="(%1)"/>
      <w:lvlJc w:val="start"/>
      <w:pPr>
        <w:tabs>
          <w:tab w:val="num" w:pos="0"/>
        </w:tabs>
        <w:ind w:start="0" w:hanging="0"/>
      </w:pPr>
    </w:lvl>
  </w:abstractNum>
  <w:abstractNum w:abstractNumId="29">
    <w:lvl w:ilvl="0">
      <w:start w:val="1"/>
      <w:numFmt w:val="lowerLetter"/>
      <w:lvlText w:val="(%1)"/>
      <w:lvlJc w:val="start"/>
      <w:pPr>
        <w:tabs>
          <w:tab w:val="num" w:pos="0"/>
        </w:tabs>
        <w:ind w:start="0" w:hanging="0"/>
      </w:pPr>
    </w:lvl>
  </w:abstractNum>
  <w:abstractNum w:abstractNumId="30">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1">
    <w:lvl w:ilvl="0">
      <w:start w:val="1"/>
      <w:numFmt w:val="lowerLetter"/>
      <w:lvlText w:val="%1"/>
      <w:lvlJc w:val="start"/>
      <w:pPr>
        <w:tabs>
          <w:tab w:val="num" w:pos="0"/>
        </w:tabs>
        <w:ind w:start="0" w:hanging="0"/>
      </w:pPr>
    </w:lvl>
    <w:lvl w:ilvl="1">
      <w:start w:val="6"/>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2">
    <w:lvl w:ilvl="0">
      <w:start w:val="2"/>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3">
    <w:lvl w:ilvl="0">
      <w:start w:val="90"/>
      <w:numFmt w:val="decimal"/>
      <w:lvlText w:val="(%1)"/>
      <w:lvlJc w:val="start"/>
      <w:pPr>
        <w:tabs>
          <w:tab w:val="num" w:pos="0"/>
        </w:tabs>
        <w:ind w:start="0" w:hanging="0"/>
      </w:pPr>
    </w:lvl>
  </w:abstractNum>
  <w:abstractNum w:abstractNumId="34">
    <w:lvl w:ilvl="0">
      <w:start w:val="1"/>
      <w:numFmt w:val="lowerLetter"/>
      <w:lvlText w:val="(%1)"/>
      <w:lvlJc w:val="start"/>
      <w:pPr>
        <w:tabs>
          <w:tab w:val="num" w:pos="0"/>
        </w:tabs>
        <w:ind w:start="0" w:hanging="0"/>
      </w:pPr>
    </w:lvl>
  </w:abstractNum>
  <w:abstractNum w:abstractNumId="35">
    <w:lvl w:ilvl="0">
      <w:start w:val="1"/>
      <w:numFmt w:val="lowerLetter"/>
      <w:lvlText w:val="(%1)"/>
      <w:lvlJc w:val="start"/>
      <w:pPr>
        <w:tabs>
          <w:tab w:val="num" w:pos="0"/>
        </w:tabs>
        <w:ind w:start="0" w:hanging="0"/>
      </w:pPr>
    </w:lvl>
  </w:abstractNum>
  <w:abstractNum w:abstractNumId="36">
    <w:lvl w:ilvl="0">
      <w:start w:val="1"/>
      <w:numFmt w:val="lowerLetter"/>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7">
    <w:lvl w:ilvl="0">
      <w:start w:val="3"/>
      <w:numFmt w:val="lowerLetter"/>
      <w:lvlText w:val="(%1)"/>
      <w:lvlJc w:val="start"/>
      <w:pPr>
        <w:tabs>
          <w:tab w:val="num" w:pos="0"/>
        </w:tabs>
        <w:ind w:start="0" w:hanging="0"/>
      </w:pPr>
    </w:lvl>
  </w:abstractNum>
  <w:abstractNum w:abstractNumId="38">
    <w:lvl w:ilvl="0">
      <w:start w:val="1"/>
      <w:numFmt w:val="lowerRoman"/>
      <w:lvlText w:val="(%1)"/>
      <w:lvlJc w:val="start"/>
      <w:pPr>
        <w:tabs>
          <w:tab w:val="num" w:pos="0"/>
        </w:tabs>
        <w:ind w:start="0" w:hanging="0"/>
      </w:pPr>
    </w:lvl>
  </w:abstractNum>
  <w:abstractNum w:abstractNumId="39">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0">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1">
    <w:lvl w:ilvl="0">
      <w:start w:val="1"/>
      <w:numFmt w:val="decimal"/>
      <w:lvlText w:val="%1"/>
      <w:lvlJc w:val="start"/>
      <w:pPr>
        <w:tabs>
          <w:tab w:val="num" w:pos="0"/>
        </w:tabs>
        <w:ind w:start="0" w:hanging="0"/>
      </w:pPr>
    </w:lvl>
    <w:lvl w:ilvl="1">
      <w:start w:val="10"/>
      <w:numFmt w:val="upp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2">
    <w:lvl w:ilvl="0">
      <w:start w:val="3"/>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3">
    <w:lvl w:ilvl="0">
      <w:start w:val="1"/>
      <w:numFmt w:val="lowerLetter"/>
      <w:lvlText w:val="(%1)"/>
      <w:lvlJc w:val="start"/>
      <w:pPr>
        <w:tabs>
          <w:tab w:val="num" w:pos="0"/>
        </w:tabs>
        <w:ind w:start="0" w:hanging="0"/>
      </w:pPr>
    </w:lvl>
  </w:abstractNum>
  <w:abstractNum w:abstractNumId="44">
    <w:lvl w:ilvl="0">
      <w:start w:val="1"/>
      <w:numFmt w:val="lowerLetter"/>
      <w:lvlText w:val="(%1)"/>
      <w:lvlJc w:val="start"/>
      <w:pPr>
        <w:tabs>
          <w:tab w:val="num" w:pos="0"/>
        </w:tabs>
        <w:ind w:start="0" w:hanging="0"/>
      </w:pPr>
    </w:lvl>
  </w:abstractNum>
  <w:abstractNum w:abstractNumId="45">
    <w:lvl w:ilvl="0">
      <w:start w:val="1"/>
      <w:numFmt w:val="lowerLetter"/>
      <w:lvlText w:val="(%1)"/>
      <w:lvlJc w:val="start"/>
      <w:pPr>
        <w:tabs>
          <w:tab w:val="num" w:pos="0"/>
        </w:tabs>
        <w:ind w:start="0" w:hanging="0"/>
      </w:pPr>
    </w:lvl>
  </w:abstractNum>
  <w:abstractNum w:abstractNumId="46">
    <w:lvl w:ilvl="0">
      <w:start w:val="1"/>
      <w:numFmt w:val="lowerLetter"/>
      <w:lvlText w:val="(%1)"/>
      <w:lvlJc w:val="start"/>
      <w:pPr>
        <w:tabs>
          <w:tab w:val="num" w:pos="0"/>
        </w:tabs>
        <w:ind w:start="0" w:hanging="0"/>
      </w:pPr>
    </w:lvl>
  </w:abstractNum>
  <w:abstractNum w:abstractNumId="47">
    <w:lvl w:ilvl="0">
      <w:start w:val="1"/>
      <w:numFmt w:val="lowerLetter"/>
      <w:lvlText w:val="(%1)"/>
      <w:lvlJc w:val="start"/>
      <w:pPr>
        <w:tabs>
          <w:tab w:val="num" w:pos="0"/>
        </w:tabs>
        <w:ind w:start="0" w:hanging="0"/>
      </w:pPr>
    </w:lvl>
  </w:abstractNum>
  <w:abstractNum w:abstractNumId="48">
    <w:lvl w:ilvl="0">
      <w:start w:val="7"/>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