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8460" w:end="0"/>
        <w:rPr>
          <w:rFonts w:ascii="Arial" w:hAnsi="Arial" w:eastAsia="Arial" w:cs="Arial"/>
          <w:b/>
        </w:rPr>
      </w:pPr>
      <w:r>
        <w:rPr>
          <w:rFonts w:eastAsia="Arial" w:cs="Arial" w:ascii="Arial" w:hAnsi="Arial"/>
          <w:b/>
        </w:rPr>
        <w:t>Reset Form</w:t>
      </w:r>
      <w:r>
        <mc:AlternateContent>
          <mc:Choice Requires="wps">
            <w:drawing>
              <wp:anchor behindDoc="0" distT="0" distB="0" distL="0" distR="0" simplePos="0" locked="0" layoutInCell="0" allowOverlap="1" relativeHeight="2">
                <wp:simplePos x="0" y="0"/>
                <wp:positionH relativeFrom="page">
                  <wp:posOffset>432435</wp:posOffset>
                </wp:positionH>
                <wp:positionV relativeFrom="page">
                  <wp:posOffset>433070</wp:posOffset>
                </wp:positionV>
                <wp:extent cx="1371600" cy="196215"/>
                <wp:effectExtent l="0" t="0" r="0" b="0"/>
                <wp:wrapSquare wrapText="bothSides"/>
                <wp:docPr id="1" name="Frame1"/>
                <a:graphic xmlns:a="http://schemas.openxmlformats.org/drawingml/2006/main">
                  <a:graphicData uri="http://schemas.microsoft.com/office/word/2010/wordprocessingShape">
                    <wps:wsp>
                      <wps:cNvSpPr txBox="1"/>
                      <wps:spPr>
                        <a:xfrm>
                          <a:off x="0" y="0"/>
                          <a:ext cx="1371600" cy="196215"/>
                        </a:xfrm>
                        <a:prstGeom prst="rect"/>
                        <a:solidFill>
                          <a:srgbClr val="FFFFFF">
                            <a:alpha val="0"/>
                          </a:srgbClr>
                        </a:solidFill>
                      </wps:spPr>
                      <wps:txbx>
                        <w:txbxContent>
                          <w:p>
                            <w:pPr>
                              <w:pStyle w:val="Normal"/>
                              <w:spacing w:lineRule="auto" w:line="228"/>
                              <w:rPr>
                                <w:rFonts w:ascii="Arial" w:hAnsi="Arial" w:eastAsia="Arial" w:cs="Arial"/>
                                <w:sz w:val="14"/>
                              </w:rPr>
                            </w:pPr>
                            <w:bookmarkStart w:id="0" w:name="page1"/>
                            <w:bookmarkEnd w:id="0"/>
                            <w:r>
                              <w:rPr>
                                <w:rFonts w:eastAsia="Arial" w:cs="Arial" w:ascii="Arial" w:hAnsi="Arial"/>
                                <w:sz w:val="14"/>
                              </w:rPr>
                              <w:drawing>
                                <wp:inline distT="0" distB="0" distL="0" distR="0">
                                  <wp:extent cx="1078865" cy="299085"/>
                                  <wp:effectExtent l="0" t="0" r="0" b="0"/>
                                  <wp:docPr id="2"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title=""/>
                                          <pic:cNvPicPr>
                                            <a:picLocks noChangeAspect="1" noChangeArrowheads="1"/>
                                          </pic:cNvPicPr>
                                        </pic:nvPicPr>
                                        <pic:blipFill>
                                          <a:blip r:embed="rId2"/>
                                          <a:srcRect l="-17" t="-60" r="-17" b="-60"/>
                                          <a:stretch>
                                            <a:fillRect/>
                                          </a:stretch>
                                        </pic:blipFill>
                                        <pic:spPr bwMode="auto">
                                          <a:xfrm>
                                            <a:off x="0" y="0"/>
                                            <a:ext cx="1078865" cy="299085"/>
                                          </a:xfrm>
                                          <a:prstGeom prst="rect">
                                            <a:avLst/>
                                          </a:prstGeom>
                                        </pic:spPr>
                                      </pic:pic>
                                    </a:graphicData>
                                  </a:graphic>
                                </wp:inline>
                              </w:drawing>
                              <w:t>Michigan Department of Treasury 2766 (Rev. 05-16)</w:t>
                            </w:r>
                          </w:p>
                        </w:txbxContent>
                      </wps:txbx>
                      <wps:bodyPr anchor="t" lIns="0" tIns="0" rIns="0" bIns="0">
                        <a:noAutofit/>
                      </wps:bodyPr>
                    </wps:wsp>
                  </a:graphicData>
                </a:graphic>
              </wp:anchor>
            </w:drawing>
          </mc:Choice>
          <mc:Fallback>
            <w:pict>
              <v:rect fillcolor="#FFFFFF" style="position:absolute;rotation:-0;width:108pt;height:15.45pt;mso-wrap-distance-left:0pt;mso-wrap-distance-right:0pt;mso-wrap-distance-top:0pt;mso-wrap-distance-bottom:0pt;margin-top:34.1pt;mso-position-vertical-relative:page;margin-left:34.05pt;mso-position-horizontal-relative:page">
                <v:fill opacity="0f"/>
                <v:textbox inset="0in,0in,0in,0in">
                  <w:txbxContent>
                    <w:p>
                      <w:pPr>
                        <w:pStyle w:val="Normal"/>
                        <w:spacing w:lineRule="auto" w:line="228"/>
                        <w:rPr>
                          <w:rFonts w:ascii="Arial" w:hAnsi="Arial" w:eastAsia="Arial" w:cs="Arial"/>
                          <w:sz w:val="14"/>
                        </w:rPr>
                      </w:pPr>
                      <w:bookmarkStart w:id="1" w:name="page1"/>
                      <w:bookmarkEnd w:id="1"/>
                      <w:r>
                        <w:rPr>
                          <w:rFonts w:eastAsia="Arial" w:cs="Arial" w:ascii="Arial" w:hAnsi="Arial"/>
                          <w:sz w:val="14"/>
                        </w:rPr>
                        <w:drawing>
                          <wp:inline distT="0" distB="0" distL="0" distR="0">
                            <wp:extent cx="1078865" cy="299085"/>
                            <wp:effectExtent l="0" t="0" r="0" b="0"/>
                            <wp:docPr id="3"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title=""/>
                                    <pic:cNvPicPr>
                                      <a:picLocks noChangeAspect="1" noChangeArrowheads="1"/>
                                    </pic:cNvPicPr>
                                  </pic:nvPicPr>
                                  <pic:blipFill>
                                    <a:blip r:embed="rId3"/>
                                    <a:srcRect l="-17" t="-60" r="-17" b="-60"/>
                                    <a:stretch>
                                      <a:fillRect/>
                                    </a:stretch>
                                  </pic:blipFill>
                                  <pic:spPr bwMode="auto">
                                    <a:xfrm>
                                      <a:off x="0" y="0"/>
                                      <a:ext cx="1078865" cy="299085"/>
                                    </a:xfrm>
                                    <a:prstGeom prst="rect">
                                      <a:avLst/>
                                    </a:prstGeom>
                                  </pic:spPr>
                                </pic:pic>
                              </a:graphicData>
                            </a:graphic>
                          </wp:inline>
                        </w:drawing>
                        <w:t>Michigan Department of Treasury 2766 (Rev. 05-16)</w:t>
                      </w:r>
                    </w:p>
                  </w:txbxContent>
                </v:textbox>
                <w10:wrap type="square"/>
              </v:rect>
            </w:pict>
          </mc:Fallback>
        </mc:AlternateContent>
      </w:r>
      <w:r>
        <mc:AlternateContent>
          <mc:Choice Requires="wps">
            <w:drawing>
              <wp:anchor behindDoc="0" distT="0" distB="0" distL="0" distR="0" simplePos="0" locked="0" layoutInCell="0" allowOverlap="1" relativeHeight="3">
                <wp:simplePos x="0" y="0"/>
                <wp:positionH relativeFrom="page">
                  <wp:posOffset>432435</wp:posOffset>
                </wp:positionH>
                <wp:positionV relativeFrom="page">
                  <wp:posOffset>621030</wp:posOffset>
                </wp:positionV>
                <wp:extent cx="2298700" cy="179705"/>
                <wp:effectExtent l="0" t="0" r="0" b="0"/>
                <wp:wrapSquare wrapText="bothSides"/>
                <wp:docPr id="4" name="Frame2"/>
                <a:graphic xmlns:a="http://schemas.openxmlformats.org/drawingml/2006/main">
                  <a:graphicData uri="http://schemas.microsoft.com/office/word/2010/wordprocessingShape">
                    <wps:wsp>
                      <wps:cNvSpPr txBox="1"/>
                      <wps:spPr>
                        <a:xfrm>
                          <a:off x="0" y="0"/>
                          <a:ext cx="2298700" cy="179705"/>
                        </a:xfrm>
                        <a:prstGeom prst="rect"/>
                        <a:solidFill>
                          <a:srgbClr val="FFFFFF">
                            <a:alpha val="0"/>
                          </a:srgbClr>
                        </a:solidFill>
                      </wps:spPr>
                      <wps:txbx>
                        <w:txbxContent>
                          <w:p>
                            <w:pPr>
                              <w:pStyle w:val="Normal"/>
                              <w:spacing w:lineRule="auto" w:line="216"/>
                              <w:rPr>
                                <w:rFonts w:ascii="Arial" w:hAnsi="Arial" w:eastAsia="Arial" w:cs="Arial"/>
                                <w:b/>
                                <w:sz w:val="27"/>
                              </w:rPr>
                            </w:pPr>
                            <w:r>
                              <w:rPr>
                                <w:rFonts w:eastAsia="Arial" w:cs="Arial" w:ascii="Arial" w:hAnsi="Arial"/>
                                <w:b/>
                                <w:sz w:val="27"/>
                              </w:rPr>
                              <w:t>Property Transfer Affidavit</w:t>
                            </w:r>
                          </w:p>
                        </w:txbxContent>
                      </wps:txbx>
                      <wps:bodyPr anchor="t" lIns="0" tIns="0" rIns="0" bIns="0">
                        <a:noAutofit/>
                      </wps:bodyPr>
                    </wps:wsp>
                  </a:graphicData>
                </a:graphic>
              </wp:anchor>
            </w:drawing>
          </mc:Choice>
          <mc:Fallback>
            <w:pict>
              <v:rect fillcolor="#FFFFFF" style="position:absolute;rotation:-0;width:181pt;height:14.15pt;mso-wrap-distance-left:0pt;mso-wrap-distance-right:0pt;mso-wrap-distance-top:0pt;mso-wrap-distance-bottom:0pt;margin-top:48.9pt;mso-position-vertical-relative:page;margin-left:34.05pt;mso-position-horizontal-relative:page">
                <v:fill opacity="0f"/>
                <v:textbox inset="0in,0in,0in,0in">
                  <w:txbxContent>
                    <w:p>
                      <w:pPr>
                        <w:pStyle w:val="Normal"/>
                        <w:spacing w:lineRule="auto" w:line="216"/>
                        <w:rPr>
                          <w:rFonts w:ascii="Arial" w:hAnsi="Arial" w:eastAsia="Arial" w:cs="Arial"/>
                          <w:b/>
                          <w:sz w:val="27"/>
                        </w:rPr>
                      </w:pPr>
                      <w:r>
                        <w:rPr>
                          <w:rFonts w:eastAsia="Arial" w:cs="Arial" w:ascii="Arial" w:hAnsi="Arial"/>
                          <w:b/>
                          <w:sz w:val="27"/>
                        </w:rPr>
                        <w:t>Property Transfer Affidavit</w:t>
                      </w:r>
                    </w:p>
                  </w:txbxContent>
                </v:textbox>
                <w10:wrap type="square"/>
              </v:rect>
            </w:pict>
          </mc:Fallback>
        </mc:AlternateContent>
      </w:r>
    </w:p>
    <w:p>
      <w:pPr>
        <w:pStyle w:val="Normal"/>
        <w:spacing w:lineRule="exact" w:line="174"/>
        <w:rPr>
          <w:rFonts w:ascii="Arial" w:hAnsi="Arial" w:eastAsia="Arial" w:cs="Arial"/>
          <w:b/>
          <w:sz w:val="27"/>
        </w:rPr>
      </w:pPr>
      <w:r>
        <w:rPr>
          <w:rFonts w:eastAsia="Arial" w:cs="Arial" w:ascii="Arial" w:hAnsi="Arial"/>
          <w:b/>
          <w:sz w:val="27"/>
        </w:rPr>
      </w:r>
    </w:p>
    <w:p>
      <w:pPr>
        <w:pStyle w:val="Normal"/>
        <w:spacing w:lineRule="atLeast" w:line="0"/>
        <w:ind w:end="20"/>
        <w:jc w:val="end"/>
        <w:rPr>
          <w:rFonts w:ascii="Arial" w:hAnsi="Arial" w:eastAsia="Arial" w:cs="Arial"/>
          <w:b/>
          <w:sz w:val="24"/>
        </w:rPr>
      </w:pPr>
      <w:r>
        <w:rPr>
          <w:rFonts w:eastAsia="Arial" w:cs="Arial" w:ascii="Arial" w:hAnsi="Arial"/>
          <w:b/>
          <w:sz w:val="24"/>
        </w:rPr>
        <w:t>L-4260</w:t>
      </w:r>
    </w:p>
    <w:p>
      <w:pPr>
        <w:pStyle w:val="Normal"/>
        <w:spacing w:lineRule="exact" w:line="191"/>
        <w:rPr>
          <w:rFonts w:ascii="Arial" w:hAnsi="Arial" w:eastAsia="Arial" w:cs="Arial"/>
          <w:b/>
          <w:sz w:val="27"/>
        </w:rPr>
      </w:pPr>
      <w:r>
        <w:rPr>
          <w:rFonts w:eastAsia="Arial" w:cs="Arial" w:ascii="Arial" w:hAnsi="Arial"/>
          <w:b/>
          <w:sz w:val="27"/>
        </w:rPr>
      </w:r>
    </w:p>
    <w:p>
      <w:pPr>
        <w:pStyle w:val="Normal"/>
        <w:spacing w:lineRule="atLeast" w:line="0"/>
        <w:ind w:start="6160" w:end="0"/>
        <w:rPr>
          <w:rFonts w:ascii="Arial" w:hAnsi="Arial" w:eastAsia="Arial" w:cs="Arial"/>
          <w:sz w:val="13"/>
        </w:rPr>
      </w:pPr>
      <w:r>
        <w:rPr>
          <w:rFonts w:eastAsia="Arial" w:cs="Arial" w:ascii="Arial" w:hAnsi="Arial"/>
          <w:sz w:val="13"/>
        </w:rPr>
        <w:t>This form is issued under authority of P.A. 415 of 1994. Filing is mandatory.</w:t>
      </w:r>
    </w:p>
    <w:p>
      <w:pPr>
        <w:pStyle w:val="Normal"/>
        <w:spacing w:lineRule="exact" w:line="53"/>
        <w:rPr>
          <w:rFonts w:ascii="Arial" w:hAnsi="Arial" w:eastAsia="Arial" w:cs="Arial"/>
          <w:b/>
          <w:sz w:val="27"/>
        </w:rPr>
      </w:pPr>
      <w:r>
        <w:rPr>
          <w:rFonts w:eastAsia="Arial" w:cs="Arial" w:ascii="Arial" w:hAnsi="Arial"/>
          <w:b/>
          <w:sz w:val="27"/>
        </w:rPr>
      </w:r>
    </w:p>
    <w:p>
      <w:pPr>
        <w:pStyle w:val="Normal"/>
        <w:spacing w:lineRule="atLeast" w:line="0"/>
        <w:jc w:val="center"/>
        <w:rPr/>
      </w:pPr>
      <w:r>
        <w:rPr>
          <w:rFonts w:eastAsia="Arial" w:cs="Arial" w:ascii="Arial" w:hAnsi="Arial"/>
          <w:sz w:val="16"/>
        </w:rPr>
        <w:t xml:space="preserve">This form must be filed whenever real estate or some types of personal property are transferred (even if you are not recording a deed). </w:t>
      </w:r>
      <w:r>
        <w:rPr>
          <w:rFonts w:eastAsia="Arial" w:cs="Arial" w:ascii="Arial" w:hAnsi="Arial"/>
          <w:b/>
          <w:sz w:val="16"/>
        </w:rPr>
        <w:t>The completed</w:t>
      </w:r>
    </w:p>
    <w:p>
      <w:pPr>
        <w:pStyle w:val="Normal"/>
        <w:spacing w:lineRule="exact" w:line="8"/>
        <w:rPr>
          <w:rFonts w:ascii="Arial" w:hAnsi="Arial" w:eastAsia="Arial" w:cs="Arial"/>
          <w:b/>
          <w:sz w:val="27"/>
        </w:rPr>
      </w:pPr>
      <w:r>
        <w:rPr>
          <w:rFonts w:eastAsia="Arial" w:cs="Arial" w:ascii="Arial" w:hAnsi="Arial"/>
          <w:b/>
          <w:sz w:val="27"/>
        </w:rPr>
      </w:r>
    </w:p>
    <w:p>
      <w:pPr>
        <w:pStyle w:val="Normal"/>
        <w:spacing w:lineRule="atLeast" w:line="0"/>
        <w:rPr>
          <w:rFonts w:ascii="Arial" w:hAnsi="Arial" w:eastAsia="Arial" w:cs="Arial"/>
          <w:b/>
          <w:sz w:val="15"/>
        </w:rPr>
      </w:pPr>
      <w:r>
        <w:rPr>
          <w:rFonts w:eastAsia="Arial" w:cs="Arial" w:ascii="Arial" w:hAnsi="Arial"/>
          <w:b/>
          <w:sz w:val="15"/>
        </w:rPr>
        <w:t>Affidavit must be filed by the new owner with the assessor for the city or township where the property is located within 45 days of the transfer.</w:t>
      </w:r>
    </w:p>
    <w:p>
      <w:pPr>
        <w:pStyle w:val="Normal"/>
        <w:spacing w:lineRule="exact" w:line="20"/>
        <w:rPr>
          <w:rFonts w:ascii="Arial" w:hAnsi="Arial" w:eastAsia="Arial" w:cs="Arial"/>
          <w:b/>
          <w:sz w:val="27"/>
        </w:rPr>
      </w:pPr>
      <w:r>
        <w:rPr>
          <w:rFonts w:eastAsia="Arial" w:cs="Arial" w:ascii="Arial" w:hAnsi="Arial"/>
          <w:b/>
          <w:sz w:val="27"/>
        </w:rPr>
      </w:r>
    </w:p>
    <w:p>
      <w:pPr>
        <w:pStyle w:val="Normal"/>
        <w:spacing w:lineRule="atLeast" w:line="0"/>
        <w:rPr>
          <w:rFonts w:ascii="Arial" w:hAnsi="Arial" w:eastAsia="Arial" w:cs="Arial"/>
          <w:sz w:val="16"/>
        </w:rPr>
      </w:pPr>
      <w:r>
        <w:rPr>
          <w:rFonts w:eastAsia="Arial" w:cs="Arial" w:ascii="Arial" w:hAnsi="Arial"/>
          <w:sz w:val="16"/>
        </w:rPr>
        <w:t>The information on this form is NOT CONFIDENTIAL.</w:t>
      </w:r>
    </w:p>
    <w:p>
      <w:pPr>
        <w:pStyle w:val="Normal"/>
        <w:spacing w:lineRule="exact" w:line="20"/>
        <w:rPr>
          <w:rFonts w:ascii="Arial" w:hAnsi="Arial" w:eastAsia="Arial" w:cs="Arial"/>
          <w:b/>
          <w:sz w:val="27"/>
        </w:rPr>
      </w:pPr>
      <w:r>
        <w:rPr>
          <w:rFonts w:eastAsia="Arial" w:cs="Arial" w:ascii="Arial" w:hAnsi="Arial"/>
          <w:b/>
          <w:sz w:val="27"/>
        </w:rPr>
        <w:drawing>
          <wp:anchor behindDoc="1" distT="0" distB="0" distL="114935" distR="114935" simplePos="0" locked="0" layoutInCell="1" allowOverlap="1" relativeHeight="5">
            <wp:simplePos x="0" y="0"/>
            <wp:positionH relativeFrom="column">
              <wp:posOffset>0</wp:posOffset>
            </wp:positionH>
            <wp:positionV relativeFrom="paragraph">
              <wp:posOffset>53340</wp:posOffset>
            </wp:positionV>
            <wp:extent cx="6864350" cy="8337550"/>
            <wp:effectExtent l="0" t="0" r="0" b="0"/>
            <wp:wrapNone/>
            <wp:docPr id="5"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descr="" title=""/>
                    <pic:cNvPicPr>
                      <a:picLocks noChangeAspect="1" noChangeArrowheads="1"/>
                    </pic:cNvPicPr>
                  </pic:nvPicPr>
                  <pic:blipFill>
                    <a:blip r:embed="rId4"/>
                    <a:srcRect l="-3" t="-2" r="-3" b="-2"/>
                    <a:stretch>
                      <a:fillRect/>
                    </a:stretch>
                  </pic:blipFill>
                  <pic:spPr bwMode="auto">
                    <a:xfrm>
                      <a:off x="0" y="0"/>
                      <a:ext cx="6864350" cy="8337550"/>
                    </a:xfrm>
                    <a:prstGeom prst="rect">
                      <a:avLst/>
                    </a:prstGeom>
                  </pic:spPr>
                </pic:pic>
              </a:graphicData>
            </a:graphic>
          </wp:anchor>
        </w:drawing>
      </w:r>
    </w:p>
    <w:p>
      <w:pPr>
        <w:pStyle w:val="Normal"/>
        <w:spacing w:lineRule="exact" w:line="44"/>
        <w:rPr>
          <w:rFonts w:ascii="Arial" w:hAnsi="Arial" w:eastAsia="Arial" w:cs="Arial"/>
          <w:b/>
          <w:sz w:val="27"/>
        </w:rPr>
      </w:pPr>
      <w:r>
        <w:rPr>
          <w:rFonts w:eastAsia="Arial" w:cs="Arial" w:ascii="Arial" w:hAnsi="Arial"/>
          <w:b/>
          <w:sz w:val="27"/>
        </w:rPr>
      </w:r>
    </w:p>
    <w:tbl>
      <w:tblPr>
        <w:tblW w:w="10820" w:type="dxa"/>
        <w:jc w:val="start"/>
        <w:tblInd w:w="0" w:type="dxa"/>
        <w:tblLayout w:type="fixed"/>
        <w:tblCellMar>
          <w:top w:w="0" w:type="dxa"/>
          <w:start w:w="0" w:type="dxa"/>
          <w:bottom w:w="0" w:type="dxa"/>
          <w:end w:w="0" w:type="dxa"/>
        </w:tblCellMar>
      </w:tblPr>
      <w:tblGrid>
        <w:gridCol w:w="80"/>
        <w:gridCol w:w="180"/>
        <w:gridCol w:w="100"/>
        <w:gridCol w:w="140"/>
        <w:gridCol w:w="1660"/>
        <w:gridCol w:w="260"/>
        <w:gridCol w:w="1660"/>
        <w:gridCol w:w="260"/>
        <w:gridCol w:w="720"/>
        <w:gridCol w:w="1440"/>
        <w:gridCol w:w="200"/>
        <w:gridCol w:w="1240"/>
        <w:gridCol w:w="2880"/>
      </w:tblGrid>
      <w:tr>
        <w:trPr>
          <w:trHeight w:val="195" w:hRule="atLeast"/>
        </w:trPr>
        <w:tc>
          <w:tcPr>
            <w:tcW w:w="260" w:type="dxa"/>
            <w:gridSpan w:val="2"/>
            <w:tcBorders>
              <w:top w:val="single" w:sz="8" w:space="0" w:color="000000"/>
            </w:tcBorders>
          </w:tcPr>
          <w:p>
            <w:pPr>
              <w:pStyle w:val="Normal"/>
              <w:spacing w:lineRule="atLeast" w:line="0"/>
              <w:ind w:start="80" w:end="0"/>
              <w:rPr>
                <w:rFonts w:ascii="Arial" w:hAnsi="Arial" w:eastAsia="Arial" w:cs="Arial"/>
                <w:sz w:val="14"/>
              </w:rPr>
            </w:pPr>
            <w:r>
              <w:rPr>
                <w:rFonts w:eastAsia="Arial" w:cs="Arial" w:ascii="Arial" w:hAnsi="Arial"/>
                <w:sz w:val="14"/>
              </w:rPr>
              <w:t>1.</w:t>
            </w:r>
          </w:p>
        </w:tc>
        <w:tc>
          <w:tcPr>
            <w:tcW w:w="1900" w:type="dxa"/>
            <w:gridSpan w:val="3"/>
            <w:tcBorders>
              <w:top w:val="single" w:sz="8" w:space="0" w:color="000000"/>
            </w:tcBorders>
          </w:tcPr>
          <w:p>
            <w:pPr>
              <w:pStyle w:val="Normal"/>
              <w:spacing w:lineRule="atLeast" w:line="0"/>
              <w:rPr>
                <w:rFonts w:ascii="Arial" w:hAnsi="Arial" w:eastAsia="Arial" w:cs="Arial"/>
                <w:sz w:val="14"/>
              </w:rPr>
            </w:pPr>
            <w:r>
              <w:rPr>
                <w:rFonts w:eastAsia="Arial" w:cs="Arial" w:ascii="Arial" w:hAnsi="Arial"/>
                <w:sz w:val="14"/>
              </w:rPr>
              <w:t>Street Address of Property</w:t>
            </w:r>
          </w:p>
        </w:tc>
        <w:tc>
          <w:tcPr>
            <w:tcW w:w="26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6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2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40" w:type="dxa"/>
            <w:tcBorders>
              <w:top w:val="single" w:sz="8" w:space="0" w:color="000000"/>
            </w:tcBorders>
          </w:tcPr>
          <w:p>
            <w:pPr>
              <w:pStyle w:val="Normal"/>
              <w:spacing w:lineRule="atLeast" w:line="0"/>
              <w:ind w:start="60" w:end="0"/>
              <w:rPr>
                <w:rFonts w:ascii="Arial" w:hAnsi="Arial" w:eastAsia="Arial" w:cs="Arial"/>
                <w:sz w:val="14"/>
              </w:rPr>
            </w:pPr>
            <w:r>
              <w:rPr>
                <w:rFonts w:eastAsia="Arial" w:cs="Arial" w:ascii="Arial" w:hAnsi="Arial"/>
                <w:sz w:val="14"/>
              </w:rPr>
              <w:t>2. County</w:t>
            </w:r>
          </w:p>
        </w:tc>
        <w:tc>
          <w:tcPr>
            <w:tcW w:w="200" w:type="dxa"/>
            <w:tcBorders>
              <w:top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80" w:type="dxa"/>
            <w:tcBorders>
              <w:top w:val="single" w:sz="8" w:space="0" w:color="000000"/>
            </w:tcBorders>
          </w:tcPr>
          <w:p>
            <w:pPr>
              <w:pStyle w:val="Normal"/>
              <w:spacing w:lineRule="atLeast" w:line="0"/>
              <w:ind w:start="60" w:end="0"/>
              <w:rPr>
                <w:rFonts w:ascii="Arial" w:hAnsi="Arial" w:eastAsia="Arial" w:cs="Arial"/>
                <w:sz w:val="14"/>
              </w:rPr>
            </w:pPr>
            <w:r>
              <w:rPr>
                <w:rFonts w:eastAsia="Arial" w:cs="Arial" w:ascii="Arial" w:hAnsi="Arial"/>
                <w:sz w:val="14"/>
              </w:rPr>
              <w:t>3. Date of Transfer (or land contract signed)</w:t>
            </w:r>
          </w:p>
        </w:tc>
      </w:tr>
      <w:tr>
        <w:trPr>
          <w:trHeight w:val="285" w:hRule="atLeast"/>
        </w:trPr>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5" w:hRule="atLeast"/>
        </w:trPr>
        <w:tc>
          <w:tcPr>
            <w:tcW w:w="260" w:type="dxa"/>
            <w:gridSpan w:val="2"/>
            <w:tcBorders/>
          </w:tcPr>
          <w:p>
            <w:pPr>
              <w:pStyle w:val="Normal"/>
              <w:spacing w:lineRule="atLeast" w:line="0"/>
              <w:ind w:start="80" w:end="0"/>
              <w:rPr>
                <w:rFonts w:ascii="Arial" w:hAnsi="Arial" w:eastAsia="Arial" w:cs="Arial"/>
                <w:sz w:val="14"/>
              </w:rPr>
            </w:pPr>
            <w:r>
              <w:rPr>
                <w:rFonts w:eastAsia="Arial" w:cs="Arial" w:ascii="Arial" w:hAnsi="Arial"/>
                <w:sz w:val="14"/>
              </w:rPr>
              <w:t>4.</w:t>
            </w:r>
          </w:p>
        </w:tc>
        <w:tc>
          <w:tcPr>
            <w:tcW w:w="4800" w:type="dxa"/>
            <w:gridSpan w:val="7"/>
            <w:tcBorders/>
          </w:tcPr>
          <w:p>
            <w:pPr>
              <w:pStyle w:val="Normal"/>
              <w:spacing w:lineRule="atLeast" w:line="0"/>
              <w:rPr>
                <w:rFonts w:ascii="Arial" w:hAnsi="Arial" w:eastAsia="Arial" w:cs="Arial"/>
                <w:w w:val="99"/>
                <w:sz w:val="14"/>
              </w:rPr>
            </w:pPr>
            <w:r>
              <w:rPr>
                <w:rFonts w:eastAsia="Arial" w:cs="Arial" w:ascii="Arial" w:hAnsi="Arial"/>
                <w:w w:val="99"/>
                <w:sz w:val="14"/>
              </w:rPr>
              <w:t>Location of Real Estate (Check appropriate field and enter name in the space</w:t>
            </w:r>
          </w:p>
        </w:tc>
        <w:tc>
          <w:tcPr>
            <w:tcW w:w="1440" w:type="dxa"/>
            <w:tcBorders>
              <w:end w:val="single" w:sz="8" w:space="0" w:color="000000"/>
            </w:tcBorders>
          </w:tcPr>
          <w:p>
            <w:pPr>
              <w:pStyle w:val="Normal"/>
              <w:spacing w:lineRule="atLeast" w:line="0"/>
              <w:rPr>
                <w:rFonts w:ascii="Arial" w:hAnsi="Arial" w:eastAsia="Arial" w:cs="Arial"/>
                <w:sz w:val="14"/>
              </w:rPr>
            </w:pPr>
            <w:r>
              <w:rPr>
                <w:rFonts w:eastAsia="Arial" w:cs="Arial" w:ascii="Arial" w:hAnsi="Arial"/>
                <w:sz w:val="14"/>
              </w:rPr>
              <w:t>below.)</w:t>
            </w:r>
          </w:p>
        </w:tc>
        <w:tc>
          <w:tcPr>
            <w:tcW w:w="200" w:type="dxa"/>
            <w:tcBorders/>
          </w:tcPr>
          <w:p>
            <w:pPr>
              <w:pStyle w:val="Normal"/>
              <w:spacing w:lineRule="atLeast" w:line="0"/>
              <w:jc w:val="end"/>
              <w:rPr>
                <w:rFonts w:ascii="Arial" w:hAnsi="Arial" w:eastAsia="Arial" w:cs="Arial"/>
                <w:sz w:val="14"/>
              </w:rPr>
            </w:pPr>
            <w:r>
              <w:rPr>
                <w:rFonts w:eastAsia="Arial" w:cs="Arial" w:ascii="Arial" w:hAnsi="Arial"/>
                <w:sz w:val="14"/>
              </w:rPr>
              <w:t>5.</w:t>
            </w:r>
          </w:p>
        </w:tc>
        <w:tc>
          <w:tcPr>
            <w:tcW w:w="1240" w:type="dxa"/>
            <w:tcBorders/>
          </w:tcPr>
          <w:p>
            <w:pPr>
              <w:pStyle w:val="Normal"/>
              <w:spacing w:lineRule="atLeast" w:line="0"/>
              <w:ind w:start="20" w:end="0"/>
              <w:rPr>
                <w:rFonts w:ascii="Arial" w:hAnsi="Arial" w:eastAsia="Arial" w:cs="Arial"/>
                <w:sz w:val="14"/>
              </w:rPr>
            </w:pPr>
            <w:r>
              <w:rPr>
                <w:rFonts w:eastAsia="Arial" w:cs="Arial" w:ascii="Arial" w:hAnsi="Arial"/>
                <w:sz w:val="14"/>
              </w:rPr>
              <w:t>Purchase Price of</w:t>
            </w:r>
          </w:p>
        </w:tc>
        <w:tc>
          <w:tcPr>
            <w:tcW w:w="2880" w:type="dxa"/>
            <w:tcBorders/>
          </w:tcPr>
          <w:p>
            <w:pPr>
              <w:pStyle w:val="Normal"/>
              <w:spacing w:lineRule="atLeast" w:line="0"/>
              <w:rPr>
                <w:rFonts w:ascii="Arial" w:hAnsi="Arial" w:eastAsia="Arial" w:cs="Arial"/>
                <w:sz w:val="14"/>
              </w:rPr>
            </w:pPr>
            <w:r>
              <w:rPr>
                <w:rFonts w:eastAsia="Arial" w:cs="Arial" w:ascii="Arial" w:hAnsi="Arial"/>
                <w:sz w:val="14"/>
              </w:rPr>
              <w:t>Real Estate</w:t>
            </w:r>
          </w:p>
        </w:tc>
      </w:tr>
      <w:tr>
        <w:trPr>
          <w:trHeight w:val="45" w:hRule="atLeast"/>
        </w:trPr>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60" w:type="dxa"/>
            <w:vMerge w:val="restart"/>
            <w:tcBorders/>
          </w:tcPr>
          <w:p>
            <w:pPr>
              <w:pStyle w:val="Normal"/>
              <w:spacing w:lineRule="atLeast" w:line="0"/>
              <w:ind w:start="60" w:end="0"/>
              <w:rPr>
                <w:rFonts w:ascii="Arial" w:hAnsi="Arial" w:eastAsia="Arial" w:cs="Arial"/>
                <w:sz w:val="16"/>
              </w:rPr>
            </w:pPr>
            <w:r>
              <w:rPr>
                <w:rFonts w:eastAsia="Arial" w:cs="Arial" w:ascii="Arial" w:hAnsi="Arial"/>
                <w:sz w:val="16"/>
              </w:rPr>
              <w:t>City</w:t>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60" w:type="dxa"/>
            <w:vMerge w:val="restart"/>
            <w:tcBorders/>
          </w:tcPr>
          <w:p>
            <w:pPr>
              <w:pStyle w:val="Normal"/>
              <w:spacing w:lineRule="atLeast" w:line="0"/>
              <w:ind w:start="60" w:end="0"/>
              <w:rPr>
                <w:rFonts w:ascii="Arial" w:hAnsi="Arial" w:eastAsia="Arial" w:cs="Arial"/>
                <w:sz w:val="16"/>
              </w:rPr>
            </w:pPr>
            <w:r>
              <w:rPr>
                <w:rFonts w:eastAsia="Arial" w:cs="Arial" w:ascii="Arial" w:hAnsi="Arial"/>
                <w:sz w:val="16"/>
              </w:rPr>
              <w:t>Township</w:t>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160" w:type="dxa"/>
            <w:gridSpan w:val="2"/>
            <w:vMerge w:val="restart"/>
            <w:tcBorders>
              <w:end w:val="single" w:sz="8" w:space="0" w:color="000000"/>
            </w:tcBorders>
          </w:tcPr>
          <w:p>
            <w:pPr>
              <w:pStyle w:val="Normal"/>
              <w:spacing w:lineRule="atLeast" w:line="0"/>
              <w:ind w:start="60" w:end="0"/>
              <w:rPr>
                <w:rFonts w:ascii="Arial" w:hAnsi="Arial" w:eastAsia="Arial" w:cs="Arial"/>
                <w:sz w:val="16"/>
              </w:rPr>
            </w:pPr>
            <w:r>
              <w:rPr>
                <w:rFonts w:eastAsia="Arial" w:cs="Arial" w:ascii="Arial" w:hAnsi="Arial"/>
                <w:sz w:val="16"/>
              </w:rPr>
              <w:t>Village</w:t>
            </w:r>
          </w:p>
        </w:tc>
        <w:tc>
          <w:tcPr>
            <w:tcW w:w="2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7" w:hRule="atLeast"/>
        </w:trPr>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6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6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160" w:type="dxa"/>
            <w:gridSpan w:val="2"/>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78" w:hRule="atLeast"/>
        </w:trPr>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tcPr>
          <w:p>
            <w:pPr>
              <w:pStyle w:val="Normal"/>
              <w:spacing w:lineRule="atLeast" w:line="0"/>
              <w:jc w:val="end"/>
              <w:rPr>
                <w:rFonts w:ascii="Arial" w:hAnsi="Arial" w:eastAsia="Arial" w:cs="Arial"/>
                <w:sz w:val="14"/>
              </w:rPr>
            </w:pPr>
            <w:r>
              <w:rPr>
                <w:rFonts w:eastAsia="Arial" w:cs="Arial" w:ascii="Arial" w:hAnsi="Arial"/>
                <w:sz w:val="14"/>
              </w:rPr>
              <w:t>6.</w:t>
            </w:r>
          </w:p>
        </w:tc>
        <w:tc>
          <w:tcPr>
            <w:tcW w:w="4120" w:type="dxa"/>
            <w:gridSpan w:val="2"/>
            <w:tcBorders/>
          </w:tcPr>
          <w:p>
            <w:pPr>
              <w:pStyle w:val="Normal"/>
              <w:spacing w:lineRule="atLeast" w:line="0"/>
              <w:ind w:start="20" w:end="0"/>
              <w:rPr/>
            </w:pPr>
            <w:r>
              <w:rPr>
                <w:rFonts w:eastAsia="Arial" w:cs="Arial" w:ascii="Arial" w:hAnsi="Arial"/>
                <w:sz w:val="14"/>
              </w:rPr>
              <w:t>Seller’s (Transferor) Name</w:t>
            </w:r>
          </w:p>
        </w:tc>
      </w:tr>
      <w:tr>
        <w:trPr>
          <w:trHeight w:val="285" w:hRule="atLeast"/>
        </w:trPr>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75" w:hRule="atLeast"/>
        </w:trPr>
        <w:tc>
          <w:tcPr>
            <w:tcW w:w="260" w:type="dxa"/>
            <w:gridSpan w:val="2"/>
            <w:tcBorders/>
          </w:tcPr>
          <w:p>
            <w:pPr>
              <w:pStyle w:val="Normal"/>
              <w:spacing w:lineRule="atLeast" w:line="0"/>
              <w:ind w:start="80" w:end="0"/>
              <w:rPr>
                <w:rFonts w:ascii="Arial" w:hAnsi="Arial" w:eastAsia="Arial" w:cs="Arial"/>
                <w:sz w:val="14"/>
              </w:rPr>
            </w:pPr>
            <w:r>
              <w:rPr>
                <w:rFonts w:eastAsia="Arial" w:cs="Arial" w:ascii="Arial" w:hAnsi="Arial"/>
                <w:sz w:val="14"/>
              </w:rPr>
              <w:t>7.</w:t>
            </w:r>
          </w:p>
        </w:tc>
        <w:tc>
          <w:tcPr>
            <w:tcW w:w="6240" w:type="dxa"/>
            <w:gridSpan w:val="8"/>
            <w:tcBorders>
              <w:end w:val="single" w:sz="8" w:space="0" w:color="000000"/>
            </w:tcBorders>
          </w:tcPr>
          <w:p>
            <w:pPr>
              <w:pStyle w:val="Normal"/>
              <w:spacing w:lineRule="atLeast" w:line="0"/>
              <w:rPr/>
            </w:pPr>
            <w:r>
              <w:rPr>
                <w:rFonts w:eastAsia="Arial" w:cs="Arial" w:ascii="Arial" w:hAnsi="Arial"/>
                <w:sz w:val="14"/>
              </w:rPr>
              <w:t>Property Identification Number (PIN). If you don’t have a PIN, attach legal description.</w:t>
            </w:r>
          </w:p>
        </w:tc>
        <w:tc>
          <w:tcPr>
            <w:tcW w:w="200" w:type="dxa"/>
            <w:tcBorders/>
          </w:tcPr>
          <w:p>
            <w:pPr>
              <w:pStyle w:val="Normal"/>
              <w:spacing w:lineRule="atLeast" w:line="0"/>
              <w:jc w:val="end"/>
              <w:rPr>
                <w:rFonts w:ascii="Arial" w:hAnsi="Arial" w:eastAsia="Arial" w:cs="Arial"/>
                <w:sz w:val="14"/>
              </w:rPr>
            </w:pPr>
            <w:r>
              <w:rPr>
                <w:rFonts w:eastAsia="Arial" w:cs="Arial" w:ascii="Arial" w:hAnsi="Arial"/>
                <w:sz w:val="14"/>
              </w:rPr>
              <w:t>8.</w:t>
            </w:r>
          </w:p>
        </w:tc>
        <w:tc>
          <w:tcPr>
            <w:tcW w:w="4120" w:type="dxa"/>
            <w:gridSpan w:val="2"/>
            <w:tcBorders/>
          </w:tcPr>
          <w:p>
            <w:pPr>
              <w:pStyle w:val="Normal"/>
              <w:spacing w:lineRule="atLeast" w:line="0"/>
              <w:ind w:start="20" w:end="0"/>
              <w:rPr/>
            </w:pPr>
            <w:r>
              <w:rPr>
                <w:rFonts w:eastAsia="Arial" w:cs="Arial" w:ascii="Arial" w:hAnsi="Arial"/>
                <w:sz w:val="14"/>
              </w:rPr>
              <w:t>Buyer’s (Transferee) Name and Mailing Address</w:t>
            </w:r>
          </w:p>
        </w:tc>
      </w:tr>
      <w:tr>
        <w:trPr>
          <w:trHeight w:val="160" w:hRule="atLeast"/>
        </w:trPr>
        <w:tc>
          <w:tcPr>
            <w:tcW w:w="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20" w:type="dxa"/>
            <w:gridSpan w:val="9"/>
            <w:tcBorders>
              <w:end w:val="single" w:sz="8" w:space="0" w:color="000000"/>
            </w:tcBorders>
          </w:tcPr>
          <w:p>
            <w:pPr>
              <w:pStyle w:val="Normal"/>
              <w:spacing w:lineRule="exact" w:line="159"/>
              <w:rPr/>
            </w:pPr>
            <w:r>
              <w:rPr>
                <w:rFonts w:eastAsia="Arial" w:cs="Arial" w:ascii="Arial" w:hAnsi="Arial"/>
                <w:b/>
                <w:sz w:val="14"/>
              </w:rPr>
              <w:t>PIN.</w:t>
            </w:r>
            <w:r>
              <w:rPr>
                <w:rFonts w:eastAsia="Arial" w:cs="Arial" w:ascii="Arial" w:hAnsi="Arial"/>
                <w:sz w:val="14"/>
              </w:rPr>
              <w:t xml:space="preserve"> This number ranges from 10 to 25 digits. It usually includes hyphens and sometimes includes</w:t>
            </w:r>
          </w:p>
        </w:tc>
        <w:tc>
          <w:tcPr>
            <w:tcW w:w="20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4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88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3" w:hRule="atLeast"/>
        </w:trPr>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980" w:type="dxa"/>
            <w:gridSpan w:val="5"/>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4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85" w:hRule="atLeast"/>
        </w:trPr>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260" w:type="dxa"/>
            <w:gridSpan w:val="7"/>
            <w:tcBorders/>
          </w:tcPr>
          <w:p>
            <w:pPr>
              <w:pStyle w:val="Normal"/>
              <w:spacing w:lineRule="atLeast" w:line="0"/>
              <w:rPr>
                <w:rFonts w:ascii="Arial" w:hAnsi="Arial" w:eastAsia="Arial" w:cs="Arial"/>
                <w:sz w:val="14"/>
              </w:rPr>
            </w:pPr>
            <w:r>
              <w:rPr>
                <w:rFonts w:eastAsia="Arial" w:cs="Arial" w:ascii="Arial" w:hAnsi="Arial"/>
                <w:sz w:val="14"/>
              </w:rPr>
              <w:t>letters. It is on the property tax bill and on the assessment notice.</w:t>
            </w:r>
          </w:p>
        </w:tc>
        <w:tc>
          <w:tcPr>
            <w:tcW w:w="7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4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8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21" w:hRule="atLeast"/>
        </w:trPr>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7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4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8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75" w:hRule="atLeast"/>
        </w:trPr>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tcPr>
          <w:p>
            <w:pPr>
              <w:pStyle w:val="Normal"/>
              <w:spacing w:lineRule="atLeast" w:line="0"/>
              <w:jc w:val="end"/>
              <w:rPr>
                <w:rFonts w:ascii="Arial" w:hAnsi="Arial" w:eastAsia="Arial" w:cs="Arial"/>
                <w:sz w:val="14"/>
              </w:rPr>
            </w:pPr>
            <w:r>
              <w:rPr>
                <w:rFonts w:eastAsia="Arial" w:cs="Arial" w:ascii="Arial" w:hAnsi="Arial"/>
                <w:sz w:val="14"/>
              </w:rPr>
              <w:t>9.</w:t>
            </w:r>
          </w:p>
        </w:tc>
        <w:tc>
          <w:tcPr>
            <w:tcW w:w="4120" w:type="dxa"/>
            <w:gridSpan w:val="2"/>
            <w:tcBorders/>
          </w:tcPr>
          <w:p>
            <w:pPr>
              <w:pStyle w:val="Normal"/>
              <w:spacing w:lineRule="atLeast" w:line="0"/>
              <w:ind w:start="20" w:end="0"/>
              <w:rPr/>
            </w:pPr>
            <w:r>
              <w:rPr>
                <w:rFonts w:eastAsia="Arial" w:cs="Arial" w:ascii="Arial" w:hAnsi="Arial"/>
                <w:sz w:val="14"/>
              </w:rPr>
              <w:t>Buyer’s (Transferee) Telephone Number</w:t>
            </w:r>
          </w:p>
        </w:tc>
      </w:tr>
      <w:tr>
        <w:trPr>
          <w:trHeight w:val="285" w:hRule="atLeast"/>
        </w:trPr>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12"/>
        <w:rPr>
          <w:rFonts w:ascii="Arial" w:hAnsi="Arial" w:eastAsia="Arial" w:cs="Arial"/>
          <w:b/>
          <w:sz w:val="27"/>
        </w:rPr>
      </w:pPr>
      <w:r>
        <w:rPr>
          <w:rFonts w:eastAsia="Arial" w:cs="Arial" w:ascii="Arial" w:hAnsi="Arial"/>
          <w:b/>
          <w:sz w:val="27"/>
        </w:rPr>
      </w:r>
    </w:p>
    <w:p>
      <w:pPr>
        <w:pStyle w:val="Normal"/>
        <w:spacing w:lineRule="atLeast" w:line="0"/>
        <w:ind w:start="80" w:end="0"/>
        <w:rPr>
          <w:rFonts w:ascii="Arial" w:hAnsi="Arial" w:eastAsia="Arial" w:cs="Arial"/>
          <w:b/>
          <w:sz w:val="16"/>
        </w:rPr>
      </w:pPr>
      <w:r>
        <w:rPr>
          <w:rFonts w:eastAsia="Arial" w:cs="Arial" w:ascii="Arial" w:hAnsi="Arial"/>
          <w:b/>
          <w:sz w:val="16"/>
        </w:rPr>
        <w:t>Items 10 - 15 are optional. However, by completing them you may avoid further correspondence.</w:t>
      </w:r>
    </w:p>
    <w:p>
      <w:pPr>
        <w:pStyle w:val="Normal"/>
        <w:spacing w:lineRule="exact" w:line="40"/>
        <w:rPr>
          <w:rFonts w:ascii="Arial" w:hAnsi="Arial" w:eastAsia="Arial" w:cs="Arial"/>
          <w:b/>
          <w:sz w:val="27"/>
        </w:rPr>
      </w:pPr>
      <w:r>
        <w:rPr>
          <w:rFonts w:eastAsia="Arial" w:cs="Arial" w:ascii="Arial" w:hAnsi="Arial"/>
          <w:b/>
          <w:sz w:val="27"/>
        </w:rPr>
      </w:r>
    </w:p>
    <w:p>
      <w:pPr>
        <w:pStyle w:val="Normal"/>
        <w:numPr>
          <w:ilvl w:val="0"/>
          <w:numId w:val="1"/>
        </w:numPr>
        <w:tabs>
          <w:tab w:val="clear" w:pos="720"/>
          <w:tab w:val="left" w:pos="320" w:leader="none"/>
        </w:tabs>
        <w:spacing w:lineRule="auto" w:line="232"/>
        <w:ind w:hanging="235" w:start="320" w:end="100"/>
        <w:rPr>
          <w:rFonts w:ascii="Arial" w:hAnsi="Arial" w:eastAsia="Arial" w:cs="Arial"/>
          <w:sz w:val="14"/>
        </w:rPr>
      </w:pPr>
      <w:r>
        <w:rPr>
          <w:rFonts w:eastAsia="Arial" w:cs="Arial" w:ascii="Arial" w:hAnsi="Arial"/>
          <w:sz w:val="14"/>
        </w:rPr>
        <w:t xml:space="preserve">Type of Transfer. </w:t>
      </w:r>
      <w:r>
        <w:rPr>
          <w:rFonts w:eastAsia="Arial" w:cs="Arial" w:ascii="Arial" w:hAnsi="Arial"/>
          <w:b/>
          <w:sz w:val="14"/>
          <w:u w:val="single"/>
        </w:rPr>
        <w:t>Transfers</w:t>
      </w:r>
      <w:r>
        <w:rPr>
          <w:rFonts w:eastAsia="Arial" w:cs="Arial" w:ascii="Arial" w:hAnsi="Arial"/>
          <w:sz w:val="14"/>
        </w:rPr>
        <w:t xml:space="preserve"> include, but are not limited to, deeds, land contracts, transfers involving trusts or wills, certain long-term leases and business interest. See page 2 for list.</w:t>
      </w:r>
    </w:p>
    <w:p>
      <w:pPr>
        <w:pStyle w:val="Normal"/>
        <w:spacing w:lineRule="exact" w:line="1"/>
        <w:rPr>
          <w:rFonts w:ascii="Arial" w:hAnsi="Arial" w:eastAsia="Arial" w:cs="Arial"/>
          <w:b/>
          <w:sz w:val="27"/>
        </w:rPr>
      </w:pPr>
      <w:r>
        <w:rPr>
          <w:rFonts w:eastAsia="Arial" w:cs="Arial" w:ascii="Arial" w:hAnsi="Arial"/>
          <w:b/>
          <w:sz w:val="27"/>
        </w:rPr>
      </w:r>
    </w:p>
    <w:tbl>
      <w:tblPr>
        <w:tblW w:w="10820" w:type="dxa"/>
        <w:jc w:val="start"/>
        <w:tblInd w:w="0" w:type="dxa"/>
        <w:tblLayout w:type="fixed"/>
        <w:tblCellMar>
          <w:top w:w="0" w:type="dxa"/>
          <w:start w:w="0" w:type="dxa"/>
          <w:bottom w:w="0" w:type="dxa"/>
          <w:end w:w="0" w:type="dxa"/>
        </w:tblCellMar>
      </w:tblPr>
      <w:tblGrid>
        <w:gridCol w:w="500"/>
        <w:gridCol w:w="240"/>
        <w:gridCol w:w="1420"/>
        <w:gridCol w:w="260"/>
        <w:gridCol w:w="240"/>
        <w:gridCol w:w="240"/>
        <w:gridCol w:w="720"/>
        <w:gridCol w:w="480"/>
        <w:gridCol w:w="240"/>
        <w:gridCol w:w="480"/>
        <w:gridCol w:w="240"/>
        <w:gridCol w:w="480"/>
        <w:gridCol w:w="240"/>
        <w:gridCol w:w="240"/>
        <w:gridCol w:w="960"/>
        <w:gridCol w:w="240"/>
        <w:gridCol w:w="3600"/>
      </w:tblGrid>
      <w:tr>
        <w:trPr>
          <w:trHeight w:val="220" w:hRule="atLeast"/>
        </w:trPr>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20" w:type="dxa"/>
            <w:tcBorders/>
          </w:tcPr>
          <w:p>
            <w:pPr>
              <w:pStyle w:val="Normal"/>
              <w:spacing w:lineRule="atLeast" w:line="0"/>
              <w:ind w:start="60" w:end="0"/>
              <w:rPr>
                <w:rFonts w:ascii="Arial" w:hAnsi="Arial" w:eastAsia="Arial" w:cs="Arial"/>
                <w:sz w:val="16"/>
              </w:rPr>
            </w:pPr>
            <w:r>
              <w:rPr>
                <w:rFonts w:eastAsia="Arial" w:cs="Arial" w:ascii="Arial" w:hAnsi="Arial"/>
                <w:sz w:val="16"/>
              </w:rPr>
              <w:t>Land Contract</w:t>
            </w:r>
          </w:p>
        </w:tc>
        <w:tc>
          <w:tcPr>
            <w:tcW w:w="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20" w:type="dxa"/>
            <w:tcBorders/>
          </w:tcPr>
          <w:p>
            <w:pPr>
              <w:pStyle w:val="Normal"/>
              <w:spacing w:lineRule="atLeast" w:line="0"/>
              <w:ind w:start="60" w:end="0"/>
              <w:rPr>
                <w:rFonts w:ascii="Arial" w:hAnsi="Arial" w:eastAsia="Arial" w:cs="Arial"/>
                <w:sz w:val="16"/>
              </w:rPr>
            </w:pPr>
            <w:r>
              <w:rPr>
                <w:rFonts w:eastAsia="Arial" w:cs="Arial" w:ascii="Arial" w:hAnsi="Arial"/>
                <w:sz w:val="16"/>
              </w:rPr>
              <w:t>Lease</w:t>
            </w:r>
          </w:p>
        </w:tc>
        <w:tc>
          <w:tcPr>
            <w:tcW w:w="4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20" w:type="dxa"/>
            <w:gridSpan w:val="4"/>
            <w:tcBorders>
              <w:end w:val="single" w:sz="8" w:space="0" w:color="000000"/>
            </w:tcBorders>
          </w:tcPr>
          <w:p>
            <w:pPr>
              <w:pStyle w:val="Normal"/>
              <w:spacing w:lineRule="atLeast" w:line="0"/>
              <w:ind w:start="60" w:end="0"/>
              <w:rPr>
                <w:rFonts w:ascii="Arial" w:hAnsi="Arial" w:eastAsia="Arial" w:cs="Arial"/>
                <w:sz w:val="16"/>
              </w:rPr>
            </w:pPr>
            <w:r>
              <w:rPr>
                <w:rFonts w:eastAsia="Arial" w:cs="Arial" w:ascii="Arial" w:hAnsi="Arial"/>
                <w:sz w:val="16"/>
              </w:rPr>
              <w:t>Deed</w:t>
            </w:r>
          </w:p>
        </w:tc>
        <w:tc>
          <w:tcPr>
            <w:tcW w:w="2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0" w:type="dxa"/>
            <w:tcBorders/>
          </w:tcPr>
          <w:p>
            <w:pPr>
              <w:pStyle w:val="Normal"/>
              <w:spacing w:lineRule="atLeast" w:line="0"/>
              <w:ind w:start="60" w:end="0"/>
              <w:rPr>
                <w:rFonts w:ascii="Arial" w:hAnsi="Arial" w:eastAsia="Arial" w:cs="Arial"/>
                <w:sz w:val="16"/>
              </w:rPr>
            </w:pPr>
            <w:r>
              <w:rPr>
                <w:rFonts w:eastAsia="Arial" w:cs="Arial" w:ascii="Arial" w:hAnsi="Arial"/>
                <w:sz w:val="16"/>
              </w:rPr>
              <w:t>Other (specify) _______________________</w:t>
            </w:r>
          </w:p>
        </w:tc>
      </w:tr>
      <w:tr>
        <w:trPr>
          <w:trHeight w:val="40" w:hRule="atLeast"/>
        </w:trPr>
        <w:tc>
          <w:tcPr>
            <w:tcW w:w="3620" w:type="dxa"/>
            <w:gridSpan w:val="7"/>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92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4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75" w:hRule="atLeast"/>
        </w:trPr>
        <w:tc>
          <w:tcPr>
            <w:tcW w:w="3620" w:type="dxa"/>
            <w:gridSpan w:val="7"/>
            <w:tcBorders>
              <w:end w:val="single" w:sz="8" w:space="0" w:color="000000"/>
            </w:tcBorders>
          </w:tcPr>
          <w:p>
            <w:pPr>
              <w:pStyle w:val="Normal"/>
              <w:spacing w:lineRule="atLeast" w:line="0"/>
              <w:ind w:start="80" w:end="0"/>
              <w:rPr>
                <w:rFonts w:ascii="Arial" w:hAnsi="Arial" w:eastAsia="Arial" w:cs="Arial"/>
                <w:sz w:val="14"/>
              </w:rPr>
            </w:pPr>
            <w:r>
              <w:rPr>
                <w:rFonts w:eastAsia="Arial" w:cs="Arial" w:ascii="Arial" w:hAnsi="Arial"/>
                <w:sz w:val="14"/>
              </w:rPr>
              <w:t>11. Was property purchased from a financial institution?</w:t>
            </w:r>
          </w:p>
        </w:tc>
        <w:tc>
          <w:tcPr>
            <w:tcW w:w="3360" w:type="dxa"/>
            <w:gridSpan w:val="8"/>
            <w:tcBorders/>
          </w:tcPr>
          <w:p>
            <w:pPr>
              <w:pStyle w:val="Normal"/>
              <w:spacing w:lineRule="atLeast" w:line="0"/>
              <w:ind w:start="60" w:end="0"/>
              <w:rPr>
                <w:rFonts w:ascii="Arial" w:hAnsi="Arial" w:eastAsia="Arial" w:cs="Arial"/>
                <w:sz w:val="14"/>
              </w:rPr>
            </w:pPr>
            <w:r>
              <w:rPr>
                <w:rFonts w:eastAsia="Arial" w:cs="Arial" w:ascii="Arial" w:hAnsi="Arial"/>
                <w:sz w:val="14"/>
              </w:rPr>
              <w:t>12. Is the transfer between related persons?</w:t>
            </w:r>
          </w:p>
        </w:tc>
        <w:tc>
          <w:tcPr>
            <w:tcW w:w="2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600" w:type="dxa"/>
            <w:tcBorders/>
          </w:tcPr>
          <w:p>
            <w:pPr>
              <w:pStyle w:val="Normal"/>
              <w:spacing w:lineRule="atLeast" w:line="0"/>
              <w:ind w:start="60" w:end="0"/>
              <w:rPr>
                <w:rFonts w:ascii="Arial" w:hAnsi="Arial" w:eastAsia="Arial" w:cs="Arial"/>
                <w:sz w:val="14"/>
              </w:rPr>
            </w:pPr>
            <w:r>
              <w:rPr>
                <w:rFonts w:eastAsia="Arial" w:cs="Arial" w:ascii="Arial" w:hAnsi="Arial"/>
                <w:sz w:val="14"/>
              </w:rPr>
              <w:t>13. Amount of Down Payment</w:t>
            </w:r>
          </w:p>
        </w:tc>
      </w:tr>
      <w:tr>
        <w:trPr>
          <w:trHeight w:val="45" w:hRule="atLeast"/>
        </w:trPr>
        <w:tc>
          <w:tcPr>
            <w:tcW w:w="5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20" w:type="dxa"/>
            <w:vMerge w:val="restart"/>
            <w:tcBorders/>
          </w:tcPr>
          <w:p>
            <w:pPr>
              <w:pStyle w:val="Normal"/>
              <w:spacing w:lineRule="atLeast" w:line="0"/>
              <w:ind w:start="60" w:end="0"/>
              <w:rPr>
                <w:rFonts w:ascii="Arial" w:hAnsi="Arial" w:eastAsia="Arial" w:cs="Arial"/>
                <w:sz w:val="16"/>
              </w:rPr>
            </w:pPr>
            <w:r>
              <w:rPr>
                <w:rFonts w:eastAsia="Arial" w:cs="Arial" w:ascii="Arial" w:hAnsi="Arial"/>
                <w:sz w:val="16"/>
              </w:rPr>
              <w:t>Yes</w:t>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0" w:type="dxa"/>
            <w:gridSpan w:val="3"/>
            <w:vMerge w:val="restart"/>
            <w:tcBorders>
              <w:end w:val="single" w:sz="8" w:space="0" w:color="000000"/>
            </w:tcBorders>
          </w:tcPr>
          <w:p>
            <w:pPr>
              <w:pStyle w:val="Normal"/>
              <w:spacing w:lineRule="atLeast" w:line="0"/>
              <w:ind w:start="60" w:end="0"/>
              <w:rPr>
                <w:rFonts w:ascii="Arial" w:hAnsi="Arial" w:eastAsia="Arial" w:cs="Arial"/>
                <w:sz w:val="16"/>
              </w:rPr>
            </w:pPr>
            <w:r>
              <w:rPr>
                <w:rFonts w:eastAsia="Arial" w:cs="Arial" w:ascii="Arial" w:hAnsi="Arial"/>
                <w:sz w:val="16"/>
              </w:rPr>
              <w:t>No</w:t>
            </w:r>
          </w:p>
        </w:tc>
        <w:tc>
          <w:tcPr>
            <w:tcW w:w="4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80" w:type="dxa"/>
            <w:vMerge w:val="restart"/>
            <w:tcBorders/>
          </w:tcPr>
          <w:p>
            <w:pPr>
              <w:pStyle w:val="Normal"/>
              <w:spacing w:lineRule="atLeast" w:line="0"/>
              <w:ind w:start="60" w:end="0"/>
              <w:rPr>
                <w:rFonts w:ascii="Arial" w:hAnsi="Arial" w:eastAsia="Arial" w:cs="Arial"/>
                <w:sz w:val="16"/>
              </w:rPr>
            </w:pPr>
            <w:r>
              <w:rPr>
                <w:rFonts w:eastAsia="Arial" w:cs="Arial" w:ascii="Arial" w:hAnsi="Arial"/>
                <w:sz w:val="16"/>
              </w:rPr>
              <w:t>Yes</w:t>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vMerge w:val="restart"/>
            <w:tcBorders/>
          </w:tcPr>
          <w:p>
            <w:pPr>
              <w:pStyle w:val="Normal"/>
              <w:spacing w:lineRule="atLeast" w:line="0"/>
              <w:ind w:start="60" w:end="0"/>
              <w:rPr>
                <w:rFonts w:ascii="Arial" w:hAnsi="Arial" w:eastAsia="Arial" w:cs="Arial"/>
                <w:sz w:val="16"/>
              </w:rPr>
            </w:pPr>
            <w:r>
              <w:rPr>
                <w:rFonts w:eastAsia="Arial" w:cs="Arial" w:ascii="Arial" w:hAnsi="Arial"/>
                <w:sz w:val="16"/>
              </w:rPr>
              <w:t>No</w:t>
            </w:r>
          </w:p>
        </w:tc>
        <w:tc>
          <w:tcPr>
            <w:tcW w:w="24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7" w:hRule="atLeast"/>
        </w:trPr>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2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0" w:type="dxa"/>
            <w:gridSpan w:val="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43" w:hRule="atLeast"/>
        </w:trPr>
        <w:tc>
          <w:tcPr>
            <w:tcW w:w="3620" w:type="dxa"/>
            <w:gridSpan w:val="7"/>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80" w:type="dxa"/>
            <w:gridSpan w:val="4"/>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75" w:hRule="atLeast"/>
        </w:trPr>
        <w:tc>
          <w:tcPr>
            <w:tcW w:w="3620" w:type="dxa"/>
            <w:gridSpan w:val="7"/>
            <w:tcBorders/>
          </w:tcPr>
          <w:p>
            <w:pPr>
              <w:pStyle w:val="Normal"/>
              <w:spacing w:lineRule="atLeast" w:line="0"/>
              <w:ind w:start="80" w:end="0"/>
              <w:rPr>
                <w:rFonts w:ascii="Arial" w:hAnsi="Arial" w:eastAsia="Arial" w:cs="Arial"/>
                <w:w w:val="99"/>
                <w:sz w:val="14"/>
              </w:rPr>
            </w:pPr>
            <w:r>
              <w:rPr>
                <w:rFonts w:eastAsia="Arial" w:cs="Arial" w:ascii="Arial" w:hAnsi="Arial"/>
                <w:w w:val="99"/>
                <w:sz w:val="14"/>
              </w:rPr>
              <w:t>14. If you financed the purchase, did you pay market rate</w:t>
            </w:r>
          </w:p>
        </w:tc>
        <w:tc>
          <w:tcPr>
            <w:tcW w:w="1200" w:type="dxa"/>
            <w:gridSpan w:val="3"/>
            <w:tcBorders/>
          </w:tcPr>
          <w:p>
            <w:pPr>
              <w:pStyle w:val="Normal"/>
              <w:spacing w:lineRule="atLeast" w:line="0"/>
              <w:ind w:start="40" w:end="0"/>
              <w:rPr>
                <w:rFonts w:ascii="Arial" w:hAnsi="Arial" w:eastAsia="Arial" w:cs="Arial"/>
                <w:sz w:val="14"/>
              </w:rPr>
            </w:pPr>
            <w:r>
              <w:rPr>
                <w:rFonts w:eastAsia="Arial" w:cs="Arial" w:ascii="Arial" w:hAnsi="Arial"/>
                <w:sz w:val="14"/>
              </w:rPr>
              <w:t>of interest?</w:t>
            </w:r>
          </w:p>
        </w:tc>
        <w:tc>
          <w:tcPr>
            <w:tcW w:w="2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80" w:type="dxa"/>
            <w:gridSpan w:val="5"/>
            <w:tcBorders/>
          </w:tcPr>
          <w:p>
            <w:pPr>
              <w:pStyle w:val="Normal"/>
              <w:spacing w:lineRule="atLeast" w:line="0"/>
              <w:ind w:start="60" w:end="0"/>
              <w:rPr>
                <w:rFonts w:ascii="Arial" w:hAnsi="Arial" w:eastAsia="Arial" w:cs="Arial"/>
                <w:sz w:val="14"/>
              </w:rPr>
            </w:pPr>
            <w:r>
              <w:rPr>
                <w:rFonts w:eastAsia="Arial" w:cs="Arial" w:ascii="Arial" w:hAnsi="Arial"/>
                <w:sz w:val="14"/>
              </w:rPr>
              <w:t>15. Amount Financed (Borrowed)</w:t>
            </w:r>
          </w:p>
        </w:tc>
      </w:tr>
      <w:tr>
        <w:trPr>
          <w:trHeight w:val="45" w:hRule="atLeast"/>
        </w:trPr>
        <w:tc>
          <w:tcPr>
            <w:tcW w:w="5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20" w:type="dxa"/>
            <w:vMerge w:val="restart"/>
            <w:tcBorders/>
          </w:tcPr>
          <w:p>
            <w:pPr>
              <w:pStyle w:val="Normal"/>
              <w:spacing w:lineRule="atLeast" w:line="0"/>
              <w:ind w:start="60" w:end="0"/>
              <w:rPr>
                <w:rFonts w:ascii="Arial" w:hAnsi="Arial" w:eastAsia="Arial" w:cs="Arial"/>
                <w:sz w:val="16"/>
              </w:rPr>
            </w:pPr>
            <w:r>
              <w:rPr>
                <w:rFonts w:eastAsia="Arial" w:cs="Arial" w:ascii="Arial" w:hAnsi="Arial"/>
                <w:sz w:val="16"/>
              </w:rPr>
              <w:t>Yes</w:t>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0" w:type="dxa"/>
            <w:gridSpan w:val="3"/>
            <w:vMerge w:val="restart"/>
            <w:tcBorders/>
          </w:tcPr>
          <w:p>
            <w:pPr>
              <w:pStyle w:val="Normal"/>
              <w:spacing w:lineRule="atLeast" w:line="0"/>
              <w:ind w:start="60" w:end="0"/>
              <w:rPr>
                <w:rFonts w:ascii="Arial" w:hAnsi="Arial" w:eastAsia="Arial" w:cs="Arial"/>
                <w:sz w:val="16"/>
              </w:rPr>
            </w:pPr>
            <w:r>
              <w:rPr>
                <w:rFonts w:eastAsia="Arial" w:cs="Arial" w:ascii="Arial" w:hAnsi="Arial"/>
                <w:sz w:val="16"/>
              </w:rPr>
              <w:t>No</w:t>
            </w:r>
          </w:p>
        </w:tc>
        <w:tc>
          <w:tcPr>
            <w:tcW w:w="4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17" w:hRule="atLeast"/>
        </w:trPr>
        <w:tc>
          <w:tcPr>
            <w:tcW w:w="5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2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0" w:type="dxa"/>
            <w:gridSpan w:val="3"/>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43" w:hRule="atLeast"/>
        </w:trPr>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16"/>
        <w:rPr>
          <w:rFonts w:ascii="Arial" w:hAnsi="Arial" w:eastAsia="Arial" w:cs="Arial"/>
          <w:b/>
          <w:sz w:val="27"/>
        </w:rPr>
      </w:pPr>
      <w:r>
        <w:rPr>
          <w:rFonts w:eastAsia="Arial" w:cs="Arial" w:ascii="Arial" w:hAnsi="Arial"/>
          <w:b/>
          <w:sz w:val="27"/>
        </w:rPr>
      </w:r>
    </w:p>
    <w:p>
      <w:pPr>
        <w:pStyle w:val="Normal"/>
        <w:spacing w:lineRule="atLeast" w:line="0"/>
        <w:ind w:start="80" w:end="0"/>
        <w:rPr>
          <w:rFonts w:ascii="Arial" w:hAnsi="Arial" w:eastAsia="Arial" w:cs="Arial"/>
          <w:b/>
        </w:rPr>
      </w:pPr>
      <w:r>
        <w:rPr>
          <w:rFonts w:eastAsia="Arial" w:cs="Arial" w:ascii="Arial" w:hAnsi="Arial"/>
          <w:b/>
        </w:rPr>
        <w:t>EXEMPTIONS</w:t>
      </w:r>
    </w:p>
    <w:p>
      <w:pPr>
        <w:pStyle w:val="Normal"/>
        <w:spacing w:lineRule="exact" w:line="61"/>
        <w:rPr>
          <w:rFonts w:ascii="Arial" w:hAnsi="Arial" w:eastAsia="Arial" w:cs="Arial"/>
          <w:b/>
          <w:sz w:val="27"/>
        </w:rPr>
      </w:pPr>
      <w:r>
        <w:rPr>
          <w:rFonts w:eastAsia="Arial" w:cs="Arial" w:ascii="Arial" w:hAnsi="Arial"/>
          <w:b/>
          <w:sz w:val="27"/>
        </w:rPr>
      </w:r>
    </w:p>
    <w:p>
      <w:pPr>
        <w:pStyle w:val="Normal"/>
        <w:spacing w:lineRule="atLeast" w:line="0"/>
        <w:ind w:start="120" w:end="0"/>
        <w:rPr>
          <w:rFonts w:ascii="Arial" w:hAnsi="Arial" w:eastAsia="Arial" w:cs="Arial"/>
          <w:sz w:val="16"/>
        </w:rPr>
      </w:pPr>
      <w:r>
        <w:rPr>
          <w:rFonts w:eastAsia="Arial" w:cs="Arial" w:ascii="Arial" w:hAnsi="Arial"/>
          <w:sz w:val="16"/>
        </w:rPr>
        <w:t>Certain types of transfers are exempt from uncapping. If you believe this transfer is exempt, indicate below the type of exemption you are claiming.</w:t>
      </w:r>
    </w:p>
    <w:p>
      <w:pPr>
        <w:pStyle w:val="Normal"/>
        <w:spacing w:lineRule="exact" w:line="8"/>
        <w:rPr>
          <w:rFonts w:ascii="Arial" w:hAnsi="Arial" w:eastAsia="Arial" w:cs="Arial"/>
          <w:b/>
          <w:sz w:val="27"/>
        </w:rPr>
      </w:pPr>
      <w:r>
        <w:rPr>
          <w:rFonts w:eastAsia="Arial" w:cs="Arial" w:ascii="Arial" w:hAnsi="Arial"/>
          <w:b/>
          <w:sz w:val="27"/>
        </w:rPr>
      </w:r>
    </w:p>
    <w:p>
      <w:pPr>
        <w:pStyle w:val="Normal"/>
        <w:spacing w:lineRule="atLeast" w:line="0"/>
        <w:ind w:start="120" w:end="0"/>
        <w:rPr>
          <w:rFonts w:ascii="Arial" w:hAnsi="Arial" w:eastAsia="Arial" w:cs="Arial"/>
          <w:sz w:val="16"/>
        </w:rPr>
      </w:pPr>
      <w:r>
        <w:rPr>
          <w:rFonts w:eastAsia="Arial" w:cs="Arial" w:ascii="Arial" w:hAnsi="Arial"/>
          <w:sz w:val="16"/>
        </w:rPr>
        <w:t>If you claim an exemption, your assessor may request more information to support your claim.</w:t>
      </w:r>
    </w:p>
    <w:p>
      <w:pPr>
        <w:pStyle w:val="Normal"/>
        <w:spacing w:lineRule="exact" w:line="40"/>
        <w:rPr>
          <w:rFonts w:ascii="Arial" w:hAnsi="Arial" w:eastAsia="Arial" w:cs="Arial"/>
          <w:b/>
          <w:sz w:val="27"/>
        </w:rPr>
      </w:pPr>
      <w:r>
        <w:rPr>
          <w:rFonts w:eastAsia="Arial" w:cs="Arial" w:ascii="Arial" w:hAnsi="Arial"/>
          <w:b/>
          <w:sz w:val="27"/>
        </w:rPr>
      </w:r>
    </w:p>
    <w:p>
      <w:pPr>
        <w:pStyle w:val="Normal"/>
        <w:spacing w:lineRule="atLeast" w:line="0"/>
        <w:ind w:start="560" w:end="0"/>
        <w:rPr>
          <w:rFonts w:ascii="Arial" w:hAnsi="Arial" w:eastAsia="Arial" w:cs="Arial"/>
          <w:sz w:val="16"/>
        </w:rPr>
      </w:pPr>
      <w:r>
        <w:rPr>
          <w:rFonts w:eastAsia="Arial" w:cs="Arial" w:ascii="Arial" w:hAnsi="Arial"/>
          <w:sz w:val="16"/>
        </w:rPr>
        <w:t>Transfer from one spouse to the other spouse</w:t>
      </w:r>
    </w:p>
    <w:p>
      <w:pPr>
        <w:pStyle w:val="Normal"/>
        <w:spacing w:lineRule="exact" w:line="136"/>
        <w:rPr>
          <w:rFonts w:ascii="Arial" w:hAnsi="Arial" w:eastAsia="Arial" w:cs="Arial"/>
          <w:b/>
          <w:sz w:val="27"/>
        </w:rPr>
      </w:pPr>
      <w:r>
        <w:rPr>
          <w:rFonts w:eastAsia="Arial" w:cs="Arial" w:ascii="Arial" w:hAnsi="Arial"/>
          <w:b/>
          <w:sz w:val="27"/>
        </w:rPr>
      </w:r>
    </w:p>
    <w:p>
      <w:pPr>
        <w:pStyle w:val="Normal"/>
        <w:spacing w:lineRule="atLeast" w:line="0"/>
        <w:ind w:start="560" w:end="0"/>
        <w:rPr>
          <w:rFonts w:ascii="Arial" w:hAnsi="Arial" w:eastAsia="Arial" w:cs="Arial"/>
          <w:sz w:val="16"/>
        </w:rPr>
      </w:pPr>
      <w:r>
        <w:rPr>
          <w:rFonts w:eastAsia="Arial" w:cs="Arial" w:ascii="Arial" w:hAnsi="Arial"/>
          <w:sz w:val="16"/>
        </w:rPr>
        <w:t>Change in ownership solely to exclude or include a spouse</w:t>
      </w:r>
    </w:p>
    <w:p>
      <w:pPr>
        <w:pStyle w:val="Normal"/>
        <w:spacing w:lineRule="exact" w:line="136"/>
        <w:rPr>
          <w:rFonts w:ascii="Arial" w:hAnsi="Arial" w:eastAsia="Arial" w:cs="Arial"/>
          <w:b/>
          <w:sz w:val="27"/>
        </w:rPr>
      </w:pPr>
      <w:r>
        <w:rPr>
          <w:rFonts w:eastAsia="Arial" w:cs="Arial" w:ascii="Arial" w:hAnsi="Arial"/>
          <w:b/>
          <w:sz w:val="27"/>
        </w:rPr>
      </w:r>
    </w:p>
    <w:p>
      <w:pPr>
        <w:pStyle w:val="Normal"/>
        <w:spacing w:lineRule="atLeast" w:line="0"/>
        <w:ind w:start="560" w:end="0"/>
        <w:rPr>
          <w:rFonts w:ascii="Arial" w:hAnsi="Arial" w:eastAsia="Arial" w:cs="Arial"/>
          <w:sz w:val="16"/>
        </w:rPr>
      </w:pPr>
      <w:r>
        <w:rPr>
          <w:rFonts w:eastAsia="Arial" w:cs="Arial" w:ascii="Arial" w:hAnsi="Arial"/>
          <w:sz w:val="16"/>
        </w:rPr>
        <w:t>Transfer between certain family members *(see page 2)</w:t>
      </w:r>
    </w:p>
    <w:p>
      <w:pPr>
        <w:pStyle w:val="Normal"/>
        <w:spacing w:lineRule="exact" w:line="136"/>
        <w:rPr>
          <w:rFonts w:ascii="Arial" w:hAnsi="Arial" w:eastAsia="Arial" w:cs="Arial"/>
          <w:b/>
          <w:sz w:val="27"/>
        </w:rPr>
      </w:pPr>
      <w:r>
        <w:rPr>
          <w:rFonts w:eastAsia="Arial" w:cs="Arial" w:ascii="Arial" w:hAnsi="Arial"/>
          <w:b/>
          <w:sz w:val="27"/>
        </w:rPr>
      </w:r>
    </w:p>
    <w:p>
      <w:pPr>
        <w:pStyle w:val="Normal"/>
        <w:spacing w:lineRule="atLeast" w:line="0"/>
        <w:ind w:start="560" w:end="0"/>
        <w:rPr>
          <w:rFonts w:ascii="Arial" w:hAnsi="Arial" w:eastAsia="Arial" w:cs="Arial"/>
          <w:sz w:val="16"/>
        </w:rPr>
      </w:pPr>
      <w:r>
        <w:rPr>
          <w:rFonts w:eastAsia="Arial" w:cs="Arial" w:ascii="Arial" w:hAnsi="Arial"/>
          <w:sz w:val="16"/>
        </w:rPr>
        <w:t>Transfer of that portion of a property subject to a life lease or life estate (until the life lease or life estate expires)</w:t>
      </w:r>
    </w:p>
    <w:p>
      <w:pPr>
        <w:pStyle w:val="Normal"/>
        <w:spacing w:lineRule="exact" w:line="90"/>
        <w:rPr>
          <w:rFonts w:ascii="Arial" w:hAnsi="Arial" w:eastAsia="Arial" w:cs="Arial"/>
          <w:b/>
          <w:sz w:val="27"/>
        </w:rPr>
      </w:pPr>
      <w:r>
        <w:rPr>
          <w:rFonts w:eastAsia="Arial" w:cs="Arial" w:ascii="Arial" w:hAnsi="Arial"/>
          <w:b/>
          <w:sz w:val="27"/>
        </w:rPr>
      </w:r>
    </w:p>
    <w:p>
      <w:pPr>
        <w:pStyle w:val="Normal"/>
        <w:spacing w:lineRule="auto" w:line="276"/>
        <w:ind w:start="560" w:end="100"/>
        <w:rPr>
          <w:rFonts w:ascii="Arial" w:hAnsi="Arial" w:eastAsia="Arial" w:cs="Arial"/>
          <w:sz w:val="16"/>
        </w:rPr>
      </w:pPr>
      <w:r>
        <w:rPr>
          <w:rFonts w:eastAsia="Arial" w:cs="Arial" w:ascii="Arial" w:hAnsi="Arial"/>
          <w:sz w:val="16"/>
        </w:rPr>
        <w:t>Transfer between certain family members of that portion of a property after the expiration or termination of a life estate or life lease retained by transferor ** (see page 2)</w:t>
      </w:r>
    </w:p>
    <w:p>
      <w:pPr>
        <w:pStyle w:val="Normal"/>
        <w:spacing w:lineRule="exact" w:line="1"/>
        <w:rPr>
          <w:rFonts w:ascii="Arial" w:hAnsi="Arial" w:eastAsia="Arial" w:cs="Arial"/>
          <w:b/>
          <w:sz w:val="27"/>
        </w:rPr>
      </w:pPr>
      <w:r>
        <w:rPr>
          <w:rFonts w:eastAsia="Arial" w:cs="Arial" w:ascii="Arial" w:hAnsi="Arial"/>
          <w:b/>
          <w:sz w:val="27"/>
        </w:rPr>
      </w:r>
    </w:p>
    <w:p>
      <w:pPr>
        <w:pStyle w:val="Normal"/>
        <w:spacing w:lineRule="atLeast" w:line="0"/>
        <w:ind w:start="560" w:end="0"/>
        <w:rPr>
          <w:rFonts w:ascii="Arial" w:hAnsi="Arial" w:eastAsia="Arial" w:cs="Arial"/>
          <w:sz w:val="16"/>
        </w:rPr>
      </w:pPr>
      <w:r>
        <w:rPr>
          <w:rFonts w:eastAsia="Arial" w:cs="Arial" w:ascii="Arial" w:hAnsi="Arial"/>
          <w:sz w:val="16"/>
        </w:rPr>
        <w:t>Transfer to effect the foreclosure or forfeiture of real property</w:t>
      </w:r>
    </w:p>
    <w:p>
      <w:pPr>
        <w:pStyle w:val="Normal"/>
        <w:spacing w:lineRule="exact" w:line="156"/>
        <w:rPr>
          <w:rFonts w:ascii="Arial" w:hAnsi="Arial" w:eastAsia="Arial" w:cs="Arial"/>
          <w:b/>
          <w:sz w:val="27"/>
        </w:rPr>
      </w:pPr>
      <w:r>
        <w:rPr>
          <w:rFonts w:eastAsia="Arial" w:cs="Arial" w:ascii="Arial" w:hAnsi="Arial"/>
          <w:b/>
          <w:sz w:val="27"/>
        </w:rPr>
      </w:r>
    </w:p>
    <w:p>
      <w:pPr>
        <w:pStyle w:val="Normal"/>
        <w:spacing w:lineRule="atLeast" w:line="0"/>
        <w:ind w:start="560" w:end="0"/>
        <w:rPr>
          <w:rFonts w:ascii="Arial" w:hAnsi="Arial" w:eastAsia="Arial" w:cs="Arial"/>
          <w:sz w:val="16"/>
        </w:rPr>
      </w:pPr>
      <w:r>
        <w:rPr>
          <w:rFonts w:eastAsia="Arial" w:cs="Arial" w:ascii="Arial" w:hAnsi="Arial"/>
          <w:sz w:val="16"/>
        </w:rPr>
        <w:t>Transfer by redemption from a tax sale</w:t>
      </w:r>
    </w:p>
    <w:p>
      <w:pPr>
        <w:pStyle w:val="Normal"/>
        <w:spacing w:lineRule="exact" w:line="156"/>
        <w:rPr>
          <w:rFonts w:ascii="Arial" w:hAnsi="Arial" w:eastAsia="Arial" w:cs="Arial"/>
          <w:b/>
          <w:sz w:val="27"/>
        </w:rPr>
      </w:pPr>
      <w:r>
        <w:rPr>
          <w:rFonts w:eastAsia="Arial" w:cs="Arial" w:ascii="Arial" w:hAnsi="Arial"/>
          <w:b/>
          <w:sz w:val="27"/>
        </w:rPr>
      </w:r>
    </w:p>
    <w:p>
      <w:pPr>
        <w:pStyle w:val="Normal"/>
        <w:spacing w:lineRule="auto" w:line="415"/>
        <w:ind w:start="560" w:end="760"/>
        <w:rPr/>
      </w:pPr>
      <w:r>
        <w:rPr>
          <w:rFonts w:eastAsia="Arial" w:cs="Arial" w:ascii="Arial" w:hAnsi="Arial"/>
          <w:sz w:val="16"/>
        </w:rPr>
        <w:t>Transfer into a trust where the settlor or the settlor’s spouse conveys property to the trust and is also the sole beneficiary of the trust Transfer resulting from a court order unless the order specifies a monetary payment</w:t>
      </w:r>
    </w:p>
    <w:p>
      <w:pPr>
        <w:pStyle w:val="Normal"/>
        <w:spacing w:lineRule="exact" w:line="1"/>
        <w:rPr>
          <w:rFonts w:ascii="Arial" w:hAnsi="Arial" w:eastAsia="Arial" w:cs="Arial"/>
          <w:b/>
          <w:sz w:val="27"/>
        </w:rPr>
      </w:pPr>
      <w:r>
        <w:rPr>
          <w:rFonts w:eastAsia="Arial" w:cs="Arial" w:ascii="Arial" w:hAnsi="Arial"/>
          <w:b/>
          <w:sz w:val="27"/>
        </w:rPr>
      </w:r>
    </w:p>
    <w:p>
      <w:pPr>
        <w:pStyle w:val="Normal"/>
        <w:spacing w:lineRule="atLeast" w:line="0"/>
        <w:ind w:start="560" w:end="0"/>
        <w:rPr>
          <w:rFonts w:ascii="Arial" w:hAnsi="Arial" w:eastAsia="Arial" w:cs="Arial"/>
          <w:sz w:val="16"/>
        </w:rPr>
      </w:pPr>
      <w:r>
        <w:rPr>
          <w:rFonts w:eastAsia="Arial" w:cs="Arial" w:ascii="Arial" w:hAnsi="Arial"/>
          <w:sz w:val="16"/>
        </w:rPr>
        <w:t>Transfer creating or ending a joint tenancy if at least one person is an original owner of the property (or his/her spouse)</w:t>
      </w:r>
    </w:p>
    <w:p>
      <w:pPr>
        <w:pStyle w:val="Normal"/>
        <w:spacing w:lineRule="exact" w:line="136"/>
        <w:rPr>
          <w:rFonts w:ascii="Arial" w:hAnsi="Arial" w:eastAsia="Arial" w:cs="Arial"/>
          <w:b/>
          <w:sz w:val="27"/>
        </w:rPr>
      </w:pPr>
      <w:r>
        <w:rPr>
          <w:rFonts w:eastAsia="Arial" w:cs="Arial" w:ascii="Arial" w:hAnsi="Arial"/>
          <w:b/>
          <w:sz w:val="27"/>
        </w:rPr>
      </w:r>
    </w:p>
    <w:p>
      <w:pPr>
        <w:pStyle w:val="Normal"/>
        <w:spacing w:lineRule="atLeast" w:line="0"/>
        <w:ind w:start="560" w:end="0"/>
        <w:rPr>
          <w:rFonts w:ascii="Arial" w:hAnsi="Arial" w:eastAsia="Arial" w:cs="Arial"/>
          <w:sz w:val="16"/>
        </w:rPr>
      </w:pPr>
      <w:r>
        <w:rPr>
          <w:rFonts w:eastAsia="Arial" w:cs="Arial" w:ascii="Arial" w:hAnsi="Arial"/>
          <w:sz w:val="16"/>
        </w:rPr>
        <w:t>Transfer to establish or release a security interest (collateral)</w:t>
      </w:r>
    </w:p>
    <w:p>
      <w:pPr>
        <w:pStyle w:val="Normal"/>
        <w:spacing w:lineRule="exact" w:line="136"/>
        <w:rPr>
          <w:rFonts w:ascii="Arial" w:hAnsi="Arial" w:eastAsia="Arial" w:cs="Arial"/>
          <w:b/>
          <w:sz w:val="27"/>
        </w:rPr>
      </w:pPr>
      <w:r>
        <w:rPr>
          <w:rFonts w:eastAsia="Arial" w:cs="Arial" w:ascii="Arial" w:hAnsi="Arial"/>
          <w:b/>
          <w:sz w:val="27"/>
        </w:rPr>
      </w:r>
    </w:p>
    <w:p>
      <w:pPr>
        <w:pStyle w:val="Normal"/>
        <w:spacing w:lineRule="atLeast" w:line="0"/>
        <w:ind w:start="560" w:end="0"/>
        <w:rPr>
          <w:rFonts w:ascii="Arial" w:hAnsi="Arial" w:eastAsia="Arial" w:cs="Arial"/>
          <w:sz w:val="16"/>
        </w:rPr>
      </w:pPr>
      <w:r>
        <w:rPr>
          <w:rFonts w:eastAsia="Arial" w:cs="Arial" w:ascii="Arial" w:hAnsi="Arial"/>
          <w:sz w:val="16"/>
        </w:rPr>
        <w:t>Transfer of real estate through normal public trading of stock</w:t>
      </w:r>
    </w:p>
    <w:p>
      <w:pPr>
        <w:pStyle w:val="Normal"/>
        <w:spacing w:lineRule="exact" w:line="136"/>
        <w:rPr>
          <w:rFonts w:ascii="Arial" w:hAnsi="Arial" w:eastAsia="Arial" w:cs="Arial"/>
          <w:b/>
          <w:sz w:val="27"/>
        </w:rPr>
      </w:pPr>
      <w:r>
        <w:rPr>
          <w:rFonts w:eastAsia="Arial" w:cs="Arial" w:ascii="Arial" w:hAnsi="Arial"/>
          <w:b/>
          <w:sz w:val="27"/>
        </w:rPr>
      </w:r>
    </w:p>
    <w:p>
      <w:pPr>
        <w:pStyle w:val="Normal"/>
        <w:spacing w:lineRule="atLeast" w:line="0"/>
        <w:ind w:start="560" w:end="0"/>
        <w:rPr>
          <w:rFonts w:ascii="Arial" w:hAnsi="Arial" w:eastAsia="Arial" w:cs="Arial"/>
          <w:sz w:val="16"/>
        </w:rPr>
      </w:pPr>
      <w:r>
        <w:rPr>
          <w:rFonts w:eastAsia="Arial" w:cs="Arial" w:ascii="Arial" w:hAnsi="Arial"/>
          <w:sz w:val="16"/>
        </w:rPr>
        <w:t>Transfer between entities under common control or among members of an affiliated group</w:t>
      </w:r>
    </w:p>
    <w:p>
      <w:pPr>
        <w:pStyle w:val="Normal"/>
        <w:spacing w:lineRule="exact" w:line="136"/>
        <w:rPr>
          <w:rFonts w:ascii="Arial" w:hAnsi="Arial" w:eastAsia="Arial" w:cs="Arial"/>
          <w:b/>
          <w:sz w:val="27"/>
        </w:rPr>
      </w:pPr>
      <w:r>
        <w:rPr>
          <w:rFonts w:eastAsia="Arial" w:cs="Arial" w:ascii="Arial" w:hAnsi="Arial"/>
          <w:b/>
          <w:sz w:val="27"/>
        </w:rPr>
      </w:r>
    </w:p>
    <w:p>
      <w:pPr>
        <w:pStyle w:val="Normal"/>
        <w:spacing w:lineRule="atLeast" w:line="0"/>
        <w:ind w:start="560" w:end="0"/>
        <w:rPr>
          <w:rFonts w:ascii="Arial" w:hAnsi="Arial" w:eastAsia="Arial" w:cs="Arial"/>
          <w:sz w:val="16"/>
        </w:rPr>
      </w:pPr>
      <w:r>
        <w:rPr>
          <w:rFonts w:eastAsia="Arial" w:cs="Arial" w:ascii="Arial" w:hAnsi="Arial"/>
          <w:sz w:val="16"/>
        </w:rPr>
        <w:t>Transfer resulting from transactions that qualify as a tax-free reorganization under Section 368 of the Internal Revenue Code.</w:t>
      </w:r>
    </w:p>
    <w:p>
      <w:pPr>
        <w:pStyle w:val="Normal"/>
        <w:spacing w:lineRule="exact" w:line="136"/>
        <w:rPr>
          <w:rFonts w:ascii="Arial" w:hAnsi="Arial" w:eastAsia="Arial" w:cs="Arial"/>
          <w:b/>
          <w:sz w:val="27"/>
        </w:rPr>
      </w:pPr>
      <w:r>
        <w:rPr>
          <w:rFonts w:eastAsia="Arial" w:cs="Arial" w:ascii="Arial" w:hAnsi="Arial"/>
          <w:b/>
          <w:sz w:val="27"/>
        </w:rPr>
      </w:r>
    </w:p>
    <w:p>
      <w:pPr>
        <w:pStyle w:val="Normal"/>
        <w:spacing w:lineRule="atLeast" w:line="0"/>
        <w:ind w:start="560" w:end="0"/>
        <w:rPr>
          <w:rFonts w:ascii="Arial" w:hAnsi="Arial" w:eastAsia="Arial" w:cs="Arial"/>
          <w:sz w:val="16"/>
        </w:rPr>
      </w:pPr>
      <w:r>
        <w:rPr>
          <w:rFonts w:eastAsia="Arial" w:cs="Arial" w:ascii="Arial" w:hAnsi="Arial"/>
          <w:sz w:val="16"/>
        </w:rPr>
        <w:t>Transfer of qualified agricultural property when the property remains qualified agricultural property and affidavit has been filed.</w:t>
      </w:r>
    </w:p>
    <w:p>
      <w:pPr>
        <w:pStyle w:val="Normal"/>
        <w:spacing w:lineRule="exact" w:line="136"/>
        <w:rPr>
          <w:rFonts w:ascii="Arial" w:hAnsi="Arial" w:eastAsia="Arial" w:cs="Arial"/>
          <w:b/>
          <w:sz w:val="27"/>
        </w:rPr>
      </w:pPr>
      <w:r>
        <w:rPr>
          <w:rFonts w:eastAsia="Arial" w:cs="Arial" w:ascii="Arial" w:hAnsi="Arial"/>
          <w:b/>
          <w:sz w:val="27"/>
        </w:rPr>
      </w:r>
    </w:p>
    <w:p>
      <w:pPr>
        <w:pStyle w:val="Normal"/>
        <w:spacing w:lineRule="atLeast" w:line="0"/>
        <w:ind w:start="560" w:end="0"/>
        <w:rPr>
          <w:rFonts w:ascii="Arial" w:hAnsi="Arial" w:eastAsia="Arial" w:cs="Arial"/>
          <w:sz w:val="16"/>
        </w:rPr>
      </w:pPr>
      <w:r>
        <w:rPr>
          <w:rFonts w:eastAsia="Arial" w:cs="Arial" w:ascii="Arial" w:hAnsi="Arial"/>
          <w:sz w:val="16"/>
        </w:rPr>
        <w:t>Transfer of qualified forest property when the property remains qualified forest property and affidavit has been filed.</w:t>
      </w:r>
    </w:p>
    <w:p>
      <w:pPr>
        <w:pStyle w:val="Normal"/>
        <w:spacing w:lineRule="exact" w:line="136"/>
        <w:rPr>
          <w:rFonts w:ascii="Arial" w:hAnsi="Arial" w:eastAsia="Arial" w:cs="Arial"/>
          <w:b/>
          <w:sz w:val="27"/>
        </w:rPr>
      </w:pPr>
      <w:r>
        <w:rPr>
          <w:rFonts w:eastAsia="Arial" w:cs="Arial" w:ascii="Arial" w:hAnsi="Arial"/>
          <w:b/>
          <w:sz w:val="27"/>
        </w:rPr>
      </w:r>
    </w:p>
    <w:p>
      <w:pPr>
        <w:pStyle w:val="Normal"/>
        <w:spacing w:lineRule="atLeast" w:line="0"/>
        <w:ind w:start="560" w:end="0"/>
        <w:rPr>
          <w:rFonts w:ascii="Arial" w:hAnsi="Arial" w:eastAsia="Arial" w:cs="Arial"/>
          <w:sz w:val="16"/>
        </w:rPr>
      </w:pPr>
      <w:r>
        <w:rPr>
          <w:rFonts w:eastAsia="Arial" w:cs="Arial" w:ascii="Arial" w:hAnsi="Arial"/>
          <w:sz w:val="16"/>
        </w:rPr>
        <w:t>Transfer of land with qualified conservation easement (land only - not improvements)</w:t>
      </w:r>
    </w:p>
    <w:p>
      <w:pPr>
        <w:pStyle w:val="Normal"/>
        <w:spacing w:lineRule="exact" w:line="136"/>
        <w:rPr>
          <w:rFonts w:ascii="Arial" w:hAnsi="Arial" w:eastAsia="Arial" w:cs="Arial"/>
          <w:b/>
          <w:sz w:val="27"/>
        </w:rPr>
      </w:pPr>
      <w:r>
        <w:rPr>
          <w:rFonts w:eastAsia="Arial" w:cs="Arial" w:ascii="Arial" w:hAnsi="Arial"/>
          <w:b/>
          <w:sz w:val="27"/>
        </w:rPr>
      </w:r>
    </w:p>
    <w:p>
      <w:pPr>
        <w:pStyle w:val="Normal"/>
        <w:spacing w:lineRule="atLeast" w:line="0"/>
        <w:ind w:start="560" w:end="0"/>
        <w:rPr>
          <w:rFonts w:ascii="Arial" w:hAnsi="Arial" w:eastAsia="Arial" w:cs="Arial"/>
          <w:sz w:val="16"/>
        </w:rPr>
      </w:pPr>
      <w:r>
        <w:rPr>
          <w:rFonts w:eastAsia="Arial" w:cs="Arial" w:ascii="Arial" w:hAnsi="Arial"/>
          <w:sz w:val="16"/>
        </w:rPr>
        <w:t>Other, specify: __________________________________________________________________________________________________</w:t>
      </w:r>
    </w:p>
    <w:p>
      <w:pPr>
        <w:pStyle w:val="Normal"/>
        <w:spacing w:lineRule="exact" w:line="110"/>
        <w:rPr>
          <w:rFonts w:ascii="Arial" w:hAnsi="Arial" w:eastAsia="Arial" w:cs="Arial"/>
          <w:b/>
          <w:sz w:val="27"/>
        </w:rPr>
      </w:pPr>
      <w:r>
        <w:rPr>
          <w:rFonts w:eastAsia="Arial" w:cs="Arial" w:ascii="Arial" w:hAnsi="Arial"/>
          <w:b/>
          <w:sz w:val="27"/>
        </w:rPr>
      </w:r>
    </w:p>
    <w:p>
      <w:pPr>
        <w:pStyle w:val="Normal"/>
        <w:spacing w:lineRule="atLeast" w:line="0"/>
        <w:ind w:start="80" w:end="0"/>
        <w:rPr>
          <w:rFonts w:ascii="Arial" w:hAnsi="Arial" w:eastAsia="Arial" w:cs="Arial"/>
          <w:b/>
        </w:rPr>
      </w:pPr>
      <w:r>
        <w:rPr>
          <w:rFonts w:eastAsia="Arial" w:cs="Arial" w:ascii="Arial" w:hAnsi="Arial"/>
          <w:b/>
        </w:rPr>
        <w:t>CErTIfICaTION</w:t>
      </w:r>
    </w:p>
    <w:p>
      <w:pPr>
        <w:pStyle w:val="Normal"/>
        <w:spacing w:lineRule="exact" w:line="98"/>
        <w:rPr>
          <w:rFonts w:ascii="Arial" w:hAnsi="Arial" w:eastAsia="Arial" w:cs="Arial"/>
          <w:b/>
          <w:sz w:val="27"/>
        </w:rPr>
      </w:pPr>
      <w:r>
        <w:rPr>
          <w:rFonts w:eastAsia="Arial" w:cs="Arial" w:ascii="Arial" w:hAnsi="Arial"/>
          <w:b/>
          <w:sz w:val="27"/>
        </w:rPr>
      </w:r>
    </w:p>
    <w:p>
      <w:pPr>
        <w:pStyle w:val="Normal"/>
        <w:spacing w:lineRule="atLeast" w:line="0"/>
        <w:ind w:start="80" w:end="0"/>
        <w:rPr>
          <w:rFonts w:ascii="Arial" w:hAnsi="Arial" w:eastAsia="Arial" w:cs="Arial"/>
          <w:i/>
          <w:i/>
          <w:sz w:val="16"/>
        </w:rPr>
      </w:pPr>
      <w:r>
        <w:rPr>
          <w:rFonts w:eastAsia="Arial" w:cs="Arial" w:ascii="Arial" w:hAnsi="Arial"/>
          <w:i/>
          <w:sz w:val="16"/>
        </w:rPr>
        <w:t>I certify that the information above is true and complete to the best of my knowledge.</w:t>
      </w:r>
    </w:p>
    <w:p>
      <w:pPr>
        <w:pStyle w:val="Normal"/>
        <w:spacing w:lineRule="exact" w:line="69"/>
        <w:rPr>
          <w:rFonts w:ascii="Arial" w:hAnsi="Arial" w:eastAsia="Arial" w:cs="Arial"/>
          <w:b/>
          <w:i/>
          <w:i/>
          <w:sz w:val="27"/>
        </w:rPr>
      </w:pPr>
      <w:r>
        <w:rPr>
          <w:rFonts w:eastAsia="Arial" w:cs="Arial" w:ascii="Arial" w:hAnsi="Arial"/>
          <w:b/>
          <w:i/>
          <w:sz w:val="27"/>
        </w:rPr>
      </w:r>
    </w:p>
    <w:p>
      <w:pPr>
        <w:pStyle w:val="Normal"/>
        <w:spacing w:lineRule="atLeast" w:line="0"/>
        <w:ind w:start="80" w:end="0"/>
        <w:rPr>
          <w:rFonts w:ascii="Arial" w:hAnsi="Arial" w:eastAsia="Arial" w:cs="Arial"/>
          <w:sz w:val="14"/>
        </w:rPr>
      </w:pPr>
      <w:r>
        <w:rPr>
          <w:rFonts w:eastAsia="Arial" w:cs="Arial" w:ascii="Arial" w:hAnsi="Arial"/>
          <w:sz w:val="14"/>
        </w:rPr>
        <w:t>Printed Name</w:t>
      </w:r>
    </w:p>
    <w:p>
      <w:pPr>
        <w:sectPr>
          <w:type w:val="nextPage"/>
          <w:pgSz w:w="12240" w:h="15840"/>
          <w:pgMar w:left="720" w:right="700" w:gutter="0" w:header="0" w:top="248" w:footer="0" w:bottom="433"/>
          <w:pgNumType w:fmt="decimal"/>
          <w:formProt w:val="false"/>
          <w:textDirection w:val="lrTb"/>
          <w:docGrid w:type="default" w:linePitch="360" w:charSpace="0"/>
        </w:sectPr>
      </w:pPr>
    </w:p>
    <w:p>
      <w:pPr>
        <w:pStyle w:val="Normal"/>
        <w:spacing w:lineRule="exact" w:line="259"/>
        <w:rPr>
          <w:rFonts w:ascii="Arial" w:hAnsi="Arial" w:eastAsia="Arial" w:cs="Arial"/>
          <w:b/>
          <w:sz w:val="27"/>
        </w:rPr>
      </w:pPr>
      <w:r>
        <w:rPr>
          <w:rFonts w:eastAsia="Arial" w:cs="Arial" w:ascii="Arial" w:hAnsi="Arial"/>
          <w:b/>
          <w:sz w:val="27"/>
        </w:rPr>
      </w:r>
    </w:p>
    <w:p>
      <w:pPr>
        <w:pStyle w:val="Normal"/>
        <w:spacing w:lineRule="atLeast" w:line="0"/>
        <w:ind w:start="80" w:end="0"/>
        <w:rPr>
          <w:rFonts w:ascii="Arial" w:hAnsi="Arial" w:eastAsia="Arial" w:cs="Arial"/>
          <w:sz w:val="14"/>
        </w:rPr>
      </w:pPr>
      <w:r>
        <w:rPr>
          <w:rFonts w:eastAsia="Arial" w:cs="Arial" w:ascii="Arial" w:hAnsi="Arial"/>
          <w:sz w:val="14"/>
        </w:rPr>
        <w:t>Signature</w:t>
      </w:r>
    </w:p>
    <w:p>
      <w:pPr>
        <w:pStyle w:val="Normal"/>
        <w:spacing w:lineRule="exact" w:line="259"/>
        <w:rPr>
          <w:rFonts w:ascii="Arial" w:hAnsi="Arial" w:eastAsia="Arial" w:cs="Arial"/>
          <w:b/>
          <w:sz w:val="27"/>
        </w:rPr>
      </w:pPr>
      <w:r>
        <w:br w:type="column"/>
      </w:r>
      <w:r>
        <w:rPr>
          <w:rFonts w:eastAsia="Arial" w:cs="Arial" w:ascii="Arial" w:hAnsi="Arial"/>
          <w:b/>
          <w:sz w:val="27"/>
        </w:rPr>
      </w:r>
    </w:p>
    <w:p>
      <w:pPr>
        <w:pStyle w:val="Normal"/>
        <w:spacing w:lineRule="atLeast" w:line="0"/>
        <w:rPr>
          <w:rFonts w:ascii="Arial" w:hAnsi="Arial" w:eastAsia="Arial" w:cs="Arial"/>
          <w:sz w:val="14"/>
        </w:rPr>
      </w:pPr>
      <w:r>
        <w:rPr>
          <w:rFonts w:eastAsia="Arial" w:cs="Arial" w:ascii="Arial" w:hAnsi="Arial"/>
          <w:sz w:val="14"/>
        </w:rPr>
        <w:t>Date</w:t>
      </w:r>
    </w:p>
    <w:p>
      <w:pPr>
        <w:sectPr>
          <w:type w:val="continuous"/>
          <w:pgSz w:w="12240" w:h="15840"/>
          <w:pgMar w:left="720" w:right="700" w:gutter="0" w:header="0" w:top="248" w:footer="0" w:bottom="433"/>
          <w:cols w:num="2" w:equalWidth="false" w:sep="false">
            <w:col w:w="6560" w:space="720"/>
            <w:col w:w="3540"/>
          </w:cols>
          <w:formProt w:val="false"/>
          <w:textDirection w:val="lrTb"/>
          <w:docGrid w:type="default" w:linePitch="360" w:charSpace="0"/>
        </w:sectPr>
      </w:pPr>
    </w:p>
    <w:p>
      <w:pPr>
        <w:pStyle w:val="Normal"/>
        <w:spacing w:lineRule="exact" w:line="200"/>
        <w:rPr>
          <w:rFonts w:ascii="Arial" w:hAnsi="Arial" w:eastAsia="Arial" w:cs="Arial"/>
          <w:b/>
          <w:sz w:val="27"/>
        </w:rPr>
      </w:pPr>
      <w:r>
        <w:rPr>
          <w:rFonts w:eastAsia="Arial" w:cs="Arial" w:ascii="Arial" w:hAnsi="Arial"/>
          <w:b/>
          <w:sz w:val="27"/>
        </w:rPr>
      </w:r>
    </w:p>
    <w:p>
      <w:pPr>
        <w:pStyle w:val="Normal"/>
        <w:spacing w:lineRule="exact" w:line="239"/>
        <w:rPr>
          <w:rFonts w:ascii="Arial" w:hAnsi="Arial" w:eastAsia="Arial" w:cs="Arial"/>
          <w:b/>
          <w:sz w:val="27"/>
        </w:rPr>
      </w:pPr>
      <w:r>
        <w:rPr>
          <w:rFonts w:eastAsia="Arial" w:cs="Arial" w:ascii="Arial" w:hAnsi="Arial"/>
          <w:b/>
          <w:sz w:val="27"/>
        </w:rPr>
      </w:r>
    </w:p>
    <w:p>
      <w:pPr>
        <w:pStyle w:val="Normal"/>
        <w:spacing w:lineRule="atLeast" w:line="0"/>
        <w:ind w:start="80" w:end="0"/>
        <w:rPr>
          <w:rFonts w:ascii="Arial" w:hAnsi="Arial" w:eastAsia="Arial" w:cs="Arial"/>
          <w:sz w:val="14"/>
        </w:rPr>
      </w:pPr>
      <w:r>
        <w:rPr>
          <w:rFonts w:eastAsia="Arial" w:cs="Arial" w:ascii="Arial" w:hAnsi="Arial"/>
          <w:sz w:val="14"/>
        </w:rPr>
        <w:t>Name and title, if signer is other than the owner</w:t>
      </w:r>
    </w:p>
    <w:p>
      <w:pPr>
        <w:pStyle w:val="Normal"/>
        <w:spacing w:lineRule="exact" w:line="200"/>
        <w:rPr>
          <w:rFonts w:ascii="Arial" w:hAnsi="Arial" w:eastAsia="Arial" w:cs="Arial"/>
          <w:b/>
          <w:sz w:val="27"/>
        </w:rPr>
      </w:pPr>
      <w:r>
        <w:br w:type="column"/>
      </w:r>
      <w:r>
        <w:rPr>
          <w:rFonts w:eastAsia="Arial" w:cs="Arial" w:ascii="Arial" w:hAnsi="Arial"/>
          <w:b/>
          <w:sz w:val="27"/>
        </w:rPr>
      </w:r>
    </w:p>
    <w:p>
      <w:pPr>
        <w:pStyle w:val="Normal"/>
        <w:spacing w:lineRule="exact" w:line="239"/>
        <w:rPr>
          <w:rFonts w:ascii="Arial" w:hAnsi="Arial" w:eastAsia="Arial" w:cs="Arial"/>
          <w:b/>
          <w:sz w:val="27"/>
        </w:rPr>
      </w:pPr>
      <w:r>
        <w:rPr>
          <w:rFonts w:eastAsia="Arial" w:cs="Arial" w:ascii="Arial" w:hAnsi="Arial"/>
          <w:b/>
          <w:sz w:val="27"/>
        </w:rPr>
      </w:r>
    </w:p>
    <w:p>
      <w:pPr>
        <w:pStyle w:val="Normal"/>
        <w:spacing w:lineRule="atLeast" w:line="0"/>
        <w:rPr>
          <w:rFonts w:ascii="Arial" w:hAnsi="Arial" w:eastAsia="Arial" w:cs="Arial"/>
          <w:sz w:val="14"/>
        </w:rPr>
      </w:pPr>
      <w:r>
        <w:rPr>
          <w:rFonts w:eastAsia="Arial" w:cs="Arial" w:ascii="Arial" w:hAnsi="Arial"/>
          <w:sz w:val="14"/>
        </w:rPr>
        <w:t>Daytime Phone Number</w:t>
      </w:r>
    </w:p>
    <w:p>
      <w:pPr>
        <w:pStyle w:val="Normal"/>
        <w:spacing w:lineRule="exact" w:line="200"/>
        <w:rPr>
          <w:rFonts w:ascii="Arial" w:hAnsi="Arial" w:eastAsia="Arial" w:cs="Arial"/>
          <w:b/>
          <w:sz w:val="27"/>
        </w:rPr>
      </w:pPr>
      <w:r>
        <w:br w:type="column"/>
      </w:r>
      <w:r>
        <w:rPr>
          <w:rFonts w:eastAsia="Arial" w:cs="Arial" w:ascii="Arial" w:hAnsi="Arial"/>
          <w:b/>
          <w:sz w:val="27"/>
        </w:rPr>
      </w:r>
    </w:p>
    <w:p>
      <w:pPr>
        <w:pStyle w:val="Normal"/>
        <w:spacing w:lineRule="exact" w:line="239"/>
        <w:rPr>
          <w:rFonts w:ascii="Arial" w:hAnsi="Arial" w:eastAsia="Arial" w:cs="Arial"/>
          <w:b/>
          <w:sz w:val="27"/>
        </w:rPr>
      </w:pPr>
      <w:r>
        <w:rPr>
          <w:rFonts w:eastAsia="Arial" w:cs="Arial" w:ascii="Arial" w:hAnsi="Arial"/>
          <w:b/>
          <w:sz w:val="27"/>
        </w:rPr>
      </w:r>
    </w:p>
    <w:p>
      <w:pPr>
        <w:pStyle w:val="Normal"/>
        <w:spacing w:lineRule="atLeast" w:line="0"/>
        <w:rPr>
          <w:rFonts w:ascii="Arial" w:hAnsi="Arial" w:eastAsia="Arial" w:cs="Arial"/>
          <w:sz w:val="14"/>
        </w:rPr>
      </w:pPr>
      <w:r>
        <w:rPr>
          <w:rFonts w:eastAsia="Arial" w:cs="Arial" w:ascii="Arial" w:hAnsi="Arial"/>
          <w:sz w:val="14"/>
        </w:rPr>
        <w:t>E-mail Address</w:t>
      </w:r>
    </w:p>
    <w:p>
      <w:pPr>
        <w:sectPr>
          <w:type w:val="continuous"/>
          <w:pgSz w:w="12240" w:h="15840"/>
          <w:pgMar w:left="720" w:right="700" w:gutter="0" w:header="0" w:top="248" w:footer="0" w:bottom="433"/>
          <w:cols w:num="3" w:equalWidth="false" w:sep="false">
            <w:col w:w="3080" w:space="600"/>
            <w:col w:w="2880" w:space="720"/>
            <w:col w:w="3540"/>
          </w:cols>
          <w:formProt w:val="false"/>
          <w:textDirection w:val="lrTb"/>
          <w:docGrid w:type="default" w:linePitch="360" w:charSpace="0"/>
        </w:sectPr>
      </w:pPr>
    </w:p>
    <w:p>
      <w:pPr>
        <w:pStyle w:val="Normal"/>
        <w:spacing w:lineRule="atLeast" w:line="0"/>
        <w:rPr>
          <w:rFonts w:ascii="Arial" w:hAnsi="Arial" w:eastAsia="Arial" w:cs="Arial"/>
          <w:sz w:val="16"/>
        </w:rPr>
      </w:pPr>
      <w:bookmarkStart w:id="2" w:name="page2"/>
      <w:bookmarkEnd w:id="2"/>
      <w:r>
        <w:rPr>
          <w:rFonts w:eastAsia="Arial" w:cs="Arial" w:ascii="Arial" w:hAnsi="Arial"/>
          <w:sz w:val="16"/>
        </w:rPr>
        <w:t>2766, Page 2</w:t>
      </w:r>
    </w:p>
    <w:p>
      <w:pPr>
        <w:pStyle w:val="Normal"/>
        <w:spacing w:lineRule="exact" w:line="125"/>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Arial" w:hAnsi="Arial" w:eastAsia="Arial" w:cs="Arial"/>
          <w:b/>
          <w:sz w:val="24"/>
        </w:rPr>
      </w:pPr>
      <w:r>
        <w:rPr>
          <w:rFonts w:eastAsia="Arial" w:cs="Arial" w:ascii="Arial" w:hAnsi="Arial"/>
          <w:b/>
          <w:sz w:val="24"/>
        </w:rPr>
        <w:t>Instructions:</w:t>
      </w:r>
    </w:p>
    <w:p>
      <w:pPr>
        <w:pStyle w:val="Normal"/>
        <w:spacing w:lineRule="exact" w:line="6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Arial" w:hAnsi="Arial" w:eastAsia="Arial" w:cs="Arial"/>
        </w:rPr>
      </w:pPr>
      <w:r>
        <w:rPr>
          <w:rFonts w:eastAsia="Arial" w:cs="Arial" w:ascii="Arial" w:hAnsi="Arial"/>
        </w:rPr>
        <w:t>This form must be filed when there is a transfer of real property or one of the following types of personal property:</w:t>
      </w:r>
    </w:p>
    <w:p>
      <w:pPr>
        <w:pStyle w:val="Normal"/>
        <w:spacing w:lineRule="exact" w:line="7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120" w:leader="none"/>
        </w:tabs>
        <w:spacing w:lineRule="atLeast" w:line="0"/>
        <w:ind w:hanging="120" w:start="120" w:end="0"/>
        <w:rPr>
          <w:rFonts w:ascii="Arial" w:hAnsi="Arial" w:eastAsia="Arial" w:cs="Arial"/>
        </w:rPr>
      </w:pPr>
      <w:r>
        <w:rPr>
          <w:rFonts w:eastAsia="Arial" w:cs="Arial" w:ascii="Arial" w:hAnsi="Arial"/>
        </w:rPr>
        <w:t>Buildings on leased land.</w:t>
      </w:r>
    </w:p>
    <w:p>
      <w:pPr>
        <w:pStyle w:val="Normal"/>
        <w:spacing w:lineRule="exact" w:line="70"/>
        <w:rPr>
          <w:rFonts w:ascii="Arial" w:hAnsi="Arial" w:eastAsia="Arial" w:cs="Arial"/>
        </w:rPr>
      </w:pPr>
      <w:r>
        <w:rPr>
          <w:rFonts w:eastAsia="Arial" w:cs="Arial" w:ascii="Arial" w:hAnsi="Arial"/>
        </w:rPr>
      </w:r>
    </w:p>
    <w:p>
      <w:pPr>
        <w:pStyle w:val="Normal"/>
        <w:numPr>
          <w:ilvl w:val="0"/>
          <w:numId w:val="2"/>
        </w:numPr>
        <w:tabs>
          <w:tab w:val="clear" w:pos="720"/>
          <w:tab w:val="left" w:pos="120" w:leader="none"/>
        </w:tabs>
        <w:spacing w:lineRule="atLeast" w:line="0"/>
        <w:ind w:hanging="120" w:start="120" w:end="0"/>
        <w:rPr>
          <w:rFonts w:ascii="Arial" w:hAnsi="Arial" w:eastAsia="Arial" w:cs="Arial"/>
        </w:rPr>
      </w:pPr>
      <w:r>
        <w:rPr>
          <w:rFonts w:eastAsia="Arial" w:cs="Arial" w:ascii="Arial" w:hAnsi="Arial"/>
        </w:rPr>
        <w:t>Leasehold improvements, as defined in MCL Section 211.8(h).</w:t>
      </w:r>
    </w:p>
    <w:p>
      <w:pPr>
        <w:pStyle w:val="Normal"/>
        <w:spacing w:lineRule="exact" w:line="70"/>
        <w:rPr>
          <w:rFonts w:ascii="Arial" w:hAnsi="Arial" w:eastAsia="Arial" w:cs="Arial"/>
        </w:rPr>
      </w:pPr>
      <w:r>
        <w:rPr>
          <w:rFonts w:eastAsia="Arial" w:cs="Arial" w:ascii="Arial" w:hAnsi="Arial"/>
        </w:rPr>
      </w:r>
    </w:p>
    <w:p>
      <w:pPr>
        <w:pStyle w:val="Normal"/>
        <w:numPr>
          <w:ilvl w:val="0"/>
          <w:numId w:val="2"/>
        </w:numPr>
        <w:tabs>
          <w:tab w:val="clear" w:pos="720"/>
          <w:tab w:val="left" w:pos="120" w:leader="none"/>
        </w:tabs>
        <w:spacing w:lineRule="atLeast" w:line="0"/>
        <w:ind w:hanging="120" w:start="120" w:end="0"/>
        <w:rPr>
          <w:rFonts w:ascii="Arial" w:hAnsi="Arial" w:eastAsia="Arial" w:cs="Arial"/>
        </w:rPr>
      </w:pPr>
      <w:r>
        <w:rPr>
          <w:rFonts w:eastAsia="Arial" w:cs="Arial" w:ascii="Arial" w:hAnsi="Arial"/>
        </w:rPr>
        <w:t>Leasehold estates, as defined in MCL Section 211.8(i) and (j).</w:t>
      </w:r>
    </w:p>
    <w:p>
      <w:pPr>
        <w:pStyle w:val="Normal"/>
        <w:spacing w:lineRule="exact" w:line="13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jc w:val="both"/>
        <w:rPr>
          <w:rFonts w:ascii="Arial" w:hAnsi="Arial" w:eastAsia="Arial" w:cs="Arial"/>
        </w:rPr>
      </w:pPr>
      <w:r>
        <w:rPr>
          <w:rFonts w:eastAsia="Arial" w:cs="Arial" w:ascii="Arial" w:hAnsi="Arial"/>
        </w:rPr>
        <w:t>Transfer of ownership means the conveyance of title to or a present interest in property, including the beneficial use of the property. For complete descriptions of qualifying transfers, please refer to MCL Section 211.27a(6)(a-j).</w:t>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4"/>
        </w:rPr>
      </w:pPr>
      <w:r>
        <w:rPr>
          <w:rFonts w:eastAsia="Arial" w:cs="Arial" w:ascii="Arial" w:hAnsi="Arial"/>
          <w:b/>
          <w:sz w:val="24"/>
        </w:rPr>
        <w:t>Excerpts from Michigan Compiled Laws (MCL), Chapter 211</w:t>
      </w:r>
    </w:p>
    <w:p>
      <w:pPr>
        <w:pStyle w:val="Normal"/>
        <w:spacing w:lineRule="exact" w:line="6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1"/>
        <w:jc w:val="both"/>
        <w:rPr/>
      </w:pPr>
      <w:r>
        <w:rPr>
          <w:rFonts w:eastAsia="Arial" w:cs="Arial" w:ascii="Arial" w:hAnsi="Arial"/>
          <w:b/>
          <w:sz w:val="19"/>
        </w:rPr>
        <w:t>**Section 211.27a(7)(d):</w:t>
      </w:r>
      <w:r>
        <w:rPr>
          <w:rFonts w:eastAsia="Arial" w:cs="Arial" w:ascii="Arial" w:hAnsi="Arial"/>
          <w:sz w:val="19"/>
        </w:rPr>
        <w:t xml:space="preserve"> Beginning December 31, 2014, a transfer of that portion of residential real property that had been subject to a life estate or life lease retained by the transferor resulting from expiration or termination of that life estate or life lease, if the transferee is the transferor’s or transferor’s spouse’s mother, father, brother, sister, son, daughter, adopted son, adopted daughter, grandson, or granddaughter and the residential real property is not used for any commercial purpose following the transfer. Upon request by the department of treasury or the assessor, the transferee shall furnish proof within 30 days that the transferee meets the requirements of this subdivision. If a transferee fails to comply with a request by the department of treasury or assessor under this subdivision, that transferee is subject to a fine of $200.00.</w:t>
      </w:r>
    </w:p>
    <w:p>
      <w:pPr>
        <w:pStyle w:val="Normal"/>
        <w:spacing w:lineRule="exact" w:line="6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56"/>
        <w:jc w:val="both"/>
        <w:rPr/>
      </w:pPr>
      <w:r>
        <w:rPr>
          <w:rFonts w:eastAsia="Arial" w:cs="Arial" w:ascii="Arial" w:hAnsi="Arial"/>
          <w:b/>
        </w:rPr>
        <w:t>*Section 211.27a(7)(u):</w:t>
      </w:r>
      <w:r>
        <w:rPr>
          <w:rFonts w:eastAsia="Arial" w:cs="Arial" w:ascii="Arial" w:hAnsi="Arial"/>
        </w:rPr>
        <w:t xml:space="preserve"> Beginning December 31, 2014, a transfer of residential real property if the transferee is the transferor’s or the transferor’s spouse’s mother, father, brother, sister, son, daughter, adopted son, adopted daughter, grandson, or granddaughter and the residential real property is not used for any commercial purpose following the conveyance. Upon request by the department of treasury or the assessor, the transferee shall furnish proof within 30 days that the transferee meets the requirements of this subparagraph. If a transferee fails to comply with a request by the department of treasury or assessor under this subparagraph, that transferee is subject to a fine of $200.00.</w:t>
      </w:r>
    </w:p>
    <w:p>
      <w:pPr>
        <w:pStyle w:val="Normal"/>
        <w:spacing w:lineRule="exact" w:line="8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0"/>
        <w:jc w:val="both"/>
        <w:rPr/>
      </w:pPr>
      <w:r>
        <w:rPr>
          <w:rFonts w:eastAsia="Arial" w:cs="Arial" w:ascii="Arial" w:hAnsi="Arial"/>
          <w:b/>
          <w:sz w:val="19"/>
        </w:rPr>
        <w:t>Section 211.27a(10):</w:t>
      </w:r>
      <w:r>
        <w:rPr>
          <w:rFonts w:eastAsia="Arial" w:cs="Arial" w:ascii="Arial" w:hAnsi="Arial"/>
          <w:sz w:val="19"/>
        </w:rPr>
        <w:t xml:space="preserve"> “... the buyer, grantee, or other transferee of the property shall notify the appropriate assessing office in the local unit of government in which the property is located of the transfer of ownership of the property within 45 days of the transfer of ownership, on a form prescribed by the state tax commission that states the parties to the transfer, the date of the transfer, the actual consideration for the transfer, and the property’s parcel identification number or legal description.”</w:t>
      </w:r>
    </w:p>
    <w:p>
      <w:pPr>
        <w:pStyle w:val="Normal"/>
        <w:spacing w:lineRule="exact" w:line="5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61"/>
        <w:jc w:val="both"/>
        <w:rPr/>
      </w:pPr>
      <w:r>
        <w:rPr>
          <w:rFonts w:eastAsia="Arial" w:cs="Arial" w:ascii="Arial" w:hAnsi="Arial"/>
          <w:b/>
        </w:rPr>
        <w:t>Section 211.27(5):</w:t>
      </w:r>
      <w:r>
        <w:rPr>
          <w:rFonts w:eastAsia="Arial" w:cs="Arial" w:ascii="Arial" w:hAnsi="Arial"/>
        </w:rPr>
        <w:t xml:space="preserve"> “Except as otherwise provided in subsection (6), the purchase price paid in a transfer of property is not the presumptive true cash value of the property transferred. In determining the true cash value of transferred property, an assessing officer shall assess that property using the same valuation method used to value all other property of that same classification in the assessing jurisdiction.”</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4"/>
        </w:rPr>
      </w:pPr>
      <w:r>
        <w:rPr>
          <w:rFonts w:eastAsia="Arial" w:cs="Arial" w:ascii="Arial" w:hAnsi="Arial"/>
          <w:b/>
          <w:sz w:val="24"/>
        </w:rPr>
        <w:t>Penalties:</w:t>
      </w:r>
    </w:p>
    <w:p>
      <w:pPr>
        <w:pStyle w:val="Normal"/>
        <w:spacing w:lineRule="exact" w:line="6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66"/>
        <w:jc w:val="both"/>
        <w:rPr/>
      </w:pPr>
      <w:r>
        <w:rPr>
          <w:rFonts w:eastAsia="Arial" w:cs="Arial" w:ascii="Arial" w:hAnsi="Arial"/>
        </w:rPr>
        <w:t>Section 211.27b(1): “If the buyer, grantee, or other transferee in the immediately preceding transfer of ownership of property does not notify the appropriate assessing office as required by section 27a(10), the property’s taxable value shall be adjusted under section 27a(3) and all of the following shall be levied:</w:t>
      </w:r>
    </w:p>
    <w:p>
      <w:pPr>
        <w:pStyle w:val="Normal"/>
        <w:spacing w:lineRule="exact" w:line="1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283" w:leader="none"/>
        </w:tabs>
        <w:spacing w:lineRule="auto" w:line="280"/>
        <w:rPr>
          <w:rFonts w:ascii="Arial" w:hAnsi="Arial" w:eastAsia="Arial" w:cs="Arial"/>
        </w:rPr>
      </w:pPr>
      <w:r>
        <w:rPr>
          <w:rFonts w:eastAsia="Arial" w:cs="Arial" w:ascii="Arial" w:hAnsi="Arial"/>
        </w:rPr>
        <w:t>Any additional taxes that would have been levied if the transfer of ownership had been recorded as required under this act from the date of transfer.</w:t>
      </w:r>
    </w:p>
    <w:p>
      <w:pPr>
        <w:pStyle w:val="Normal"/>
        <w:spacing w:lineRule="exact" w:line="1"/>
        <w:rPr>
          <w:rFonts w:ascii="Arial" w:hAnsi="Arial" w:eastAsia="Arial" w:cs="Arial"/>
        </w:rPr>
      </w:pPr>
      <w:r>
        <w:rPr>
          <w:rFonts w:eastAsia="Arial" w:cs="Arial" w:ascii="Arial" w:hAnsi="Arial"/>
        </w:rPr>
      </w:r>
    </w:p>
    <w:p>
      <w:pPr>
        <w:pStyle w:val="Normal"/>
        <w:numPr>
          <w:ilvl w:val="0"/>
          <w:numId w:val="3"/>
        </w:numPr>
        <w:tabs>
          <w:tab w:val="clear" w:pos="720"/>
          <w:tab w:val="left" w:pos="280" w:leader="none"/>
        </w:tabs>
        <w:spacing w:lineRule="atLeast" w:line="0"/>
        <w:ind w:hanging="280" w:start="280" w:end="0"/>
        <w:rPr>
          <w:rFonts w:ascii="Arial" w:hAnsi="Arial" w:eastAsia="Arial" w:cs="Arial"/>
        </w:rPr>
      </w:pPr>
      <w:r>
        <w:rPr>
          <w:rFonts w:eastAsia="Arial" w:cs="Arial" w:ascii="Arial" w:hAnsi="Arial"/>
        </w:rPr>
        <w:t>Interest and penalty from the date the tax would have been originally levied.</w:t>
      </w:r>
    </w:p>
    <w:p>
      <w:pPr>
        <w:pStyle w:val="Normal"/>
        <w:spacing w:lineRule="exact" w:line="70"/>
        <w:rPr>
          <w:rFonts w:ascii="Arial" w:hAnsi="Arial" w:eastAsia="Arial" w:cs="Arial"/>
        </w:rPr>
      </w:pPr>
      <w:r>
        <w:rPr>
          <w:rFonts w:eastAsia="Arial" w:cs="Arial" w:ascii="Arial" w:hAnsi="Arial"/>
        </w:rPr>
      </w:r>
    </w:p>
    <w:p>
      <w:pPr>
        <w:pStyle w:val="Normal"/>
        <w:numPr>
          <w:ilvl w:val="0"/>
          <w:numId w:val="3"/>
        </w:numPr>
        <w:tabs>
          <w:tab w:val="clear" w:pos="720"/>
          <w:tab w:val="left" w:pos="273" w:leader="none"/>
        </w:tabs>
        <w:spacing w:lineRule="auto" w:line="280"/>
        <w:rPr>
          <w:rFonts w:ascii="Arial" w:hAnsi="Arial" w:eastAsia="Arial" w:cs="Arial"/>
        </w:rPr>
      </w:pPr>
      <w:r>
        <w:rPr>
          <w:rFonts w:eastAsia="Arial" w:cs="Arial" w:ascii="Arial" w:hAnsi="Arial"/>
        </w:rPr>
        <w:t>For property classified under section 34c as either industrial real property or commercial real property, a penalty in the following amount:</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246" w:leader="none"/>
        </w:tabs>
        <w:spacing w:lineRule="auto" w:line="280"/>
        <w:rPr>
          <w:rFonts w:ascii="Arial" w:hAnsi="Arial" w:eastAsia="Arial" w:cs="Arial"/>
        </w:rPr>
      </w:pPr>
      <w:r>
        <w:rPr>
          <w:rFonts w:eastAsia="Arial" w:cs="Arial" w:ascii="Arial" w:hAnsi="Arial"/>
        </w:rPr>
        <w:t>Except as otherwise provided in subparagraph (ii), if the sale price of the property transferred is $100,000,000.00 or less, $20.00 per day for each separate failure beginning after the 45 days have elapsed, up to a maximum of $1,000.00.</w:t>
      </w:r>
    </w:p>
    <w:p>
      <w:pPr>
        <w:pStyle w:val="Normal"/>
        <w:spacing w:lineRule="exact" w:line="1"/>
        <w:rPr>
          <w:rFonts w:ascii="Arial" w:hAnsi="Arial" w:eastAsia="Arial" w:cs="Arial"/>
        </w:rPr>
      </w:pPr>
      <w:r>
        <w:rPr>
          <w:rFonts w:eastAsia="Arial" w:cs="Arial" w:ascii="Arial" w:hAnsi="Arial"/>
        </w:rPr>
      </w:r>
    </w:p>
    <w:p>
      <w:pPr>
        <w:pStyle w:val="Normal"/>
        <w:numPr>
          <w:ilvl w:val="0"/>
          <w:numId w:val="4"/>
        </w:numPr>
        <w:tabs>
          <w:tab w:val="clear" w:pos="720"/>
          <w:tab w:val="left" w:pos="280" w:leader="none"/>
        </w:tabs>
        <w:spacing w:lineRule="atLeast" w:line="0"/>
        <w:ind w:hanging="280" w:start="280" w:end="0"/>
        <w:rPr>
          <w:rFonts w:ascii="Arial" w:hAnsi="Arial" w:eastAsia="Arial" w:cs="Arial"/>
        </w:rPr>
      </w:pPr>
      <w:r>
        <w:rPr>
          <w:rFonts w:eastAsia="Arial" w:cs="Arial" w:ascii="Arial" w:hAnsi="Arial"/>
        </w:rPr>
        <w:t>If the sale price of the property transferred is more than $100,000,000.00, $20,000.00 after the 45 days have elapsed.</w:t>
      </w:r>
    </w:p>
    <w:p>
      <w:pPr>
        <w:pStyle w:val="Normal"/>
        <w:spacing w:lineRule="exact" w:line="7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304" w:leader="none"/>
        </w:tabs>
        <w:spacing w:lineRule="auto" w:line="266"/>
        <w:jc w:val="both"/>
        <w:rPr>
          <w:rFonts w:ascii="Arial" w:hAnsi="Arial" w:eastAsia="Arial" w:cs="Arial"/>
        </w:rPr>
      </w:pPr>
      <w:r>
        <w:rPr>
          <w:rFonts w:eastAsia="Arial" w:cs="Arial" w:ascii="Arial" w:hAnsi="Arial"/>
        </w:rPr>
        <w:t>For real property other than real property classified under section 34c as industrial real property or commercial real property, a penalty of $5.00 per day for each separate failure beginning after the 45 days have elapsed, up to a maximum of $200.00.</w:t>
      </w:r>
    </w:p>
    <w:sectPr>
      <w:type w:val="nextPage"/>
      <w:pgSz w:w="12240" w:h="15840"/>
      <w:pgMar w:left="720" w:right="720" w:gutter="0" w:header="0" w:top="499"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0"/>
      <w:numFmt w:val="decimal"/>
      <w:lvlText w:val="%1."/>
      <w:lvlJc w:val="start"/>
      <w:pPr>
        <w:tabs>
          <w:tab w:val="num" w:pos="0"/>
        </w:tabs>
        <w:ind w:start="0" w:hanging="0"/>
      </w:pPr>
    </w:lvl>
  </w:abstractNum>
  <w:abstractNum w:abstractNumId="2">
    <w:lvl w:ilvl="0">
      <w:start w:val="1"/>
      <w:numFmt w:val="bullet"/>
      <w:lvlText w:val=""/>
      <w:lvlJc w:val="start"/>
      <w:pPr>
        <w:tabs>
          <w:tab w:val="num" w:pos="0"/>
        </w:tabs>
        <w:ind w:start="0" w:hanging="0"/>
      </w:pPr>
      <w:rPr>
        <w:rFonts w:ascii="Symbol" w:hAnsi="Symbol" w:cs="Symbol" w:hint="default"/>
      </w:rPr>
    </w:lvl>
  </w:abstractNum>
  <w:abstractNum w:abstractNumId="3">
    <w:lvl w:ilvl="0">
      <w:start w:val="1"/>
      <w:numFmt w:val="lowerLetter"/>
      <w:lvlText w:val="(%1)"/>
      <w:lvlJc w:val="start"/>
      <w:pPr>
        <w:tabs>
          <w:tab w:val="num" w:pos="0"/>
        </w:tabs>
        <w:ind w:start="0" w:hanging="0"/>
      </w:pPr>
    </w:lvl>
  </w:abstractNum>
  <w:abstractNum w:abstractNumId="4">
    <w:lvl w:ilvl="0">
      <w:start w:val="1"/>
      <w:numFmt w:val="lowerRoman"/>
      <w:lvlText w:val="(%1)"/>
      <w:lvlJc w:val="start"/>
      <w:pPr>
        <w:tabs>
          <w:tab w:val="num" w:pos="0"/>
        </w:tabs>
        <w:ind w:start="0" w:hanging="0"/>
      </w:pPr>
    </w:lvl>
  </w:abstractNum>
  <w:abstractNum w:abstractNumId="5">
    <w:lvl w:ilvl="0">
      <w:start w:val="4"/>
      <w:numFmt w:val="lowerLetter"/>
      <w:lvlText w:val="(%1)"/>
      <w:lvlJc w:val="start"/>
      <w:pPr>
        <w:tabs>
          <w:tab w:val="num" w:pos="0"/>
        </w:tabs>
        <w:ind w:start="0" w:hanging="0"/>
      </w:p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