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0.png" ContentType="image/png"/>
  <Override PartName="/word/media/image7.png" ContentType="image/png"/>
  <Override PartName="/word/media/image8.png" ContentType="image/pn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3">
            <wp:simplePos x="0" y="0"/>
            <wp:positionH relativeFrom="page">
              <wp:posOffset>0</wp:posOffset>
            </wp:positionH>
            <wp:positionV relativeFrom="page">
              <wp:posOffset>0</wp:posOffset>
            </wp:positionV>
            <wp:extent cx="6336030" cy="168465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11" r="-3" b="-11"/>
                    <a:stretch>
                      <a:fillRect/>
                    </a:stretch>
                  </pic:blipFill>
                  <pic:spPr bwMode="auto">
                    <a:xfrm>
                      <a:off x="0" y="0"/>
                      <a:ext cx="6336030" cy="1684655"/>
                    </a:xfrm>
                    <a:prstGeom prst="rect">
                      <a:avLst/>
                    </a:prstGeom>
                  </pic:spPr>
                </pic:pic>
              </a:graphicData>
            </a:graphic>
          </wp:anchor>
        </w:drawing>
      </w:r>
      <w:bookmarkStart w:id="0" w:name="page1"/>
      <w:bookmarkStart w:id="1" w:name="page1"/>
      <w:bookmarkEnd w:id="1"/>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74"/>
        <w:jc w:val="center"/>
        <w:rPr>
          <w:rFonts w:ascii="Times New Roman" w:hAnsi="Times New Roman" w:eastAsia="Times New Roman" w:cs="Times New Roman"/>
          <w:color w:val="FFFFFF"/>
          <w:sz w:val="52"/>
        </w:rPr>
      </w:pPr>
      <w:r>
        <w:rPr>
          <w:rFonts w:eastAsia="Times New Roman" w:cs="Times New Roman" w:ascii="Times New Roman" w:hAnsi="Times New Roman"/>
          <w:color w:val="FFFFFF"/>
          <w:sz w:val="52"/>
        </w:rPr>
        <w:t>Market Turnover</w:t>
      </w:r>
    </w:p>
    <w:p>
      <w:pPr>
        <w:pStyle w:val="Normal"/>
        <w:spacing w:lineRule="exact" w:line="20"/>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drawing>
          <wp:anchor behindDoc="1" distT="0" distB="0" distL="114935" distR="114935" simplePos="0" locked="0" layoutInCell="1" allowOverlap="1" relativeHeight="4">
            <wp:simplePos x="0" y="0"/>
            <wp:positionH relativeFrom="column">
              <wp:posOffset>-719455</wp:posOffset>
            </wp:positionH>
            <wp:positionV relativeFrom="paragraph">
              <wp:posOffset>122555</wp:posOffset>
            </wp:positionV>
            <wp:extent cx="6336030" cy="698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1887" r="-3" b="-1887"/>
                    <a:stretch>
                      <a:fillRect/>
                    </a:stretch>
                  </pic:blipFill>
                  <pic:spPr bwMode="auto">
                    <a:xfrm>
                      <a:off x="0" y="0"/>
                      <a:ext cx="6336030" cy="6985"/>
                    </a:xfrm>
                    <a:prstGeom prst="rect">
                      <a:avLst/>
                    </a:prstGeom>
                  </pic:spPr>
                </pic:pic>
              </a:graphicData>
            </a:graphic>
          </wp:anchor>
        </w:drawing>
      </w:r>
    </w:p>
    <w:p>
      <w:pPr>
        <w:sectPr>
          <w:type w:val="nextPage"/>
          <w:pgSz w:w="9978" w:h="14173"/>
          <w:pgMar w:left="1134" w:right="578"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 w:end="0"/>
        <w:rPr>
          <w:rFonts w:ascii="Arial" w:hAnsi="Arial" w:eastAsia="Arial" w:cs="Arial"/>
          <w:color w:val="001134"/>
          <w:sz w:val="24"/>
        </w:rPr>
      </w:pPr>
      <w:r>
        <w:rPr>
          <w:rFonts w:eastAsia="Arial" w:cs="Arial" w:ascii="Arial" w:hAnsi="Arial"/>
          <w:color w:val="001134"/>
          <w:sz w:val="24"/>
        </w:rPr>
        <w:t>Hannah Leal, Stephanie Parsons, Graham White and Andrew Zurawski*</w:t>
      </w:r>
    </w:p>
    <w:p>
      <w:pPr>
        <w:pStyle w:val="Normal"/>
        <w:spacing w:lineRule="exact" w:line="218"/>
        <w:rPr>
          <w:rFonts w:ascii="Times New Roman" w:hAnsi="Times New Roman" w:eastAsia="Times New Roman" w:cs="Times New Roman"/>
          <w:color w:val="001134"/>
          <w:sz w:val="24"/>
        </w:rPr>
      </w:pPr>
      <w:r>
        <w:rPr>
          <w:rFonts w:eastAsia="Times New Roman" w:cs="Times New Roman" w:ascii="Times New Roman" w:hAnsi="Times New Roman"/>
          <w:color w:val="001134"/>
          <w:sz w:val="24"/>
        </w:rPr>
      </w:r>
    </w:p>
    <w:p>
      <w:pPr>
        <w:pStyle w:val="Normal"/>
        <w:spacing w:lineRule="auto" w:line="300"/>
        <w:ind w:start="6" w:end="480"/>
        <w:rPr>
          <w:rFonts w:ascii="Arial" w:hAnsi="Arial" w:eastAsia="Arial" w:cs="Arial"/>
          <w:color w:val="001134"/>
          <w:sz w:val="21"/>
        </w:rPr>
      </w:pPr>
      <w:r>
        <w:rPr>
          <w:rFonts w:eastAsia="Arial" w:cs="Arial" w:ascii="Arial" w:hAnsi="Arial"/>
          <w:color w:val="001134"/>
          <w:sz w:val="21"/>
        </w:rPr>
        <w:t>The rate of housing market turnover, an important indicator of housing market conditions, has trended lower since the early 2000s. This is partly because households are moving less often and fewer own their own homes. More recently, the increase in apartment building is likely to have resulted in measured turnover being understated. A lower housing turnover rate could reduce housing-related economic activity and might lead to lower household leverage than otherwise.</w:t>
      </w:r>
    </w:p>
    <w:p>
      <w:pPr>
        <w:sectPr>
          <w:type w:val="continuous"/>
          <w:pgSz w:w="9978" w:h="14173"/>
          <w:pgMar w:left="1134" w:right="578"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001134"/>
          <w:sz w:val="24"/>
        </w:rPr>
      </w:pPr>
      <w:r>
        <w:rPr>
          <w:rFonts w:eastAsia="Times New Roman" w:cs="Times New Roman" w:ascii="Times New Roman" w:hAnsi="Times New Roman"/>
          <w:color w:val="001134"/>
          <w:sz w:val="24"/>
        </w:rPr>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 w:end="0"/>
        <w:rPr>
          <w:rFonts w:ascii="Arial" w:hAnsi="Arial" w:eastAsia="Arial" w:cs="Arial"/>
          <w:color w:val="005766"/>
          <w:sz w:val="26"/>
        </w:rPr>
      </w:pPr>
      <w:r>
        <w:rPr>
          <w:rFonts w:eastAsia="Arial" w:cs="Arial" w:ascii="Arial" w:hAnsi="Arial"/>
          <w:color w:val="005766"/>
          <w:sz w:val="26"/>
        </w:rPr>
        <w:t>Introduction</w:t>
      </w:r>
    </w:p>
    <w:p>
      <w:pPr>
        <w:pStyle w:val="Normal"/>
        <w:spacing w:lineRule="exact" w:line="126"/>
        <w:rPr>
          <w:rFonts w:ascii="Times New Roman" w:hAnsi="Times New Roman" w:eastAsia="Times New Roman" w:cs="Times New Roman"/>
          <w:color w:val="005766"/>
          <w:sz w:val="24"/>
        </w:rPr>
      </w:pPr>
      <w:r>
        <w:rPr>
          <w:rFonts w:eastAsia="Times New Roman" w:cs="Times New Roman" w:ascii="Times New Roman" w:hAnsi="Times New Roman"/>
          <w:color w:val="005766"/>
          <w:sz w:val="24"/>
        </w:rPr>
      </w:r>
    </w:p>
    <w:p>
      <w:pPr>
        <w:pStyle w:val="Normal"/>
        <w:spacing w:lineRule="auto" w:line="333"/>
        <w:ind w:start="6" w:end="80"/>
        <w:rPr>
          <w:rFonts w:ascii="Arial" w:hAnsi="Arial" w:eastAsia="Arial" w:cs="Arial"/>
          <w:sz w:val="17"/>
        </w:rPr>
      </w:pPr>
      <w:r>
        <w:rPr>
          <w:rFonts w:eastAsia="Arial" w:cs="Arial" w:ascii="Arial" w:hAnsi="Arial"/>
          <w:sz w:val="17"/>
        </w:rPr>
        <w:t>Housing market turnover is defined as transactions in the housing market involving the transfer of ownership. After rising for a number of years, the rate of housing turnover (that is, the number of transactions relative to the stock of housing) has trended lower since the early 2000s (Graph 1). The most recent decline in the turnover rate has been unusual, particularly given the strength in other indicators of national housing market activity, such as housing prices.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8"/>
        <w:ind w:start="6" w:end="60"/>
        <w:rPr>
          <w:rFonts w:ascii="Arial" w:hAnsi="Arial" w:eastAsia="Arial" w:cs="Arial"/>
          <w:sz w:val="17"/>
        </w:rPr>
      </w:pPr>
      <w:r>
        <w:rPr>
          <w:rFonts w:eastAsia="Arial" w:cs="Arial" w:ascii="Arial" w:hAnsi="Arial"/>
          <w:sz w:val="17"/>
        </w:rPr>
        <w:t>The rate of housing turnover helps inform assessments of conditions in the housing market and can also influence broader economic conditions. To the extent that housing transactions are financed by debt, the value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start="6" w:end="0"/>
        <w:rPr>
          <w:rFonts w:ascii="Arial" w:hAnsi="Arial" w:eastAsia="Arial" w:cs="Arial"/>
          <w:sz w:val="16"/>
        </w:rPr>
      </w:pPr>
      <w:r>
        <w:rPr>
          <w:rFonts w:eastAsia="Arial" w:cs="Arial" w:ascii="Arial" w:hAnsi="Arial"/>
          <w:sz w:val="16"/>
        </w:rPr>
        <w:t>of housing turnover will be closely related to the value of housing loan approvals and subsequently housing credit growth. Changes in the housing turnover rate can directly affect income and employment in related industries, such as real estate services and other professional services, and have spillover effects on household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2540</wp:posOffset>
                </wp:positionV>
                <wp:extent cx="2375535" cy="0"/>
                <wp:effectExtent l="0" t="1905" r="0" b="1905"/>
                <wp:wrapNone/>
                <wp:docPr id="3" name=""/>
                <a:graphic xmlns:a="http://schemas.openxmlformats.org/drawingml/2006/main">
                  <a:graphicData uri="http://schemas.microsoft.com/office/word/2010/wordprocessingShape">
                    <wps:wsp>
                      <wps:cNvSpPr/>
                      <wps:spPr>
                        <a:xfrm>
                          <a:off x="0" y="0"/>
                          <a:ext cx="2375640" cy="0"/>
                        </a:xfrm>
                        <a:prstGeom prst="line">
                          <a:avLst/>
                        </a:prstGeom>
                        <a:ln w="3960">
                          <a:solidFill>
                            <a:srgbClr val="a2948f"/>
                          </a:solidFill>
                          <a:miter/>
                        </a:ln>
                      </wps:spPr>
                      <wps:style>
                        <a:lnRef idx="0"/>
                        <a:fillRef idx="0"/>
                        <a:effectRef idx="0"/>
                        <a:fontRef idx="minor"/>
                      </wps:style>
                      <wps:bodyPr/>
                    </wps:wsp>
                  </a:graphicData>
                </a:graphic>
              </wp:anchor>
            </w:drawing>
          </mc:Choice>
          <mc:Fallback>
            <w:pict>
              <v:line id="shape_0" from="0pt,0.2pt" to="187pt,0.2pt" stroked="t" o:allowincell="f" style="position:absolute">
                <v:stroke color="#a2948f" weight="3960" joinstyle="miter" endcap="flat"/>
                <v:fill o:detectmouseclick="t" on="false"/>
                <w10:wrap type="none"/>
              </v:line>
            </w:pict>
          </mc:Fallback>
        </mc:AlternateConten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66" w:leader="none"/>
        </w:tabs>
        <w:spacing w:lineRule="auto" w:line="290"/>
        <w:ind w:hanging="166" w:start="166" w:end="320"/>
        <w:rPr>
          <w:rFonts w:ascii="Arial" w:hAnsi="Arial" w:eastAsia="Arial" w:cs="Arial"/>
          <w:sz w:val="13"/>
        </w:rPr>
      </w:pPr>
      <w:r>
        <w:rPr>
          <w:rFonts w:eastAsia="Arial" w:cs="Arial" w:ascii="Arial" w:hAnsi="Arial"/>
          <w:sz w:val="13"/>
        </w:rPr>
        <w:t>Hannah Leal, Stephanie Parsons and Andrew Zurawski are from Economic Group. Graham White is from Domestic Markets Department.</w:t>
      </w:r>
    </w:p>
    <w:p>
      <w:pPr>
        <w:pStyle w:val="Normal"/>
        <w:spacing w:lineRule="exact" w:line="397"/>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280"/>
        <w:jc w:val="center"/>
        <w:rPr>
          <w:rFonts w:ascii="Arial" w:hAnsi="Arial" w:eastAsia="Arial" w:cs="Arial"/>
          <w:b/>
        </w:rPr>
      </w:pPr>
      <w:r>
        <w:rPr>
          <w:rFonts w:eastAsia="Arial" w:cs="Arial" w:ascii="Arial" w:hAnsi="Arial"/>
          <w:b/>
        </w:rPr>
        <w:t>Graph 1</w:t>
      </w:r>
    </w:p>
    <w:p>
      <w:pPr>
        <w:pStyle w:val="Normal"/>
        <w:spacing w:lineRule="exact" w:line="4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80"/>
        <w:jc w:val="center"/>
        <w:rPr>
          <w:rFonts w:ascii="Arial" w:hAnsi="Arial" w:eastAsia="Arial" w:cs="Arial"/>
          <w:b/>
          <w:sz w:val="18"/>
        </w:rPr>
      </w:pPr>
      <w:r>
        <w:rPr>
          <w:rFonts w:eastAsia="Arial" w:cs="Arial" w:ascii="Arial" w:hAnsi="Arial"/>
          <w:b/>
          <w:sz w:val="18"/>
        </w:rPr>
        <w:t>Housing Turnover Rate</w:t>
      </w:r>
    </w:p>
    <w:p>
      <w:pPr>
        <w:pStyle w:val="Normal"/>
        <w:spacing w:lineRule="exact" w:line="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40" w:end="0"/>
        <w:rPr>
          <w:rFonts w:ascii="Arial" w:hAnsi="Arial" w:eastAsia="Arial" w:cs="Arial"/>
          <w:sz w:val="13"/>
        </w:rPr>
      </w:pPr>
      <w:r>
        <w:rPr>
          <w:rFonts w:eastAsia="Arial" w:cs="Arial" w:ascii="Arial" w:hAnsi="Arial"/>
          <w:sz w:val="13"/>
        </w:rPr>
        <w:t>Annualised share of housing stock, seasonally adjusted</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tbl>
      <w:tblPr>
        <w:tblW w:w="3840" w:type="dxa"/>
        <w:jc w:val="start"/>
        <w:tblInd w:w="40" w:type="dxa"/>
        <w:tblLayout w:type="fixed"/>
        <w:tblCellMar>
          <w:top w:w="0" w:type="dxa"/>
          <w:start w:w="0" w:type="dxa"/>
          <w:bottom w:w="0" w:type="dxa"/>
          <w:end w:w="0" w:type="dxa"/>
        </w:tblCellMar>
      </w:tblPr>
      <w:tblGrid>
        <w:gridCol w:w="140"/>
        <w:gridCol w:w="500"/>
        <w:gridCol w:w="560"/>
        <w:gridCol w:w="720"/>
        <w:gridCol w:w="620"/>
        <w:gridCol w:w="640"/>
        <w:gridCol w:w="660"/>
      </w:tblGrid>
      <w:tr>
        <w:trPr>
          <w:trHeight w:val="175" w:hRule="atLeast"/>
        </w:trPr>
        <w:tc>
          <w:tcPr>
            <w:tcW w:w="140" w:type="dxa"/>
            <w:tcBorders/>
          </w:tcPr>
          <w:p>
            <w:pPr>
              <w:pStyle w:val="Normal"/>
              <w:spacing w:lineRule="atLeast" w:line="0"/>
              <w:jc w:val="end"/>
              <w:rPr>
                <w:rFonts w:ascii="Arial" w:hAnsi="Arial" w:eastAsia="Arial" w:cs="Arial"/>
                <w:w w:val="86"/>
                <w:sz w:val="13"/>
              </w:rPr>
            </w:pPr>
            <w:r>
              <w:rPr>
                <w:rFonts w:eastAsia="Arial" w:cs="Arial" w:ascii="Arial" w:hAnsi="Arial"/>
                <w:w w:val="86"/>
                <w:sz w:val="13"/>
              </w:rPr>
              <w:t>%</w:t>
            </w:r>
          </w:p>
        </w:tc>
        <w:tc>
          <w:tcPr>
            <w:tcW w:w="500" w:type="dxa"/>
            <w:tcBorders/>
          </w:tcPr>
          <w:p>
            <w:pPr>
              <w:pStyle w:val="Normal"/>
              <w:snapToGrid w:val="false"/>
              <w:spacing w:lineRule="atLeast" w:line="0"/>
              <w:rPr>
                <w:rFonts w:ascii="Times New Roman" w:hAnsi="Times New Roman" w:eastAsia="Times New Roman" w:cs="Times New Roman"/>
                <w:w w:val="86"/>
                <w:sz w:val="15"/>
              </w:rPr>
            </w:pPr>
            <w:r>
              <w:rPr>
                <w:rFonts w:eastAsia="Times New Roman" w:cs="Times New Roman" w:ascii="Times New Roman" w:hAnsi="Times New Roman"/>
                <w:w w:val="86"/>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tcPr>
          <w:p>
            <w:pPr>
              <w:pStyle w:val="Normal"/>
              <w:spacing w:lineRule="atLeast" w:line="0"/>
              <w:jc w:val="end"/>
              <w:rPr>
                <w:rFonts w:ascii="Arial" w:hAnsi="Arial" w:eastAsia="Arial" w:cs="Arial"/>
                <w:sz w:val="13"/>
              </w:rPr>
            </w:pPr>
            <w:r>
              <w:rPr>
                <w:rFonts w:eastAsia="Arial" w:cs="Arial" w:ascii="Arial" w:hAnsi="Arial"/>
                <w:sz w:val="13"/>
              </w:rPr>
              <w:t>%</w:t>
            </w:r>
          </w:p>
        </w:tc>
      </w:tr>
      <w:tr>
        <w:trPr>
          <w:trHeight w:val="469" w:hRule="atLeast"/>
        </w:trPr>
        <w:tc>
          <w:tcPr>
            <w:tcW w:w="140" w:type="dxa"/>
            <w:tcBorders/>
          </w:tcPr>
          <w:p>
            <w:pPr>
              <w:pStyle w:val="Normal"/>
              <w:spacing w:lineRule="atLeast" w:line="0"/>
              <w:jc w:val="end"/>
              <w:rPr>
                <w:rFonts w:ascii="Arial" w:hAnsi="Arial" w:eastAsia="Arial" w:cs="Arial"/>
                <w:sz w:val="13"/>
              </w:rPr>
            </w:pPr>
            <w:r>
              <w:rPr>
                <w:rFonts w:eastAsia="Arial" w:cs="Arial" w:ascii="Arial" w:hAnsi="Arial"/>
                <w:sz w:val="13"/>
              </w:rPr>
              <w:t>8</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jc w:val="end"/>
              <w:rPr>
                <w:rFonts w:ascii="Arial" w:hAnsi="Arial" w:eastAsia="Arial" w:cs="Arial"/>
                <w:sz w:val="13"/>
              </w:rPr>
            </w:pPr>
            <w:r>
              <w:rPr>
                <w:rFonts w:eastAsia="Arial" w:cs="Arial" w:ascii="Arial" w:hAnsi="Arial"/>
                <w:sz w:val="13"/>
              </w:rPr>
              <w:t>8</w:t>
            </w:r>
          </w:p>
        </w:tc>
      </w:tr>
      <w:tr>
        <w:trPr>
          <w:trHeight w:val="525" w:hRule="atLeast"/>
        </w:trPr>
        <w:tc>
          <w:tcPr>
            <w:tcW w:w="140" w:type="dxa"/>
            <w:tcBorders/>
          </w:tcPr>
          <w:p>
            <w:pPr>
              <w:pStyle w:val="Normal"/>
              <w:spacing w:lineRule="atLeast" w:line="0"/>
              <w:jc w:val="end"/>
              <w:rPr>
                <w:rFonts w:ascii="Arial" w:hAnsi="Arial" w:eastAsia="Arial" w:cs="Arial"/>
                <w:sz w:val="13"/>
              </w:rPr>
            </w:pPr>
            <w:r>
              <w:rPr>
                <w:rFonts w:eastAsia="Arial" w:cs="Arial" w:ascii="Arial" w:hAnsi="Arial"/>
                <w:sz w:val="13"/>
              </w:rPr>
              <w:t>7</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jc w:val="end"/>
              <w:rPr>
                <w:rFonts w:ascii="Arial" w:hAnsi="Arial" w:eastAsia="Arial" w:cs="Arial"/>
                <w:sz w:val="13"/>
              </w:rPr>
            </w:pPr>
            <w:r>
              <w:rPr>
                <w:rFonts w:eastAsia="Arial" w:cs="Arial" w:ascii="Arial" w:hAnsi="Arial"/>
                <w:sz w:val="13"/>
              </w:rPr>
              <w:t>7</w:t>
            </w:r>
          </w:p>
        </w:tc>
      </w:tr>
      <w:tr>
        <w:trPr>
          <w:trHeight w:val="525" w:hRule="atLeast"/>
        </w:trPr>
        <w:tc>
          <w:tcPr>
            <w:tcW w:w="140" w:type="dxa"/>
            <w:tcBorders/>
          </w:tcPr>
          <w:p>
            <w:pPr>
              <w:pStyle w:val="Normal"/>
              <w:spacing w:lineRule="atLeast" w:line="0"/>
              <w:jc w:val="end"/>
              <w:rPr>
                <w:rFonts w:ascii="Arial" w:hAnsi="Arial" w:eastAsia="Arial" w:cs="Arial"/>
                <w:sz w:val="13"/>
              </w:rPr>
            </w:pPr>
            <w:r>
              <w:rPr>
                <w:rFonts w:eastAsia="Arial" w:cs="Arial" w:ascii="Arial" w:hAnsi="Arial"/>
                <w:sz w:val="13"/>
              </w:rPr>
              <w:t>6</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jc w:val="end"/>
              <w:rPr>
                <w:rFonts w:ascii="Arial" w:hAnsi="Arial" w:eastAsia="Arial" w:cs="Arial"/>
                <w:sz w:val="13"/>
              </w:rPr>
            </w:pPr>
            <w:r>
              <w:rPr>
                <w:rFonts w:eastAsia="Arial" w:cs="Arial" w:ascii="Arial" w:hAnsi="Arial"/>
                <w:sz w:val="13"/>
              </w:rPr>
              <w:t>6</w:t>
            </w:r>
          </w:p>
        </w:tc>
      </w:tr>
      <w:tr>
        <w:trPr>
          <w:trHeight w:val="394" w:hRule="atLeast"/>
        </w:trPr>
        <w:tc>
          <w:tcPr>
            <w:tcW w:w="140" w:type="dxa"/>
            <w:vMerge w:val="restart"/>
            <w:tcBorders/>
          </w:tcPr>
          <w:p>
            <w:pPr>
              <w:pStyle w:val="Normal"/>
              <w:spacing w:lineRule="atLeast" w:line="0"/>
              <w:jc w:val="end"/>
              <w:rPr>
                <w:rFonts w:ascii="Arial" w:hAnsi="Arial" w:eastAsia="Arial" w:cs="Arial"/>
                <w:sz w:val="13"/>
              </w:rPr>
            </w:pPr>
            <w:r>
              <w:rPr>
                <w:rFonts w:eastAsia="Arial" w:cs="Arial" w:ascii="Arial" w:hAnsi="Arial"/>
                <w:sz w:val="13"/>
              </w:rPr>
              <w:t>5</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194"/>
              <w:jc w:val="end"/>
              <w:rPr>
                <w:rFonts w:ascii="Arial" w:hAnsi="Arial" w:eastAsia="Arial" w:cs="Arial"/>
                <w:sz w:val="13"/>
              </w:rPr>
            </w:pPr>
            <w:r>
              <w:rPr>
                <w:rFonts w:eastAsia="Arial" w:cs="Arial" w:ascii="Arial" w:hAnsi="Arial"/>
                <w:sz w:val="13"/>
              </w:rPr>
              <w:t>Decade average</w:t>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vMerge w:val="restart"/>
            <w:tcBorders/>
          </w:tcPr>
          <w:p>
            <w:pPr>
              <w:pStyle w:val="Normal"/>
              <w:spacing w:lineRule="atLeast" w:line="0"/>
              <w:jc w:val="end"/>
              <w:rPr>
                <w:rFonts w:ascii="Arial" w:hAnsi="Arial" w:eastAsia="Arial" w:cs="Arial"/>
                <w:sz w:val="13"/>
              </w:rPr>
            </w:pPr>
            <w:r>
              <w:rPr>
                <w:rFonts w:eastAsia="Arial" w:cs="Arial" w:ascii="Arial" w:hAnsi="Arial"/>
                <w:sz w:val="13"/>
              </w:rPr>
              <w:t>5</w:t>
            </w:r>
          </w:p>
        </w:tc>
      </w:tr>
      <w:tr>
        <w:trPr>
          <w:trHeight w:val="132" w:hRule="atLeast"/>
        </w:trPr>
        <w:tc>
          <w:tcPr>
            <w:tcW w:w="1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707" w:hRule="atLeast"/>
        </w:trPr>
        <w:tc>
          <w:tcPr>
            <w:tcW w:w="140" w:type="dxa"/>
            <w:tcBorders/>
          </w:tcPr>
          <w:p>
            <w:pPr>
              <w:pStyle w:val="Normal"/>
              <w:spacing w:lineRule="atLeast" w:line="0"/>
              <w:jc w:val="end"/>
              <w:rPr>
                <w:rFonts w:ascii="Arial" w:hAnsi="Arial" w:eastAsia="Arial" w:cs="Arial"/>
                <w:sz w:val="13"/>
              </w:rPr>
            </w:pPr>
            <w:r>
              <w:rPr>
                <w:rFonts w:eastAsia="Arial" w:cs="Arial" w:ascii="Arial" w:hAnsi="Arial"/>
                <w:sz w:val="13"/>
              </w:rPr>
              <w:t>4</w:t>
            </w:r>
          </w:p>
        </w:tc>
        <w:tc>
          <w:tcPr>
            <w:tcW w:w="500" w:type="dxa"/>
            <w:tcBorders/>
          </w:tcPr>
          <w:p>
            <w:pPr>
              <w:pStyle w:val="Normal"/>
              <w:spacing w:lineRule="atLeast" w:line="0"/>
              <w:ind w:end="114"/>
              <w:jc w:val="end"/>
              <w:rPr>
                <w:rFonts w:ascii="Arial" w:hAnsi="Arial" w:eastAsia="Arial" w:cs="Arial"/>
                <w:sz w:val="13"/>
              </w:rPr>
            </w:pPr>
            <w:r>
              <w:rPr>
                <w:rFonts w:eastAsia="Arial" w:cs="Arial" w:ascii="Arial" w:hAnsi="Arial"/>
                <w:sz w:val="13"/>
              </w:rPr>
              <w:t>1991</w:t>
            </w:r>
          </w:p>
        </w:tc>
        <w:tc>
          <w:tcPr>
            <w:tcW w:w="560" w:type="dxa"/>
            <w:tcBorders/>
          </w:tcPr>
          <w:p>
            <w:pPr>
              <w:pStyle w:val="Normal"/>
              <w:spacing w:lineRule="atLeast" w:line="0"/>
              <w:ind w:end="34"/>
              <w:jc w:val="end"/>
              <w:rPr>
                <w:rFonts w:ascii="Arial" w:hAnsi="Arial" w:eastAsia="Arial" w:cs="Arial"/>
                <w:sz w:val="13"/>
              </w:rPr>
            </w:pPr>
            <w:r>
              <w:rPr>
                <w:rFonts w:eastAsia="Arial" w:cs="Arial" w:ascii="Arial" w:hAnsi="Arial"/>
                <w:sz w:val="13"/>
              </w:rPr>
              <w:t>1996</w:t>
            </w:r>
          </w:p>
        </w:tc>
        <w:tc>
          <w:tcPr>
            <w:tcW w:w="720" w:type="dxa"/>
            <w:tcBorders/>
          </w:tcPr>
          <w:p>
            <w:pPr>
              <w:pStyle w:val="Normal"/>
              <w:spacing w:lineRule="atLeast" w:line="0"/>
              <w:ind w:end="114"/>
              <w:jc w:val="end"/>
              <w:rPr>
                <w:rFonts w:ascii="Arial" w:hAnsi="Arial" w:eastAsia="Arial" w:cs="Arial"/>
                <w:sz w:val="13"/>
              </w:rPr>
            </w:pPr>
            <w:r>
              <w:rPr>
                <w:rFonts w:eastAsia="Arial" w:cs="Arial" w:ascii="Arial" w:hAnsi="Arial"/>
                <w:sz w:val="13"/>
              </w:rPr>
              <w:t>2001</w:t>
            </w:r>
          </w:p>
        </w:tc>
        <w:tc>
          <w:tcPr>
            <w:tcW w:w="620" w:type="dxa"/>
            <w:tcBorders/>
          </w:tcPr>
          <w:p>
            <w:pPr>
              <w:pStyle w:val="Normal"/>
              <w:spacing w:lineRule="atLeast" w:line="0"/>
              <w:ind w:end="94"/>
              <w:jc w:val="end"/>
              <w:rPr>
                <w:rFonts w:ascii="Arial" w:hAnsi="Arial" w:eastAsia="Arial" w:cs="Arial"/>
                <w:sz w:val="13"/>
              </w:rPr>
            </w:pPr>
            <w:r>
              <w:rPr>
                <w:rFonts w:eastAsia="Arial" w:cs="Arial" w:ascii="Arial" w:hAnsi="Arial"/>
                <w:sz w:val="13"/>
              </w:rPr>
              <w:t>2006</w:t>
            </w:r>
          </w:p>
        </w:tc>
        <w:tc>
          <w:tcPr>
            <w:tcW w:w="640" w:type="dxa"/>
            <w:tcBorders/>
          </w:tcPr>
          <w:p>
            <w:pPr>
              <w:pStyle w:val="Normal"/>
              <w:spacing w:lineRule="atLeast" w:line="0"/>
              <w:ind w:end="94"/>
              <w:jc w:val="end"/>
              <w:rPr>
                <w:rFonts w:ascii="Arial" w:hAnsi="Arial" w:eastAsia="Arial" w:cs="Arial"/>
                <w:sz w:val="13"/>
              </w:rPr>
            </w:pPr>
            <w:r>
              <w:rPr>
                <w:rFonts w:eastAsia="Arial" w:cs="Arial" w:ascii="Arial" w:hAnsi="Arial"/>
                <w:sz w:val="13"/>
              </w:rPr>
              <w:t>2011</w:t>
            </w:r>
          </w:p>
        </w:tc>
        <w:tc>
          <w:tcPr>
            <w:tcW w:w="660" w:type="dxa"/>
            <w:tcBorders/>
          </w:tcPr>
          <w:p>
            <w:pPr>
              <w:pStyle w:val="Normal"/>
              <w:spacing w:lineRule="atLeast" w:line="0"/>
              <w:jc w:val="end"/>
              <w:rPr/>
            </w:pPr>
            <w:r>
              <w:rPr>
                <w:rFonts w:eastAsia="Arial" w:cs="Arial" w:ascii="Arial" w:hAnsi="Arial"/>
                <w:sz w:val="13"/>
              </w:rPr>
              <w:t>2016</w:t>
            </w:r>
            <w:r>
              <w:rPr>
                <w:rFonts w:eastAsia="Arial" w:cs="Arial" w:ascii="Arial" w:hAnsi="Arial"/>
                <w:sz w:val="26"/>
              </w:rPr>
              <w:t xml:space="preserve"> </w:t>
            </w:r>
            <w:r>
              <w:rPr>
                <w:rFonts w:eastAsia="Arial" w:cs="Arial" w:ascii="Arial" w:hAnsi="Arial"/>
                <w:sz w:val="26"/>
                <w:vertAlign w:val="superscript"/>
              </w:rPr>
              <w:t>4</w:t>
            </w:r>
          </w:p>
        </w:tc>
      </w:tr>
    </w:tbl>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drawing>
          <wp:anchor behindDoc="1" distT="0" distB="0" distL="114935" distR="114935" simplePos="0" locked="0" layoutInCell="1" allowOverlap="1" relativeHeight="6">
            <wp:simplePos x="0" y="0"/>
            <wp:positionH relativeFrom="column">
              <wp:posOffset>107315</wp:posOffset>
            </wp:positionH>
            <wp:positionV relativeFrom="paragraph">
              <wp:posOffset>-1842770</wp:posOffset>
            </wp:positionV>
            <wp:extent cx="2266950" cy="1671320"/>
            <wp:effectExtent l="0" t="0" r="0" b="0"/>
            <wp:wrapNone/>
            <wp:docPr id="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title=""/>
                    <pic:cNvPicPr>
                      <a:picLocks noChangeAspect="1" noChangeArrowheads="1"/>
                    </pic:cNvPicPr>
                  </pic:nvPicPr>
                  <pic:blipFill>
                    <a:blip r:embed="rId4"/>
                    <a:srcRect l="-8" t="-11" r="-8" b="-11"/>
                    <a:stretch>
                      <a:fillRect/>
                    </a:stretch>
                  </pic:blipFill>
                  <pic:spPr bwMode="auto">
                    <a:xfrm>
                      <a:off x="0" y="0"/>
                      <a:ext cx="2266950" cy="1671320"/>
                    </a:xfrm>
                    <a:prstGeom prst="rect">
                      <a:avLst/>
                    </a:prstGeom>
                  </pic:spPr>
                </pic:pic>
              </a:graphicData>
            </a:graphic>
          </wp:anchor>
        </w:drawing>
      </w:r>
    </w:p>
    <w:p>
      <w:pPr>
        <w:pStyle w:val="Normal"/>
        <w:spacing w:lineRule="atLeast" w:line="0"/>
        <w:ind w:start="160" w:end="0"/>
        <w:rPr>
          <w:rFonts w:ascii="Arial" w:hAnsi="Arial" w:eastAsia="Arial" w:cs="Arial"/>
          <w:sz w:val="11"/>
        </w:rPr>
      </w:pPr>
      <w:r>
        <w:rPr>
          <w:rFonts w:eastAsia="Arial" w:cs="Arial" w:ascii="Arial" w:hAnsi="Arial"/>
          <w:sz w:val="11"/>
        </w:rPr>
        <w:t>Sources: ABS; CoreLogic; RBA</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end="460"/>
        <w:rPr>
          <w:rFonts w:ascii="Arial" w:hAnsi="Arial" w:eastAsia="Arial" w:cs="Arial"/>
          <w:sz w:val="17"/>
        </w:rPr>
      </w:pPr>
      <w:r>
        <w:rPr>
          <w:rFonts w:eastAsia="Arial" w:cs="Arial" w:ascii="Arial" w:hAnsi="Arial"/>
          <w:sz w:val="17"/>
        </w:rPr>
        <w:t>spending through various indirect channels. Tax paid on the transfer of property ownership is also a key source of state government tax revenue.</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end="560"/>
        <w:rPr>
          <w:rFonts w:ascii="Arial" w:hAnsi="Arial" w:eastAsia="Arial" w:cs="Arial"/>
          <w:sz w:val="16"/>
        </w:rPr>
      </w:pPr>
      <w:r>
        <w:rPr>
          <w:rFonts w:eastAsia="Arial" w:cs="Arial" w:ascii="Arial" w:hAnsi="Arial"/>
          <w:sz w:val="16"/>
        </w:rPr>
        <w:t>In this article, we provide an overview of some factors that might influence measured housing turnover in Australia. Household-level survey data, in addition to aggregate economic indicators, are used to examine possible reasons for the decline in the housing turnover rate over the past decade or so. This is followed by a discussion of measurement challenges arising</w:t>
      </w:r>
    </w:p>
    <w:p>
      <w:pPr>
        <w:sectPr>
          <w:type w:val="continuous"/>
          <w:pgSz w:w="9978" w:h="14173"/>
          <w:pgMar w:left="1134" w:right="578" w:gutter="0" w:header="0" w:top="1440" w:footer="0" w:bottom="0"/>
          <w:cols w:num="2" w:equalWidth="false" w:sep="false">
            <w:col w:w="3746" w:space="340"/>
            <w:col w:w="41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046" w:leader="none"/>
        </w:tabs>
        <w:spacing w:lineRule="atLeast" w:line="0"/>
        <w:ind w:start="5306" w:end="0"/>
        <w:rPr/>
      </w:pPr>
      <w:r>
        <w:rPr>
          <w:rFonts w:eastAsia="Arial" w:cs="Arial" w:ascii="Arial" w:hAnsi="Arial"/>
          <w:color w:val="005766"/>
          <w:sz w:val="14"/>
        </w:rPr>
        <w:t xml:space="preserve">BULLETIN </w:t>
      </w:r>
      <w:r>
        <w:rPr>
          <w:rFonts w:eastAsia="Arial" w:cs="Arial" w:ascii="Arial" w:hAnsi="Arial"/>
          <w:b/>
          <w:color w:val="005766"/>
          <w:sz w:val="14"/>
        </w:rPr>
        <w:t>|</w:t>
      </w:r>
      <w:r>
        <w:rPr>
          <w:rFonts w:eastAsia="Arial" w:cs="Arial" w:ascii="Arial" w:hAnsi="Arial"/>
          <w:b/>
          <w:color w:val="000000"/>
          <w:sz w:val="14"/>
        </w:rPr>
        <w:t xml:space="preserve"> MARCH QUARTER 2017</w:t>
      </w:r>
      <w:r>
        <w:rPr>
          <w:rFonts w:eastAsia="Times New Roman" w:cs="Times New Roman" w:ascii="Times New Roman" w:hAnsi="Times New Roman"/>
        </w:rPr>
        <w:tab/>
      </w:r>
      <w:r>
        <w:rPr>
          <w:rFonts w:eastAsia="Arial" w:cs="Arial" w:ascii="Arial" w:hAnsi="Arial"/>
          <w:b/>
          <w:sz w:val="14"/>
        </w:rPr>
        <w:t>2 1</w:t>
      </w:r>
    </w:p>
    <w:p>
      <w:pPr>
        <w:sectPr>
          <w:type w:val="continuous"/>
          <w:pgSz w:w="9978" w:h="14173"/>
          <w:pgMar w:left="1134" w:right="578" w:gutter="0" w:header="0" w:top="1440" w:footer="0" w:bottom="0"/>
          <w:formProt w:val="false"/>
          <w:textDirection w:val="lrTb"/>
          <w:docGrid w:type="default" w:linePitch="360" w:charSpace="0"/>
        </w:sectPr>
      </w:pPr>
    </w:p>
    <w:p>
      <w:pPr>
        <w:pStyle w:val="Normal"/>
        <w:spacing w:lineRule="atLeast" w:line="0"/>
        <w:ind w:start="420" w:end="0"/>
        <w:rPr>
          <w:rFonts w:ascii="Arial" w:hAnsi="Arial" w:eastAsia="Arial" w:cs="Arial"/>
          <w:color w:val="005766"/>
          <w:sz w:val="14"/>
        </w:rPr>
      </w:pPr>
      <w:bookmarkStart w:id="2" w:name="page2"/>
      <w:bookmarkEnd w:id="2"/>
      <w:r>
        <w:rPr>
          <w:rFonts w:eastAsia="Arial" w:cs="Arial" w:ascii="Arial" w:hAnsi="Arial"/>
          <w:color w:val="005766"/>
          <w:sz w:val="14"/>
        </w:rPr>
        <w:t>HOUSING MARKET TURNOVER</w:t>
      </w:r>
    </w:p>
    <w:p>
      <w:pPr>
        <w:pStyle w:val="Normal"/>
        <w:spacing w:lineRule="exact" w:line="399"/>
        <w:rPr>
          <w:rFonts w:ascii="Times New Roman" w:hAnsi="Times New Roman" w:eastAsia="Times New Roman" w:cs="Times New Roman"/>
          <w:color w:val="005766"/>
          <w:sz w:val="14"/>
        </w:rPr>
      </w:pPr>
      <w:r>
        <w:rPr>
          <w:rFonts w:eastAsia="Times New Roman" w:cs="Times New Roman" w:ascii="Times New Roman" w:hAnsi="Times New Roman"/>
          <w:color w:val="005766"/>
          <w:sz w:val="14"/>
        </w:rPr>
      </w:r>
    </w:p>
    <w:p>
      <w:pPr>
        <w:pStyle w:val="Normal"/>
        <w:spacing w:lineRule="auto" w:line="340"/>
        <w:ind w:start="420" w:end="0"/>
        <w:rPr>
          <w:rFonts w:ascii="Arial" w:hAnsi="Arial" w:eastAsia="Arial" w:cs="Arial"/>
          <w:sz w:val="17"/>
        </w:rPr>
      </w:pPr>
      <w:r>
        <w:rPr>
          <w:rFonts w:eastAsia="Arial" w:cs="Arial" w:ascii="Arial" w:hAnsi="Arial"/>
          <w:sz w:val="17"/>
        </w:rPr>
        <w:t>from the recent increase in off-the-plan sales of new apartments. We also examine some broader implications of housing market turnover for economic activity and household balance sheets.</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0"/>
        <w:ind w:end="180"/>
        <w:rPr/>
      </w:pPr>
      <w:r>
        <w:rPr>
          <w:rFonts w:eastAsia="Arial" w:cs="Arial" w:ascii="Arial" w:hAnsi="Arial"/>
          <w:sz w:val="17"/>
        </w:rPr>
        <w:t>consequence its measure of housing turnover is typically lower than CoreLogic’s, although upward revisions to the ABS data tend to bring the series closer together over time.</w:t>
      </w:r>
    </w:p>
    <w:p>
      <w:pPr>
        <w:sectPr>
          <w:type w:val="nextPage"/>
          <w:pgSz w:w="9978" w:h="14173"/>
          <w:pgMar w:left="600" w:right="1158" w:gutter="0" w:header="0" w:top="822" w:footer="0" w:bottom="0"/>
          <w:pgNumType w:fmt="decimal"/>
          <w:cols w:num="2" w:equalWidth="false" w:sep="false">
            <w:col w:w="4140" w:space="360"/>
            <w:col w:w="3720"/>
          </w:cols>
          <w:formProt w:val="false"/>
          <w:textDirection w:val="lrTb"/>
          <w:docGrid w:type="default" w:linePitch="360" w:charSpace="0"/>
        </w:sectPr>
      </w:pPr>
    </w:p>
    <w:p>
      <w:pPr>
        <w:pStyle w:val="Normal"/>
        <w:spacing w:lineRule="exact" w:line="17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49"/>
        <w:ind w:start="420" w:end="1040"/>
        <w:rPr>
          <w:rFonts w:ascii="Arial" w:hAnsi="Arial" w:eastAsia="Arial" w:cs="Arial"/>
          <w:color w:val="005766"/>
          <w:sz w:val="26"/>
        </w:rPr>
      </w:pPr>
      <w:r>
        <w:rPr>
          <w:rFonts w:eastAsia="Arial" w:cs="Arial" w:ascii="Arial" w:hAnsi="Arial"/>
          <w:color w:val="005766"/>
          <w:sz w:val="26"/>
        </w:rPr>
        <w:t>How Is Housing Turnover Measured?</w:t>
      </w:r>
    </w:p>
    <w:p>
      <w:pPr>
        <w:pStyle w:val="Normal"/>
        <w:spacing w:lineRule="exact" w:line="102"/>
        <w:rPr>
          <w:rFonts w:ascii="Times New Roman" w:hAnsi="Times New Roman" w:eastAsia="Times New Roman" w:cs="Times New Roman"/>
          <w:color w:val="005766"/>
          <w:sz w:val="26"/>
        </w:rPr>
      </w:pPr>
      <w:r>
        <w:rPr>
          <w:rFonts w:eastAsia="Times New Roman" w:cs="Times New Roman" w:ascii="Times New Roman" w:hAnsi="Times New Roman"/>
          <w:color w:val="005766"/>
          <w:sz w:val="26"/>
        </w:rPr>
      </w:r>
    </w:p>
    <w:p>
      <w:pPr>
        <w:pStyle w:val="Normal"/>
        <w:spacing w:lineRule="auto" w:line="331"/>
        <w:ind w:start="420" w:end="0"/>
        <w:rPr>
          <w:rFonts w:ascii="Arial" w:hAnsi="Arial" w:eastAsia="Arial" w:cs="Arial"/>
          <w:sz w:val="17"/>
        </w:rPr>
      </w:pPr>
      <w:r>
        <w:rPr>
          <w:rFonts w:eastAsia="Arial" w:cs="Arial" w:ascii="Arial" w:hAnsi="Arial"/>
          <w:sz w:val="17"/>
        </w:rPr>
        <w:t>In Australia, the most complete set of housing sales data is collected by the state and territory Valuers-General or Land Titles Offices. These agencies receive detailed sales information at the time a housing transaction is settled, which usually includes the date at which the purchase was agreed and contracts were signed. Other parties, such as private research companies, then aggregate these unit-record data to construct regional measures of turnover based on the contract date of the sale. As a result, the length of time between the contract date and settlement date of housing transactions can influence the completeness of recent data. This lag is especially long for off-the-plan apartment sales, which typically occur before construction has begun and are not settled until a few years later when construction is complete.</w:t>
      </w:r>
    </w:p>
    <w:p>
      <w:pPr>
        <w:pStyle w:val="Normal"/>
        <w:spacing w:lineRule="exact" w:line="6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55"/>
        <w:ind w:start="420" w:end="20"/>
        <w:rPr/>
      </w:pPr>
      <w:r>
        <w:rPr>
          <w:rFonts w:eastAsia="Arial" w:cs="Arial" w:ascii="Arial" w:hAnsi="Arial"/>
          <w:sz w:val="16"/>
        </w:rPr>
        <w:t>To overcome some of these limitations, private research companies often supplement official state government data with industry sources. For example, CoreLogic collects information from real estate agents, listings websites and other sources.</w:t>
      </w:r>
      <w:r>
        <w:rPr>
          <w:rFonts w:eastAsia="Arial" w:cs="Arial" w:ascii="Arial" w:hAnsi="Arial"/>
          <w:sz w:val="10"/>
        </w:rPr>
        <w:t>1</w:t>
      </w:r>
      <w:r>
        <w:rPr>
          <w:rFonts w:eastAsia="Arial" w:cs="Arial" w:ascii="Arial" w:hAnsi="Arial"/>
          <w:sz w:val="16"/>
        </w:rPr>
        <w:t xml:space="preserve"> To address the issue of lengthy publication lags further, CoreLogic estimates housing turnover by adjusting for the historical pattern of revisions to turnover data and, more recently, has applied modelling which incorporates residential listings.</w:t>
      </w:r>
    </w:p>
    <w:p>
      <w:pPr>
        <w:pStyle w:val="Normal"/>
        <w:spacing w:lineRule="exact" w:line="4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67"/>
        <w:ind w:start="420" w:end="160"/>
        <w:rPr/>
      </w:pPr>
      <w:r>
        <w:rPr>
          <w:rFonts w:eastAsia="Arial" w:cs="Arial" w:ascii="Arial" w:hAnsi="Arial"/>
          <w:sz w:val="16"/>
        </w:rPr>
        <w:t>The Australian Bureau of Statistics (ABS) also reports housing turnover (‘transfers’) using CoreLogic’s unit-record database. The ABS does not adjust for missing observations and as a</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7">
                <wp:simplePos x="0" y="0"/>
                <wp:positionH relativeFrom="column">
                  <wp:posOffset>266700</wp:posOffset>
                </wp:positionH>
                <wp:positionV relativeFrom="paragraph">
                  <wp:posOffset>127635</wp:posOffset>
                </wp:positionV>
                <wp:extent cx="2376170" cy="0"/>
                <wp:effectExtent l="0" t="1905" r="0" b="1905"/>
                <wp:wrapNone/>
                <wp:docPr id="5" name=""/>
                <a:graphic xmlns:a="http://schemas.openxmlformats.org/drawingml/2006/main">
                  <a:graphicData uri="http://schemas.microsoft.com/office/word/2010/wordprocessingShape">
                    <wps:wsp>
                      <wps:cNvSpPr/>
                      <wps:spPr>
                        <a:xfrm>
                          <a:off x="0" y="0"/>
                          <a:ext cx="2376000" cy="0"/>
                        </a:xfrm>
                        <a:prstGeom prst="line">
                          <a:avLst/>
                        </a:prstGeom>
                        <a:ln w="3960">
                          <a:solidFill>
                            <a:srgbClr val="a2948f"/>
                          </a:solidFill>
                          <a:miter/>
                        </a:ln>
                      </wps:spPr>
                      <wps:style>
                        <a:lnRef idx="0"/>
                        <a:fillRef idx="0"/>
                        <a:effectRef idx="0"/>
                        <a:fontRef idx="minor"/>
                      </wps:style>
                      <wps:bodyPr/>
                    </wps:wsp>
                  </a:graphicData>
                </a:graphic>
              </wp:anchor>
            </w:drawing>
          </mc:Choice>
          <mc:Fallback>
            <w:pict>
              <v:line id="shape_0" from="21pt,10.05pt" to="208.05pt,10.05pt" stroked="t" o:allowincell="f" style="position:absolute">
                <v:stroke color="#a2948f" weight="3960" joinstyle="miter" endcap="flat"/>
                <v:fill o:detectmouseclick="t" on="false"/>
                <w10:wrap type="none"/>
              </v:line>
            </w:pict>
          </mc:Fallback>
        </mc:AlternateConten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600" w:leader="none"/>
        </w:tabs>
        <w:spacing w:lineRule="auto" w:line="391"/>
        <w:ind w:hanging="180" w:start="600" w:end="200"/>
        <w:jc w:val="both"/>
        <w:rPr>
          <w:rFonts w:ascii="Arial" w:hAnsi="Arial" w:eastAsia="Arial" w:cs="Arial"/>
          <w:sz w:val="11"/>
        </w:rPr>
      </w:pPr>
      <w:r>
        <w:rPr>
          <w:rFonts w:eastAsia="Arial" w:cs="Arial" w:ascii="Arial" w:hAnsi="Arial"/>
          <w:sz w:val="11"/>
        </w:rPr>
        <w:t>These data are matched with the state government data and are overridden when the official record of the transaction is available.</w:t>
      </w:r>
    </w:p>
    <w:p>
      <w:pPr>
        <w:pStyle w:val="Normal"/>
        <w:spacing w:lineRule="exact" w:line="178"/>
        <w:rPr>
          <w:rFonts w:ascii="Times New Roman" w:hAnsi="Times New Roman" w:eastAsia="Times New Roman" w:cs="Times New Roman"/>
          <w:sz w:val="11"/>
        </w:rPr>
      </w:pPr>
      <w:r>
        <w:br w:type="column"/>
      </w:r>
      <w:r>
        <w:rPr>
          <w:rFonts w:eastAsia="Times New Roman" w:cs="Times New Roman" w:ascii="Times New Roman" w:hAnsi="Times New Roman"/>
          <w:sz w:val="11"/>
        </w:rPr>
      </w:r>
    </w:p>
    <w:p>
      <w:pPr>
        <w:pStyle w:val="Normal"/>
        <w:spacing w:lineRule="atLeast" w:line="0"/>
        <w:rPr>
          <w:rFonts w:ascii="Arial" w:hAnsi="Arial" w:eastAsia="Arial" w:cs="Arial"/>
          <w:color w:val="005766"/>
          <w:sz w:val="26"/>
        </w:rPr>
      </w:pPr>
      <w:r>
        <w:rPr>
          <w:rFonts w:eastAsia="Arial" w:cs="Arial" w:ascii="Arial" w:hAnsi="Arial"/>
          <w:color w:val="005766"/>
          <w:sz w:val="26"/>
        </w:rPr>
        <w:t>Drivers of Housing Turnover</w:t>
      </w:r>
    </w:p>
    <w:p>
      <w:pPr>
        <w:pStyle w:val="Normal"/>
        <w:spacing w:lineRule="exact" w:line="126"/>
        <w:rPr>
          <w:rFonts w:ascii="Times New Roman" w:hAnsi="Times New Roman" w:eastAsia="Times New Roman" w:cs="Times New Roman"/>
          <w:color w:val="005766"/>
          <w:sz w:val="26"/>
        </w:rPr>
      </w:pPr>
      <w:r>
        <w:rPr>
          <w:rFonts w:eastAsia="Times New Roman" w:cs="Times New Roman" w:ascii="Times New Roman" w:hAnsi="Times New Roman"/>
          <w:color w:val="005766"/>
          <w:sz w:val="26"/>
        </w:rPr>
      </w:r>
    </w:p>
    <w:p>
      <w:pPr>
        <w:pStyle w:val="Normal"/>
        <w:spacing w:lineRule="auto" w:line="333"/>
        <w:ind w:end="20"/>
        <w:rPr>
          <w:rFonts w:ascii="Arial" w:hAnsi="Arial" w:eastAsia="Arial" w:cs="Arial"/>
          <w:sz w:val="17"/>
        </w:rPr>
      </w:pPr>
      <w:r>
        <w:rPr>
          <w:rFonts w:eastAsia="Arial" w:cs="Arial" w:ascii="Arial" w:hAnsi="Arial"/>
          <w:sz w:val="17"/>
        </w:rPr>
        <w:t>Households decide to move for many reasons, stemming from both personal circumstances and macroeconomic conditions. Data from the Household, Income and Labour Dynamics in Australia (HILDA) Survey show that the main reasons why owner-occupiers move home have not changed much over the past decade. In 2015, the most common single reason cited for moving by home owners was to have a place of their own (about 30 per cent), followed by having a larger or better place (about 22 per cent). A number of reasons relating to family and friends, such as moving closer, were also cited by a large proportion of home owners.</w:t>
      </w:r>
    </w:p>
    <w:p>
      <w:pPr>
        <w:pStyle w:val="Normal"/>
        <w:spacing w:lineRule="exact" w:line="5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50"/>
        <w:ind w:end="240"/>
        <w:rPr>
          <w:rFonts w:ascii="Arial" w:hAnsi="Arial" w:eastAsia="Arial" w:cs="Arial"/>
          <w:sz w:val="16"/>
        </w:rPr>
      </w:pPr>
      <w:r>
        <w:rPr>
          <w:rFonts w:eastAsia="Arial" w:cs="Arial" w:ascii="Arial" w:hAnsi="Arial"/>
          <w:sz w:val="16"/>
        </w:rPr>
        <w:t>Not surprisingly, the reasons for moving differ by age. Older owner-occupiers (aged 55 years and above) more commonly cite downsizing and location, whereas those aged 35 to 54 years are more often buying larger or better properties. Younger home owners (aged 18 to</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28"/>
        <w:rPr>
          <w:rFonts w:ascii="Arial" w:hAnsi="Arial" w:eastAsia="Arial" w:cs="Arial"/>
          <w:sz w:val="17"/>
        </w:rPr>
      </w:pPr>
      <w:r>
        <w:rPr>
          <w:rFonts w:eastAsia="Arial" w:cs="Arial" w:ascii="Arial" w:hAnsi="Arial"/>
          <w:sz w:val="17"/>
        </w:rPr>
        <w:t>34 years) appear to be the least concerned with the location of the home and more frequently prioritise having their own place and family and friends in their moving decision. Moving for work is not a common reason for buying a home, regardless of age, which might reflect a view</w:t>
      </w:r>
    </w:p>
    <w:p>
      <w:pPr>
        <w:pStyle w:val="Normal"/>
        <w:spacing w:lineRule="exact" w:line="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97"/>
        <w:ind w:end="40"/>
        <w:rPr>
          <w:rFonts w:ascii="Arial" w:hAnsi="Arial" w:eastAsia="Arial" w:cs="Arial"/>
          <w:sz w:val="19"/>
        </w:rPr>
      </w:pPr>
      <w:r>
        <w:rPr>
          <w:rFonts w:eastAsia="Arial" w:cs="Arial" w:ascii="Arial" w:hAnsi="Arial"/>
          <w:sz w:val="19"/>
        </w:rPr>
        <w:t>by some households that work is a temporary reason for moving and therefore not sufficient to commit to home ownership.</w:t>
      </w:r>
    </w:p>
    <w:p>
      <w:pPr>
        <w:pStyle w:val="Normal"/>
        <w:spacing w:lineRule="exact" w:line="7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40"/>
        <w:ind w:end="60"/>
        <w:rPr/>
      </w:pPr>
      <w:r>
        <w:rPr>
          <w:rFonts w:eastAsia="Arial" w:cs="Arial" w:ascii="Arial" w:hAnsi="Arial"/>
          <w:sz w:val="17"/>
        </w:rPr>
        <w:t>While the reasons for moving have not changed much over time, the HILDA Survey shows that households are moving less often than they were in the early 2000s (Graph 2).</w:t>
      </w:r>
      <w:r>
        <w:rPr>
          <w:rFonts w:eastAsia="Arial" w:cs="Arial" w:ascii="Arial" w:hAnsi="Arial"/>
          <w:sz w:val="10"/>
        </w:rPr>
        <w:t>2</w:t>
      </w:r>
      <w:r>
        <w:rPr>
          <w:rFonts w:eastAsia="Arial" w:cs="Arial" w:ascii="Arial" w:hAnsi="Arial"/>
          <w:sz w:val="17"/>
        </w:rPr>
        <w:t xml:space="preserve"> The largest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8">
                <wp:simplePos x="0" y="0"/>
                <wp:positionH relativeFrom="column">
                  <wp:posOffset>1270</wp:posOffset>
                </wp:positionH>
                <wp:positionV relativeFrom="paragraph">
                  <wp:posOffset>155575</wp:posOffset>
                </wp:positionV>
                <wp:extent cx="2376170" cy="0"/>
                <wp:effectExtent l="0" t="1905" r="0" b="1905"/>
                <wp:wrapNone/>
                <wp:docPr id="6" name=""/>
                <a:graphic xmlns:a="http://schemas.openxmlformats.org/drawingml/2006/main">
                  <a:graphicData uri="http://schemas.microsoft.com/office/word/2010/wordprocessingShape">
                    <wps:wsp>
                      <wps:cNvSpPr/>
                      <wps:spPr>
                        <a:xfrm>
                          <a:off x="0" y="0"/>
                          <a:ext cx="2376000" cy="0"/>
                        </a:xfrm>
                        <a:prstGeom prst="line">
                          <a:avLst/>
                        </a:prstGeom>
                        <a:ln w="3960">
                          <a:solidFill>
                            <a:srgbClr val="a2948f"/>
                          </a:solidFill>
                          <a:miter/>
                        </a:ln>
                      </wps:spPr>
                      <wps:style>
                        <a:lnRef idx="0"/>
                        <a:fillRef idx="0"/>
                        <a:effectRef idx="0"/>
                        <a:fontRef idx="minor"/>
                      </wps:style>
                      <wps:bodyPr/>
                    </wps:wsp>
                  </a:graphicData>
                </a:graphic>
              </wp:anchor>
            </w:drawing>
          </mc:Choice>
          <mc:Fallback>
            <w:pict>
              <v:line id="shape_0" from="0.1pt,12.25pt" to="187.15pt,12.25pt" stroked="t" o:allowincell="f" style="position:absolute">
                <v:stroke color="#a2948f" weight="3960" joinstyle="miter" endcap="flat"/>
                <v:fill o:detectmouseclick="t" on="false"/>
                <w10:wrap type="none"/>
              </v:line>
            </w:pict>
          </mc:Fallback>
        </mc:AlternateConten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80" w:leader="none"/>
        </w:tabs>
        <w:spacing w:lineRule="auto" w:line="338"/>
        <w:ind w:hanging="178" w:start="180" w:end="60"/>
        <w:rPr>
          <w:rFonts w:ascii="Arial" w:hAnsi="Arial" w:eastAsia="Arial" w:cs="Arial"/>
          <w:sz w:val="12"/>
        </w:rPr>
      </w:pPr>
      <w:r>
        <w:rPr>
          <w:rFonts w:eastAsia="Arial" w:cs="Arial" w:ascii="Arial" w:hAnsi="Arial"/>
          <w:sz w:val="12"/>
        </w:rPr>
        <w:t>This is consistent with ABS Census data which show a decline in the share of residents moving over the last two decades.</w:t>
      </w:r>
    </w:p>
    <w:p>
      <w:pPr>
        <w:sectPr>
          <w:type w:val="continuous"/>
          <w:pgSz w:w="9978" w:h="14173"/>
          <w:pgMar w:left="600" w:right="1158" w:gutter="0" w:header="0" w:top="822" w:footer="0" w:bottom="0"/>
          <w:cols w:num="2" w:equalWidth="false" w:sep="false">
            <w:col w:w="4160" w:space="340"/>
            <w:col w:w="37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00" w:leader="none"/>
        </w:tabs>
        <w:spacing w:lineRule="atLeast" w:line="0"/>
        <w:rPr/>
      </w:pPr>
      <w:r>
        <w:rPr>
          <w:rFonts w:eastAsia="Arial" w:cs="Arial" w:ascii="Arial" w:hAnsi="Arial"/>
          <w:b/>
          <w:sz w:val="16"/>
        </w:rPr>
        <w:t>2 2</w:t>
      </w:r>
      <w:r>
        <w:rPr>
          <w:rFonts w:eastAsia="Times New Roman" w:cs="Times New Roman" w:ascii="Times New Roman" w:hAnsi="Times New Roman"/>
        </w:rPr>
        <w:tab/>
      </w:r>
      <w:r>
        <w:rPr>
          <w:rFonts w:eastAsia="Arial" w:cs="Arial" w:ascii="Arial" w:hAnsi="Arial"/>
          <w:sz w:val="14"/>
        </w:rPr>
        <w:t>RESERVE BANK OF AUSTRALIA</w:t>
      </w:r>
    </w:p>
    <w:p>
      <w:pPr>
        <w:sectPr>
          <w:type w:val="continuous"/>
          <w:pgSz w:w="9978" w:h="14173"/>
          <w:pgMar w:left="600" w:right="1158" w:gutter="0" w:header="0" w:top="822"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bookmarkStart w:id="3" w:name="page3"/>
      <w:bookmarkStart w:id="4" w:name="page3"/>
      <w:bookmarkEnd w:id="4"/>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tbl>
      <w:tblPr>
        <w:tblW w:w="3840" w:type="dxa"/>
        <w:jc w:val="start"/>
        <w:tblInd w:w="0" w:type="dxa"/>
        <w:tblLayout w:type="fixed"/>
        <w:tblCellMar>
          <w:top w:w="0" w:type="dxa"/>
          <w:start w:w="0" w:type="dxa"/>
          <w:bottom w:w="0" w:type="dxa"/>
          <w:end w:w="0" w:type="dxa"/>
        </w:tblCellMar>
      </w:tblPr>
      <w:tblGrid>
        <w:gridCol w:w="220"/>
        <w:gridCol w:w="1060"/>
        <w:gridCol w:w="700"/>
        <w:gridCol w:w="600"/>
        <w:gridCol w:w="1060"/>
        <w:gridCol w:w="200"/>
      </w:tblGrid>
      <w:tr>
        <w:trPr>
          <w:trHeight w:val="268" w:hRule="atLeast"/>
        </w:trPr>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00" w:type="dxa"/>
            <w:gridSpan w:val="2"/>
            <w:tcBorders/>
          </w:tcPr>
          <w:p>
            <w:pPr>
              <w:pStyle w:val="Normal"/>
              <w:spacing w:lineRule="atLeast" w:line="0"/>
              <w:jc w:val="center"/>
              <w:rPr>
                <w:rFonts w:ascii="Arial" w:hAnsi="Arial" w:eastAsia="Arial" w:cs="Arial"/>
                <w:b/>
              </w:rPr>
            </w:pPr>
            <w:r>
              <w:rPr>
                <w:rFonts w:eastAsia="Arial" w:cs="Arial" w:ascii="Arial" w:hAnsi="Arial"/>
                <w:b/>
              </w:rPr>
              <w:t>Graph 2</w:t>
            </w:r>
          </w:p>
        </w:tc>
        <w:tc>
          <w:tcPr>
            <w:tcW w:w="10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26" w:hRule="atLeast"/>
        </w:trPr>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20" w:type="dxa"/>
            <w:gridSpan w:val="4"/>
            <w:tcBorders/>
          </w:tcPr>
          <w:p>
            <w:pPr>
              <w:pStyle w:val="Normal"/>
              <w:spacing w:lineRule="atLeast" w:line="0"/>
              <w:jc w:val="center"/>
              <w:rPr>
                <w:rFonts w:ascii="Arial" w:hAnsi="Arial" w:eastAsia="Arial" w:cs="Arial"/>
                <w:b/>
                <w:sz w:val="18"/>
              </w:rPr>
            </w:pPr>
            <w:r>
              <w:rPr>
                <w:rFonts w:eastAsia="Arial" w:cs="Arial" w:ascii="Arial" w:hAnsi="Arial"/>
                <w:b/>
                <w:sz w:val="18"/>
              </w:rPr>
              <w:t>Moved in the Previous Year*</w:t>
            </w:r>
          </w:p>
        </w:tc>
        <w:tc>
          <w:tcPr>
            <w:tcW w:w="2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175" w:hRule="atLeast"/>
        </w:trPr>
        <w:tc>
          <w:tcPr>
            <w:tcW w:w="220" w:type="dxa"/>
            <w:vMerge w:val="restart"/>
            <w:tcBorders/>
          </w:tcPr>
          <w:p>
            <w:pPr>
              <w:pStyle w:val="Normal"/>
              <w:spacing w:lineRule="atLeast" w:line="0"/>
              <w:ind w:end="37"/>
              <w:jc w:val="end"/>
              <w:rPr>
                <w:rFonts w:ascii="Arial" w:hAnsi="Arial" w:eastAsia="Arial" w:cs="Arial"/>
                <w:w w:val="86"/>
                <w:sz w:val="13"/>
              </w:rPr>
            </w:pPr>
            <w:r>
              <w:rPr>
                <w:rFonts w:eastAsia="Arial" w:cs="Arial" w:ascii="Arial" w:hAnsi="Arial"/>
                <w:w w:val="86"/>
                <w:sz w:val="13"/>
              </w:rPr>
              <w:t>%</w:t>
            </w:r>
          </w:p>
        </w:tc>
        <w:tc>
          <w:tcPr>
            <w:tcW w:w="3420" w:type="dxa"/>
            <w:gridSpan w:val="4"/>
            <w:tcBorders/>
          </w:tcPr>
          <w:p>
            <w:pPr>
              <w:pStyle w:val="Normal"/>
              <w:spacing w:lineRule="atLeast" w:line="0"/>
              <w:jc w:val="center"/>
              <w:rPr>
                <w:rFonts w:ascii="Arial" w:hAnsi="Arial" w:eastAsia="Arial" w:cs="Arial"/>
                <w:sz w:val="13"/>
              </w:rPr>
            </w:pPr>
            <w:r>
              <w:rPr>
                <w:rFonts w:eastAsia="Arial" w:cs="Arial" w:ascii="Arial" w:hAnsi="Arial"/>
                <w:sz w:val="13"/>
              </w:rPr>
              <w:t>Share of household heads in the previous tenure status</w:t>
            </w:r>
          </w:p>
        </w:tc>
        <w:tc>
          <w:tcPr>
            <w:tcW w:w="200" w:type="dxa"/>
            <w:vMerge w:val="restart"/>
            <w:tcBorders/>
          </w:tcPr>
          <w:p>
            <w:pPr>
              <w:pStyle w:val="Normal"/>
              <w:spacing w:lineRule="atLeast" w:line="0"/>
              <w:ind w:start="80" w:end="0"/>
              <w:rPr>
                <w:rFonts w:ascii="Arial" w:hAnsi="Arial" w:eastAsia="Arial" w:cs="Arial"/>
                <w:w w:val="86"/>
                <w:sz w:val="13"/>
              </w:rPr>
            </w:pPr>
            <w:r>
              <w:rPr>
                <w:rFonts w:eastAsia="Arial" w:cs="Arial" w:ascii="Arial" w:hAnsi="Arial"/>
                <w:w w:val="86"/>
                <w:sz w:val="13"/>
              </w:rPr>
              <w:t>%</w:t>
            </w:r>
          </w:p>
        </w:tc>
      </w:tr>
      <w:tr>
        <w:trPr>
          <w:trHeight w:val="162" w:hRule="atLeast"/>
        </w:trPr>
        <w:tc>
          <w:tcPr>
            <w:tcW w:w="220" w:type="dxa"/>
            <w:vMerge w:val="continue"/>
            <w:tcBorders/>
          </w:tcPr>
          <w:p>
            <w:pPr>
              <w:pStyle w:val="Normal"/>
              <w:snapToGrid w:val="false"/>
              <w:spacing w:lineRule="atLeast" w:line="0"/>
              <w:rPr>
                <w:rFonts w:ascii="Times New Roman" w:hAnsi="Times New Roman" w:eastAsia="Times New Roman" w:cs="Times New Roman"/>
                <w:w w:val="86"/>
                <w:sz w:val="14"/>
              </w:rPr>
            </w:pPr>
            <w:r>
              <w:rPr>
                <w:rFonts w:eastAsia="Times New Roman" w:cs="Times New Roman" w:ascii="Times New Roman" w:hAnsi="Times New Roman"/>
                <w:w w:val="86"/>
                <w:sz w:val="14"/>
              </w:rPr>
            </w:r>
          </w:p>
        </w:tc>
        <w:tc>
          <w:tcPr>
            <w:tcW w:w="10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69" w:hRule="atLeast"/>
        </w:trPr>
        <w:tc>
          <w:tcPr>
            <w:tcW w:w="220" w:type="dxa"/>
            <w:tcBorders/>
          </w:tcPr>
          <w:p>
            <w:pPr>
              <w:pStyle w:val="Normal"/>
              <w:spacing w:lineRule="atLeast" w:line="0"/>
              <w:ind w:end="37"/>
              <w:jc w:val="end"/>
              <w:rPr>
                <w:rFonts w:ascii="Arial" w:hAnsi="Arial" w:eastAsia="Arial" w:cs="Arial"/>
                <w:sz w:val="13"/>
              </w:rPr>
            </w:pPr>
            <w:r>
              <w:rPr>
                <w:rFonts w:eastAsia="Arial" w:cs="Arial" w:ascii="Arial" w:hAnsi="Arial"/>
                <w:sz w:val="13"/>
              </w:rPr>
              <w:t>8</w:t>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pacing w:lineRule="atLeast" w:line="0"/>
              <w:ind w:start="80" w:end="0"/>
              <w:rPr>
                <w:rFonts w:ascii="Arial" w:hAnsi="Arial" w:eastAsia="Arial" w:cs="Arial"/>
                <w:sz w:val="13"/>
              </w:rPr>
            </w:pPr>
            <w:r>
              <w:rPr>
                <w:rFonts w:eastAsia="Arial" w:cs="Arial" w:ascii="Arial" w:hAnsi="Arial"/>
                <w:sz w:val="13"/>
              </w:rPr>
              <w:t>8</w:t>
            </w:r>
          </w:p>
        </w:tc>
      </w:tr>
      <w:tr>
        <w:trPr>
          <w:trHeight w:val="525" w:hRule="atLeast"/>
        </w:trPr>
        <w:tc>
          <w:tcPr>
            <w:tcW w:w="220" w:type="dxa"/>
            <w:tcBorders/>
          </w:tcPr>
          <w:p>
            <w:pPr>
              <w:pStyle w:val="Normal"/>
              <w:spacing w:lineRule="atLeast" w:line="0"/>
              <w:ind w:end="37"/>
              <w:jc w:val="end"/>
              <w:rPr>
                <w:rFonts w:ascii="Arial" w:hAnsi="Arial" w:eastAsia="Arial" w:cs="Arial"/>
                <w:sz w:val="13"/>
              </w:rPr>
            </w:pPr>
            <w:r>
              <w:rPr>
                <w:rFonts w:eastAsia="Arial" w:cs="Arial" w:ascii="Arial" w:hAnsi="Arial"/>
                <w:sz w:val="13"/>
              </w:rPr>
              <w:t>6</w:t>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pacing w:lineRule="atLeast" w:line="0"/>
              <w:ind w:start="80" w:end="0"/>
              <w:rPr>
                <w:rFonts w:ascii="Arial" w:hAnsi="Arial" w:eastAsia="Arial" w:cs="Arial"/>
                <w:sz w:val="13"/>
              </w:rPr>
            </w:pPr>
            <w:r>
              <w:rPr>
                <w:rFonts w:eastAsia="Arial" w:cs="Arial" w:ascii="Arial" w:hAnsi="Arial"/>
                <w:sz w:val="13"/>
              </w:rPr>
              <w:t>6</w:t>
            </w:r>
          </w:p>
        </w:tc>
      </w:tr>
      <w:tr>
        <w:trPr>
          <w:trHeight w:val="525" w:hRule="atLeast"/>
        </w:trPr>
        <w:tc>
          <w:tcPr>
            <w:tcW w:w="220" w:type="dxa"/>
            <w:tcBorders/>
          </w:tcPr>
          <w:p>
            <w:pPr>
              <w:pStyle w:val="Normal"/>
              <w:spacing w:lineRule="atLeast" w:line="0"/>
              <w:ind w:end="37"/>
              <w:jc w:val="end"/>
              <w:rPr>
                <w:rFonts w:ascii="Arial" w:hAnsi="Arial" w:eastAsia="Arial" w:cs="Arial"/>
                <w:sz w:val="13"/>
              </w:rPr>
            </w:pPr>
            <w:r>
              <w:rPr>
                <w:rFonts w:eastAsia="Arial" w:cs="Arial" w:ascii="Arial" w:hAnsi="Arial"/>
                <w:sz w:val="13"/>
              </w:rPr>
              <w:t>4</w:t>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pacing w:lineRule="atLeast" w:line="0"/>
              <w:ind w:start="80" w:end="0"/>
              <w:rPr>
                <w:rFonts w:ascii="Arial" w:hAnsi="Arial" w:eastAsia="Arial" w:cs="Arial"/>
                <w:sz w:val="13"/>
              </w:rPr>
            </w:pPr>
            <w:r>
              <w:rPr>
                <w:rFonts w:eastAsia="Arial" w:cs="Arial" w:ascii="Arial" w:hAnsi="Arial"/>
                <w:sz w:val="13"/>
              </w:rPr>
              <w:t>4</w:t>
            </w:r>
          </w:p>
        </w:tc>
      </w:tr>
      <w:tr>
        <w:trPr>
          <w:trHeight w:val="525" w:hRule="atLeast"/>
        </w:trPr>
        <w:tc>
          <w:tcPr>
            <w:tcW w:w="220" w:type="dxa"/>
            <w:tcBorders/>
          </w:tcPr>
          <w:p>
            <w:pPr>
              <w:pStyle w:val="Normal"/>
              <w:spacing w:lineRule="atLeast" w:line="0"/>
              <w:ind w:end="37"/>
              <w:jc w:val="end"/>
              <w:rPr>
                <w:rFonts w:ascii="Arial" w:hAnsi="Arial" w:eastAsia="Arial" w:cs="Arial"/>
                <w:sz w:val="13"/>
              </w:rPr>
            </w:pPr>
            <w:r>
              <w:rPr>
                <w:rFonts w:eastAsia="Arial" w:cs="Arial" w:ascii="Arial" w:hAnsi="Arial"/>
                <w:sz w:val="13"/>
              </w:rPr>
              <w:t>2</w:t>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pacing w:lineRule="atLeast" w:line="0"/>
              <w:ind w:start="80" w:end="0"/>
              <w:rPr>
                <w:rFonts w:ascii="Arial" w:hAnsi="Arial" w:eastAsia="Arial" w:cs="Arial"/>
                <w:sz w:val="13"/>
              </w:rPr>
            </w:pPr>
            <w:r>
              <w:rPr>
                <w:rFonts w:eastAsia="Arial" w:cs="Arial" w:ascii="Arial" w:hAnsi="Arial"/>
                <w:sz w:val="13"/>
              </w:rPr>
              <w:t>2</w:t>
            </w:r>
          </w:p>
        </w:tc>
      </w:tr>
      <w:tr>
        <w:trPr>
          <w:trHeight w:val="525" w:hRule="atLeast"/>
        </w:trPr>
        <w:tc>
          <w:tcPr>
            <w:tcW w:w="220" w:type="dxa"/>
            <w:tcBorders/>
          </w:tcPr>
          <w:p>
            <w:pPr>
              <w:pStyle w:val="Normal"/>
              <w:spacing w:lineRule="atLeast" w:line="0"/>
              <w:ind w:end="37"/>
              <w:jc w:val="end"/>
              <w:rPr>
                <w:rFonts w:ascii="Arial" w:hAnsi="Arial" w:eastAsia="Arial" w:cs="Arial"/>
                <w:sz w:val="13"/>
              </w:rPr>
            </w:pPr>
            <w:r>
              <w:rPr>
                <w:rFonts w:eastAsia="Arial" w:cs="Arial" w:ascii="Arial" w:hAnsi="Arial"/>
                <w:sz w:val="13"/>
              </w:rPr>
              <w:t>0</w:t>
            </w:r>
          </w:p>
        </w:tc>
        <w:tc>
          <w:tcPr>
            <w:tcW w:w="1060" w:type="dxa"/>
            <w:vMerge w:val="restart"/>
            <w:tcBorders/>
          </w:tcPr>
          <w:p>
            <w:pPr>
              <w:pStyle w:val="Normal"/>
              <w:spacing w:lineRule="atLeast" w:line="0"/>
              <w:jc w:val="center"/>
              <w:rPr>
                <w:rFonts w:ascii="Arial" w:hAnsi="Arial" w:eastAsia="Arial" w:cs="Arial"/>
                <w:sz w:val="13"/>
              </w:rPr>
            </w:pPr>
            <w:r>
              <w:rPr>
                <w:rFonts w:eastAsia="Arial" w:cs="Arial" w:ascii="Arial" w:hAnsi="Arial"/>
                <w:sz w:val="13"/>
              </w:rPr>
              <w:t>Renter to</w:t>
            </w:r>
          </w:p>
        </w:tc>
        <w:tc>
          <w:tcPr>
            <w:tcW w:w="1300" w:type="dxa"/>
            <w:gridSpan w:val="2"/>
            <w:vMerge w:val="restart"/>
            <w:tcBorders/>
          </w:tcPr>
          <w:p>
            <w:pPr>
              <w:pStyle w:val="Normal"/>
              <w:spacing w:lineRule="atLeast" w:line="0"/>
              <w:jc w:val="center"/>
              <w:rPr>
                <w:rFonts w:ascii="Arial" w:hAnsi="Arial" w:eastAsia="Arial" w:cs="Arial"/>
                <w:sz w:val="13"/>
              </w:rPr>
            </w:pPr>
            <w:r>
              <w:rPr>
                <w:rFonts w:eastAsia="Arial" w:cs="Arial" w:ascii="Arial" w:hAnsi="Arial"/>
                <w:sz w:val="13"/>
              </w:rPr>
              <w:t>Owner-occupier</w:t>
            </w:r>
          </w:p>
        </w:tc>
        <w:tc>
          <w:tcPr>
            <w:tcW w:w="1060" w:type="dxa"/>
            <w:vMerge w:val="restart"/>
            <w:tcBorders/>
          </w:tcPr>
          <w:p>
            <w:pPr>
              <w:pStyle w:val="Normal"/>
              <w:spacing w:lineRule="atLeast" w:line="0"/>
              <w:ind w:end="14"/>
              <w:jc w:val="end"/>
              <w:rPr>
                <w:rFonts w:ascii="Arial" w:hAnsi="Arial" w:eastAsia="Arial" w:cs="Arial"/>
                <w:sz w:val="13"/>
              </w:rPr>
            </w:pPr>
            <w:r>
              <w:rPr>
                <w:rFonts w:eastAsia="Arial" w:cs="Arial" w:ascii="Arial" w:hAnsi="Arial"/>
                <w:sz w:val="13"/>
              </w:rPr>
              <w:t>Owner-occupier</w:t>
            </w:r>
          </w:p>
        </w:tc>
        <w:tc>
          <w:tcPr>
            <w:tcW w:w="200" w:type="dxa"/>
            <w:tcBorders/>
          </w:tcPr>
          <w:p>
            <w:pPr>
              <w:pStyle w:val="Normal"/>
              <w:spacing w:lineRule="atLeast" w:line="0"/>
              <w:ind w:start="80" w:end="0"/>
              <w:rPr>
                <w:rFonts w:ascii="Arial" w:hAnsi="Arial" w:eastAsia="Arial" w:cs="Arial"/>
                <w:sz w:val="13"/>
              </w:rPr>
            </w:pPr>
            <w:r>
              <w:rPr>
                <w:rFonts w:eastAsia="Arial" w:cs="Arial" w:ascii="Arial" w:hAnsi="Arial"/>
                <w:sz w:val="13"/>
              </w:rPr>
              <w:t>0</w:t>
            </w:r>
          </w:p>
        </w:tc>
      </w:tr>
      <w:tr>
        <w:trPr>
          <w:trHeight w:val="86" w:hRule="atLeast"/>
        </w:trPr>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0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75" w:hRule="atLeast"/>
        </w:trPr>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tcPr>
          <w:p>
            <w:pPr>
              <w:pStyle w:val="Normal"/>
              <w:spacing w:lineRule="atLeast" w:line="0"/>
              <w:jc w:val="center"/>
              <w:rPr>
                <w:rFonts w:ascii="Arial" w:hAnsi="Arial" w:eastAsia="Arial" w:cs="Arial"/>
                <w:sz w:val="13"/>
              </w:rPr>
            </w:pPr>
            <w:r>
              <w:rPr>
                <w:rFonts w:eastAsia="Arial" w:cs="Arial" w:ascii="Arial" w:hAnsi="Arial"/>
                <w:sz w:val="13"/>
              </w:rPr>
              <w:t>owner-occupier</w:t>
            </w:r>
          </w:p>
        </w:tc>
        <w:tc>
          <w:tcPr>
            <w:tcW w:w="1300" w:type="dxa"/>
            <w:gridSpan w:val="2"/>
            <w:tcBorders/>
          </w:tcPr>
          <w:p>
            <w:pPr>
              <w:pStyle w:val="Normal"/>
              <w:spacing w:lineRule="atLeast" w:line="0"/>
              <w:jc w:val="center"/>
              <w:rPr>
                <w:rFonts w:ascii="Arial" w:hAnsi="Arial" w:eastAsia="Arial" w:cs="Arial"/>
                <w:sz w:val="13"/>
              </w:rPr>
            </w:pPr>
            <w:r>
              <w:rPr>
                <w:rFonts w:eastAsia="Arial" w:cs="Arial" w:ascii="Arial" w:hAnsi="Arial"/>
                <w:sz w:val="13"/>
              </w:rPr>
              <w:t>to owner-occupier</w:t>
            </w:r>
          </w:p>
        </w:tc>
        <w:tc>
          <w:tcPr>
            <w:tcW w:w="1060" w:type="dxa"/>
            <w:tcBorders/>
          </w:tcPr>
          <w:p>
            <w:pPr>
              <w:pStyle w:val="Normal"/>
              <w:spacing w:lineRule="atLeast" w:line="0"/>
              <w:ind w:end="234"/>
              <w:jc w:val="end"/>
              <w:rPr>
                <w:rFonts w:ascii="Arial" w:hAnsi="Arial" w:eastAsia="Arial" w:cs="Arial"/>
                <w:sz w:val="13"/>
              </w:rPr>
            </w:pPr>
            <w:r>
              <w:rPr>
                <w:rFonts w:eastAsia="Arial" w:cs="Arial" w:ascii="Arial" w:hAnsi="Arial"/>
                <w:sz w:val="13"/>
              </w:rPr>
              <w:t>to renter</w:t>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61" w:hRule="atLeast"/>
        </w:trPr>
        <w:tc>
          <w:tcPr>
            <w:tcW w:w="220" w:type="dxa"/>
            <w:vMerge w:val="restart"/>
            <w:tcBorders/>
          </w:tcPr>
          <w:p>
            <w:pPr>
              <w:pStyle w:val="Normal"/>
              <w:spacing w:lineRule="atLeast" w:line="0"/>
              <w:ind w:start="120" w:end="0"/>
              <w:rPr>
                <w:rFonts w:ascii="Arial" w:hAnsi="Arial" w:eastAsia="Arial" w:cs="Arial"/>
                <w:sz w:val="11"/>
              </w:rPr>
            </w:pPr>
            <w:r>
              <w:rPr>
                <w:rFonts w:eastAsia="Arial" w:cs="Arial" w:ascii="Arial" w:hAnsi="Arial"/>
                <w:sz w:val="11"/>
              </w:rPr>
              <w:t>*</w:t>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pacing w:lineRule="atLeast" w:line="0"/>
              <w:ind w:start="160" w:end="0"/>
              <w:rPr/>
            </w:pPr>
            <w:r>
              <w:rPr>
                <w:rFonts w:eastAsia="Arial" w:cs="Arial" w:ascii="Arial" w:hAnsi="Arial"/>
                <w:sz w:val="12"/>
              </w:rPr>
              <w:t>2003–08</w:t>
            </w:r>
          </w:p>
        </w:tc>
        <w:tc>
          <w:tcPr>
            <w:tcW w:w="600" w:type="dxa"/>
            <w:tcBorders/>
          </w:tcPr>
          <w:p>
            <w:pPr>
              <w:pStyle w:val="Normal"/>
              <w:spacing w:lineRule="atLeast" w:line="0"/>
              <w:ind w:start="80" w:end="0"/>
              <w:rPr/>
            </w:pPr>
            <w:r>
              <w:rPr>
                <w:rFonts w:eastAsia="Arial" w:cs="Arial" w:ascii="Arial" w:hAnsi="Arial"/>
                <w:sz w:val="12"/>
              </w:rPr>
              <w:t>2009–15</w:t>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3" w:hRule="atLeast"/>
        </w:trPr>
        <w:tc>
          <w:tcPr>
            <w:tcW w:w="2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20" w:type="dxa"/>
            <w:gridSpan w:val="4"/>
            <w:tcBorders/>
          </w:tcPr>
          <w:p>
            <w:pPr>
              <w:pStyle w:val="Normal"/>
              <w:spacing w:lineRule="atLeast" w:line="0"/>
              <w:ind w:end="234"/>
              <w:jc w:val="end"/>
              <w:rPr>
                <w:rFonts w:ascii="Arial" w:hAnsi="Arial" w:eastAsia="Arial" w:cs="Arial"/>
                <w:w w:val="99"/>
                <w:sz w:val="11"/>
              </w:rPr>
            </w:pPr>
            <w:r>
              <w:rPr>
                <w:rFonts w:eastAsia="Arial" w:cs="Arial" w:ascii="Arial" w:hAnsi="Arial"/>
                <w:w w:val="99"/>
                <w:sz w:val="11"/>
              </w:rPr>
              <w:t>Excludes households that did not appear in consecutive surveys</w:t>
            </w:r>
          </w:p>
        </w:tc>
        <w:tc>
          <w:tcPr>
            <w:tcW w:w="20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r>
      <w:tr>
        <w:trPr>
          <w:trHeight w:val="140" w:hRule="atLeast"/>
        </w:trPr>
        <w:tc>
          <w:tcPr>
            <w:tcW w:w="1980" w:type="dxa"/>
            <w:gridSpan w:val="3"/>
            <w:tcBorders/>
          </w:tcPr>
          <w:p>
            <w:pPr>
              <w:pStyle w:val="Normal"/>
              <w:spacing w:lineRule="atLeast" w:line="0"/>
              <w:ind w:start="120" w:end="0"/>
              <w:rPr>
                <w:rFonts w:ascii="Arial" w:hAnsi="Arial" w:eastAsia="Arial" w:cs="Arial"/>
                <w:sz w:val="11"/>
              </w:rPr>
            </w:pPr>
            <w:r>
              <w:rPr>
                <w:rFonts w:eastAsia="Arial" w:cs="Arial" w:ascii="Arial" w:hAnsi="Arial"/>
                <w:sz w:val="11"/>
              </w:rPr>
              <w:t>Sources: HILDA Release 15.0; RBA</w:t>
            </w:r>
          </w:p>
        </w:tc>
        <w:tc>
          <w:tcPr>
            <w:tcW w:w="6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9">
                <wp:simplePos x="0" y="0"/>
                <wp:positionH relativeFrom="column">
                  <wp:posOffset>85090</wp:posOffset>
                </wp:positionH>
                <wp:positionV relativeFrom="paragraph">
                  <wp:posOffset>-2306320</wp:posOffset>
                </wp:positionV>
                <wp:extent cx="2263140" cy="0"/>
                <wp:effectExtent l="0" t="1905" r="0" b="1905"/>
                <wp:wrapNone/>
                <wp:docPr id="7" name=""/>
                <a:graphic xmlns:a="http://schemas.openxmlformats.org/drawingml/2006/main">
                  <a:graphicData uri="http://schemas.microsoft.com/office/word/2010/wordprocessingShape">
                    <wps:wsp>
                      <wps:cNvSpPr/>
                      <wps:spPr>
                        <a:xfrm>
                          <a:off x="0" y="0"/>
                          <a:ext cx="2263320" cy="0"/>
                        </a:xfrm>
                        <a:prstGeom prst="line">
                          <a:avLst/>
                        </a:prstGeom>
                        <a:ln w="3960">
                          <a:solidFill>
                            <a:srgbClr val="9d9994"/>
                          </a:solidFill>
                          <a:miter/>
                        </a:ln>
                      </wps:spPr>
                      <wps:style>
                        <a:lnRef idx="0"/>
                        <a:fillRef idx="0"/>
                        <a:effectRef idx="0"/>
                        <a:fontRef idx="minor"/>
                      </wps:style>
                      <wps:bodyPr/>
                    </wps:wsp>
                  </a:graphicData>
                </a:graphic>
              </wp:anchor>
            </w:drawing>
          </mc:Choice>
          <mc:Fallback>
            <w:pict>
              <v:line id="shape_0" from="6.7pt,-181.6pt" to="184.85pt,-181.6pt" stroked="t" o:allowincell="f" style="position:absolute">
                <v:stroke color="#9d9994"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763905</wp:posOffset>
                </wp:positionH>
                <wp:positionV relativeFrom="paragraph">
                  <wp:posOffset>-972820</wp:posOffset>
                </wp:positionV>
                <wp:extent cx="150495" cy="0"/>
                <wp:effectExtent l="0" t="1905" r="0" b="1905"/>
                <wp:wrapNone/>
                <wp:docPr id="8" name=""/>
                <a:graphic xmlns:a="http://schemas.openxmlformats.org/drawingml/2006/main">
                  <a:graphicData uri="http://schemas.microsoft.com/office/word/2010/wordprocessingShape">
                    <wps:wsp>
                      <wps:cNvSpPr/>
                      <wps:spPr>
                        <a:xfrm>
                          <a:off x="0" y="0"/>
                          <a:ext cx="150480" cy="0"/>
                        </a:xfrm>
                        <a:prstGeom prst="line">
                          <a:avLst/>
                        </a:prstGeom>
                        <a:ln w="3960">
                          <a:solidFill>
                            <a:srgbClr val="9d9994"/>
                          </a:solidFill>
                          <a:miter/>
                        </a:ln>
                      </wps:spPr>
                      <wps:style>
                        <a:lnRef idx="0"/>
                        <a:fillRef idx="0"/>
                        <a:effectRef idx="0"/>
                        <a:fontRef idx="minor"/>
                      </wps:style>
                      <wps:bodyPr/>
                    </wps:wsp>
                  </a:graphicData>
                </a:graphic>
              </wp:anchor>
            </w:drawing>
          </mc:Choice>
          <mc:Fallback>
            <w:pict>
              <v:line id="shape_0" from="60.15pt,-76.6pt" to="71.95pt,-76.6pt" stroked="t" o:allowincell="f" style="position:absolute">
                <v:stroke color="#9d9994"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1518285</wp:posOffset>
                </wp:positionH>
                <wp:positionV relativeFrom="paragraph">
                  <wp:posOffset>-972820</wp:posOffset>
                </wp:positionV>
                <wp:extent cx="150495" cy="0"/>
                <wp:effectExtent l="0" t="1905" r="0" b="1905"/>
                <wp:wrapNone/>
                <wp:docPr id="9" name=""/>
                <a:graphic xmlns:a="http://schemas.openxmlformats.org/drawingml/2006/main">
                  <a:graphicData uri="http://schemas.microsoft.com/office/word/2010/wordprocessingShape">
                    <wps:wsp>
                      <wps:cNvSpPr/>
                      <wps:spPr>
                        <a:xfrm>
                          <a:off x="0" y="0"/>
                          <a:ext cx="150480" cy="0"/>
                        </a:xfrm>
                        <a:prstGeom prst="line">
                          <a:avLst/>
                        </a:prstGeom>
                        <a:ln w="3960">
                          <a:solidFill>
                            <a:srgbClr val="9d9994"/>
                          </a:solidFill>
                          <a:miter/>
                        </a:ln>
                      </wps:spPr>
                      <wps:style>
                        <a:lnRef idx="0"/>
                        <a:fillRef idx="0"/>
                        <a:effectRef idx="0"/>
                        <a:fontRef idx="minor"/>
                      </wps:style>
                      <wps:bodyPr/>
                    </wps:wsp>
                  </a:graphicData>
                </a:graphic>
              </wp:anchor>
            </w:drawing>
          </mc:Choice>
          <mc:Fallback>
            <w:pict>
              <v:line id="shape_0" from="119.55pt,-76.6pt" to="131.35pt,-76.6pt" stroked="t" o:allowincell="f" style="position:absolute">
                <v:stroke color="#9d9994"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2272665</wp:posOffset>
                </wp:positionH>
                <wp:positionV relativeFrom="paragraph">
                  <wp:posOffset>-972820</wp:posOffset>
                </wp:positionV>
                <wp:extent cx="75565" cy="0"/>
                <wp:effectExtent l="0" t="1905" r="0" b="1905"/>
                <wp:wrapNone/>
                <wp:docPr id="10" name=""/>
                <a:graphic xmlns:a="http://schemas.openxmlformats.org/drawingml/2006/main">
                  <a:graphicData uri="http://schemas.microsoft.com/office/word/2010/wordprocessingShape">
                    <wps:wsp>
                      <wps:cNvSpPr/>
                      <wps:spPr>
                        <a:xfrm>
                          <a:off x="0" y="0"/>
                          <a:ext cx="75600" cy="0"/>
                        </a:xfrm>
                        <a:prstGeom prst="line">
                          <a:avLst/>
                        </a:prstGeom>
                        <a:ln w="3960">
                          <a:solidFill>
                            <a:srgbClr val="9d9994"/>
                          </a:solidFill>
                          <a:miter/>
                        </a:ln>
                      </wps:spPr>
                      <wps:style>
                        <a:lnRef idx="0"/>
                        <a:fillRef idx="0"/>
                        <a:effectRef idx="0"/>
                        <a:fontRef idx="minor"/>
                      </wps:style>
                      <wps:bodyPr/>
                    </wps:wsp>
                  </a:graphicData>
                </a:graphic>
              </wp:anchor>
            </w:drawing>
          </mc:Choice>
          <mc:Fallback>
            <w:pict>
              <v:line id="shape_0" from="178.95pt,-76.6pt" to="184.85pt,-76.6pt" stroked="t" o:allowincell="f" style="position:absolute">
                <v:stroke color="#9d9994"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763905</wp:posOffset>
                </wp:positionH>
                <wp:positionV relativeFrom="paragraph">
                  <wp:posOffset>-1306195</wp:posOffset>
                </wp:positionV>
                <wp:extent cx="150495" cy="0"/>
                <wp:effectExtent l="0" t="1905" r="0" b="1905"/>
                <wp:wrapNone/>
                <wp:docPr id="11" name=""/>
                <a:graphic xmlns:a="http://schemas.openxmlformats.org/drawingml/2006/main">
                  <a:graphicData uri="http://schemas.microsoft.com/office/word/2010/wordprocessingShape">
                    <wps:wsp>
                      <wps:cNvSpPr/>
                      <wps:spPr>
                        <a:xfrm>
                          <a:off x="0" y="0"/>
                          <a:ext cx="150480" cy="0"/>
                        </a:xfrm>
                        <a:prstGeom prst="line">
                          <a:avLst/>
                        </a:prstGeom>
                        <a:ln w="3960">
                          <a:solidFill>
                            <a:srgbClr val="9d9994"/>
                          </a:solidFill>
                          <a:miter/>
                        </a:ln>
                      </wps:spPr>
                      <wps:style>
                        <a:lnRef idx="0"/>
                        <a:fillRef idx="0"/>
                        <a:effectRef idx="0"/>
                        <a:fontRef idx="minor"/>
                      </wps:style>
                      <wps:bodyPr/>
                    </wps:wsp>
                  </a:graphicData>
                </a:graphic>
              </wp:anchor>
            </w:drawing>
          </mc:Choice>
          <mc:Fallback>
            <w:pict>
              <v:line id="shape_0" from="60.15pt,-102.85pt" to="71.95pt,-102.85pt" stroked="t" o:allowincell="f" style="position:absolute">
                <v:stroke color="#9d9994"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1216660</wp:posOffset>
                </wp:positionH>
                <wp:positionV relativeFrom="paragraph">
                  <wp:posOffset>-1306195</wp:posOffset>
                </wp:positionV>
                <wp:extent cx="1131570" cy="0"/>
                <wp:effectExtent l="0" t="1905" r="0" b="1905"/>
                <wp:wrapNone/>
                <wp:docPr id="12" name=""/>
                <a:graphic xmlns:a="http://schemas.openxmlformats.org/drawingml/2006/main">
                  <a:graphicData uri="http://schemas.microsoft.com/office/word/2010/wordprocessingShape">
                    <wps:wsp>
                      <wps:cNvSpPr/>
                      <wps:spPr>
                        <a:xfrm>
                          <a:off x="0" y="0"/>
                          <a:ext cx="1131480" cy="0"/>
                        </a:xfrm>
                        <a:prstGeom prst="line">
                          <a:avLst/>
                        </a:prstGeom>
                        <a:ln w="3960">
                          <a:solidFill>
                            <a:srgbClr val="9d9994"/>
                          </a:solidFill>
                          <a:miter/>
                        </a:ln>
                      </wps:spPr>
                      <wps:style>
                        <a:lnRef idx="0"/>
                        <a:fillRef idx="0"/>
                        <a:effectRef idx="0"/>
                        <a:fontRef idx="minor"/>
                      </wps:style>
                      <wps:bodyPr/>
                    </wps:wsp>
                  </a:graphicData>
                </a:graphic>
              </wp:anchor>
            </w:drawing>
          </mc:Choice>
          <mc:Fallback>
            <w:pict>
              <v:line id="shape_0" from="95.8pt,-102.85pt" to="184.85pt,-102.85pt" stroked="t" o:allowincell="f" style="position:absolute">
                <v:stroke color="#9d9994"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763905</wp:posOffset>
                </wp:positionH>
                <wp:positionV relativeFrom="paragraph">
                  <wp:posOffset>-1639570</wp:posOffset>
                </wp:positionV>
                <wp:extent cx="1584325" cy="0"/>
                <wp:effectExtent l="0" t="1905" r="0" b="1905"/>
                <wp:wrapNone/>
                <wp:docPr id="13" name=""/>
                <a:graphic xmlns:a="http://schemas.openxmlformats.org/drawingml/2006/main">
                  <a:graphicData uri="http://schemas.microsoft.com/office/word/2010/wordprocessingShape">
                    <wps:wsp>
                      <wps:cNvSpPr/>
                      <wps:spPr>
                        <a:xfrm>
                          <a:off x="0" y="0"/>
                          <a:ext cx="1584360" cy="0"/>
                        </a:xfrm>
                        <a:prstGeom prst="line">
                          <a:avLst/>
                        </a:prstGeom>
                        <a:ln w="3960">
                          <a:solidFill>
                            <a:srgbClr val="9d9994"/>
                          </a:solidFill>
                          <a:miter/>
                        </a:ln>
                      </wps:spPr>
                      <wps:style>
                        <a:lnRef idx="0"/>
                        <a:fillRef idx="0"/>
                        <a:effectRef idx="0"/>
                        <a:fontRef idx="minor"/>
                      </wps:style>
                      <wps:bodyPr/>
                    </wps:wsp>
                  </a:graphicData>
                </a:graphic>
              </wp:anchor>
            </w:drawing>
          </mc:Choice>
          <mc:Fallback>
            <w:pict>
              <v:line id="shape_0" from="60.15pt,-129.1pt" to="184.85pt,-129.1pt" stroked="t" o:allowincell="f" style="position:absolute">
                <v:stroke color="#9d9994"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763905</wp:posOffset>
                </wp:positionH>
                <wp:positionV relativeFrom="paragraph">
                  <wp:posOffset>-1972945</wp:posOffset>
                </wp:positionV>
                <wp:extent cx="1584325" cy="0"/>
                <wp:effectExtent l="0" t="1905" r="0" b="1905"/>
                <wp:wrapNone/>
                <wp:docPr id="14" name=""/>
                <a:graphic xmlns:a="http://schemas.openxmlformats.org/drawingml/2006/main">
                  <a:graphicData uri="http://schemas.microsoft.com/office/word/2010/wordprocessingShape">
                    <wps:wsp>
                      <wps:cNvSpPr/>
                      <wps:spPr>
                        <a:xfrm>
                          <a:off x="0" y="0"/>
                          <a:ext cx="1584360" cy="0"/>
                        </a:xfrm>
                        <a:prstGeom prst="line">
                          <a:avLst/>
                        </a:prstGeom>
                        <a:ln w="3960">
                          <a:solidFill>
                            <a:srgbClr val="9d9994"/>
                          </a:solidFill>
                          <a:miter/>
                        </a:ln>
                      </wps:spPr>
                      <wps:style>
                        <a:lnRef idx="0"/>
                        <a:fillRef idx="0"/>
                        <a:effectRef idx="0"/>
                        <a:fontRef idx="minor"/>
                      </wps:style>
                      <wps:bodyPr/>
                    </wps:wsp>
                  </a:graphicData>
                </a:graphic>
              </wp:anchor>
            </w:drawing>
          </mc:Choice>
          <mc:Fallback>
            <w:pict>
              <v:line id="shape_0" from="60.15pt,-155.35pt" to="184.85pt,-155.35pt" stroked="t" o:allowincell="f" style="position:absolute">
                <v:stroke color="#9d9994"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85090</wp:posOffset>
                </wp:positionH>
                <wp:positionV relativeFrom="paragraph">
                  <wp:posOffset>-972820</wp:posOffset>
                </wp:positionV>
                <wp:extent cx="74930" cy="0"/>
                <wp:effectExtent l="0" t="1905" r="0" b="1905"/>
                <wp:wrapNone/>
                <wp:docPr id="15" name=""/>
                <a:graphic xmlns:a="http://schemas.openxmlformats.org/drawingml/2006/main">
                  <a:graphicData uri="http://schemas.microsoft.com/office/word/2010/wordprocessingShape">
                    <wps:wsp>
                      <wps:cNvSpPr/>
                      <wps:spPr>
                        <a:xfrm>
                          <a:off x="0" y="0"/>
                          <a:ext cx="74880" cy="0"/>
                        </a:xfrm>
                        <a:prstGeom prst="line">
                          <a:avLst/>
                        </a:prstGeom>
                        <a:ln w="3960">
                          <a:solidFill>
                            <a:srgbClr val="9d9994"/>
                          </a:solidFill>
                          <a:miter/>
                        </a:ln>
                      </wps:spPr>
                      <wps:style>
                        <a:lnRef idx="0"/>
                        <a:fillRef idx="0"/>
                        <a:effectRef idx="0"/>
                        <a:fontRef idx="minor"/>
                      </wps:style>
                      <wps:bodyPr/>
                    </wps:wsp>
                  </a:graphicData>
                </a:graphic>
              </wp:anchor>
            </w:drawing>
          </mc:Choice>
          <mc:Fallback>
            <w:pict>
              <v:line id="shape_0" from="6.7pt,-76.6pt" to="12.55pt,-76.6pt" stroked="t" o:allowincell="f" style="position:absolute">
                <v:stroke color="#9d9994"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85090</wp:posOffset>
                </wp:positionH>
                <wp:positionV relativeFrom="paragraph">
                  <wp:posOffset>-1306195</wp:posOffset>
                </wp:positionV>
                <wp:extent cx="74930" cy="0"/>
                <wp:effectExtent l="0" t="1905" r="0" b="1905"/>
                <wp:wrapNone/>
                <wp:docPr id="16" name=""/>
                <a:graphic xmlns:a="http://schemas.openxmlformats.org/drawingml/2006/main">
                  <a:graphicData uri="http://schemas.microsoft.com/office/word/2010/wordprocessingShape">
                    <wps:wsp>
                      <wps:cNvSpPr/>
                      <wps:spPr>
                        <a:xfrm>
                          <a:off x="0" y="0"/>
                          <a:ext cx="74880" cy="0"/>
                        </a:xfrm>
                        <a:prstGeom prst="line">
                          <a:avLst/>
                        </a:prstGeom>
                        <a:ln w="3960">
                          <a:solidFill>
                            <a:srgbClr val="9d9994"/>
                          </a:solidFill>
                          <a:miter/>
                        </a:ln>
                      </wps:spPr>
                      <wps:style>
                        <a:lnRef idx="0"/>
                        <a:fillRef idx="0"/>
                        <a:effectRef idx="0"/>
                        <a:fontRef idx="minor"/>
                      </wps:style>
                      <wps:bodyPr/>
                    </wps:wsp>
                  </a:graphicData>
                </a:graphic>
              </wp:anchor>
            </w:drawing>
          </mc:Choice>
          <mc:Fallback>
            <w:pict>
              <v:line id="shape_0" from="6.7pt,-102.85pt" to="12.55pt,-102.85pt" stroked="t" o:allowincell="f" style="position:absolute">
                <v:stroke color="#9d9994"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85090</wp:posOffset>
                </wp:positionH>
                <wp:positionV relativeFrom="paragraph">
                  <wp:posOffset>-1639570</wp:posOffset>
                </wp:positionV>
                <wp:extent cx="74930" cy="0"/>
                <wp:effectExtent l="0" t="1905" r="0" b="1905"/>
                <wp:wrapNone/>
                <wp:docPr id="17" name=""/>
                <a:graphic xmlns:a="http://schemas.openxmlformats.org/drawingml/2006/main">
                  <a:graphicData uri="http://schemas.microsoft.com/office/word/2010/wordprocessingShape">
                    <wps:wsp>
                      <wps:cNvSpPr/>
                      <wps:spPr>
                        <a:xfrm>
                          <a:off x="0" y="0"/>
                          <a:ext cx="74880" cy="0"/>
                        </a:xfrm>
                        <a:prstGeom prst="line">
                          <a:avLst/>
                        </a:prstGeom>
                        <a:ln w="3960">
                          <a:solidFill>
                            <a:srgbClr val="9d9994"/>
                          </a:solidFill>
                          <a:miter/>
                        </a:ln>
                      </wps:spPr>
                      <wps:style>
                        <a:lnRef idx="0"/>
                        <a:fillRef idx="0"/>
                        <a:effectRef idx="0"/>
                        <a:fontRef idx="minor"/>
                      </wps:style>
                      <wps:bodyPr/>
                    </wps:wsp>
                  </a:graphicData>
                </a:graphic>
              </wp:anchor>
            </w:drawing>
          </mc:Choice>
          <mc:Fallback>
            <w:pict>
              <v:line id="shape_0" from="6.7pt,-129.1pt" to="12.55pt,-129.1pt" stroked="t" o:allowincell="f" style="position:absolute">
                <v:stroke color="#9d9994"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85090</wp:posOffset>
                </wp:positionH>
                <wp:positionV relativeFrom="paragraph">
                  <wp:posOffset>-1972945</wp:posOffset>
                </wp:positionV>
                <wp:extent cx="74930" cy="0"/>
                <wp:effectExtent l="0" t="1905" r="0" b="1905"/>
                <wp:wrapNone/>
                <wp:docPr id="18" name=""/>
                <a:graphic xmlns:a="http://schemas.openxmlformats.org/drawingml/2006/main">
                  <a:graphicData uri="http://schemas.microsoft.com/office/word/2010/wordprocessingShape">
                    <wps:wsp>
                      <wps:cNvSpPr/>
                      <wps:spPr>
                        <a:xfrm>
                          <a:off x="0" y="0"/>
                          <a:ext cx="74880" cy="0"/>
                        </a:xfrm>
                        <a:prstGeom prst="line">
                          <a:avLst/>
                        </a:prstGeom>
                        <a:ln w="3960">
                          <a:solidFill>
                            <a:srgbClr val="9d9994"/>
                          </a:solidFill>
                          <a:miter/>
                        </a:ln>
                      </wps:spPr>
                      <wps:style>
                        <a:lnRef idx="0"/>
                        <a:fillRef idx="0"/>
                        <a:effectRef idx="0"/>
                        <a:fontRef idx="minor"/>
                      </wps:style>
                      <wps:bodyPr/>
                    </wps:wsp>
                  </a:graphicData>
                </a:graphic>
              </wp:anchor>
            </w:drawing>
          </mc:Choice>
          <mc:Fallback>
            <w:pict>
              <v:line id="shape_0" from="6.7pt,-155.35pt" to="12.55pt,-155.35pt" stroked="t" o:allowincell="f" style="position:absolute">
                <v:stroke color="#9d9994"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160655</wp:posOffset>
                </wp:positionH>
                <wp:positionV relativeFrom="paragraph">
                  <wp:posOffset>-2155190</wp:posOffset>
                </wp:positionV>
                <wp:extent cx="301625" cy="1516380"/>
                <wp:effectExtent l="5715" t="5080" r="4445" b="5080"/>
                <wp:wrapNone/>
                <wp:docPr id="19" name=""/>
                <a:graphic xmlns:a="http://schemas.openxmlformats.org/drawingml/2006/main">
                  <a:graphicData uri="http://schemas.microsoft.com/office/word/2010/wordprocessingShape">
                    <wps:wsp>
                      <wps:cNvSpPr/>
                      <wps:spPr>
                        <a:xfrm>
                          <a:off x="0" y="0"/>
                          <a:ext cx="301680" cy="1516320"/>
                        </a:xfrm>
                        <a:prstGeom prst="rect">
                          <a:avLst/>
                        </a:prstGeom>
                        <a:solidFill>
                          <a:srgbClr val="41af90"/>
                        </a:solidFill>
                        <a:ln w="9360">
                          <a:solidFill>
                            <a:srgbClr val="ffffff"/>
                          </a:solidFill>
                          <a:miter/>
                        </a:ln>
                      </wps:spPr>
                      <wps:style>
                        <a:lnRef idx="0"/>
                        <a:fillRef idx="0"/>
                        <a:effectRef idx="0"/>
                        <a:fontRef idx="minor"/>
                      </wps:style>
                      <wps:bodyPr/>
                    </wps:wsp>
                  </a:graphicData>
                </a:graphic>
              </wp:anchor>
            </w:drawing>
          </mc:Choice>
          <mc:Fallback>
            <w:pict>
              <v:rect id="shape_0" fillcolor="#41af90" stroked="t" o:allowincell="f" style="position:absolute;margin-left:12.65pt;margin-top:-169.7pt;width:23.7pt;height:119.35pt;mso-wrap-style:none;v-text-anchor:middle">
                <v:fill o:detectmouseclick="t" type="solid" color2="#be506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
                <wp:simplePos x="0" y="0"/>
                <wp:positionH relativeFrom="column">
                  <wp:posOffset>160020</wp:posOffset>
                </wp:positionH>
                <wp:positionV relativeFrom="paragraph">
                  <wp:posOffset>-2155190</wp:posOffset>
                </wp:positionV>
                <wp:extent cx="302260" cy="0"/>
                <wp:effectExtent l="635" t="635" r="635" b="635"/>
                <wp:wrapNone/>
                <wp:docPr id="20" name=""/>
                <a:graphic xmlns:a="http://schemas.openxmlformats.org/drawingml/2006/main">
                  <a:graphicData uri="http://schemas.microsoft.com/office/word/2010/wordprocessingShape">
                    <wps:wsp>
                      <wps:cNvSpPr/>
                      <wps:spPr>
                        <a:xfrm>
                          <a:off x="0" y="0"/>
                          <a:ext cx="302400" cy="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12.6pt,-169.7pt" to="36.35pt,-169.7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462280</wp:posOffset>
                </wp:positionH>
                <wp:positionV relativeFrom="paragraph">
                  <wp:posOffset>-2155190</wp:posOffset>
                </wp:positionV>
                <wp:extent cx="0" cy="1516380"/>
                <wp:effectExtent l="635" t="635" r="635" b="635"/>
                <wp:wrapNone/>
                <wp:docPr id="21" name=""/>
                <a:graphic xmlns:a="http://schemas.openxmlformats.org/drawingml/2006/main">
                  <a:graphicData uri="http://schemas.microsoft.com/office/word/2010/wordprocessingShape">
                    <wps:wsp>
                      <wps:cNvSpPr/>
                      <wps:spPr>
                        <a:xfrm>
                          <a:off x="0" y="0"/>
                          <a:ext cx="0" cy="151632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36.4pt,-169.7pt" to="36.4pt,-50.35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160020</wp:posOffset>
                </wp:positionH>
                <wp:positionV relativeFrom="paragraph">
                  <wp:posOffset>-638810</wp:posOffset>
                </wp:positionV>
                <wp:extent cx="302260" cy="0"/>
                <wp:effectExtent l="635" t="635" r="635" b="635"/>
                <wp:wrapNone/>
                <wp:docPr id="22" name=""/>
                <a:graphic xmlns:a="http://schemas.openxmlformats.org/drawingml/2006/main">
                  <a:graphicData uri="http://schemas.microsoft.com/office/word/2010/wordprocessingShape">
                    <wps:wsp>
                      <wps:cNvSpPr/>
                      <wps:spPr>
                        <a:xfrm>
                          <a:off x="0" y="0"/>
                          <a:ext cx="302400" cy="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12.6pt,-50.3pt" to="36.35pt,-50.3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160655</wp:posOffset>
                </wp:positionH>
                <wp:positionV relativeFrom="paragraph">
                  <wp:posOffset>-2155190</wp:posOffset>
                </wp:positionV>
                <wp:extent cx="0" cy="1516380"/>
                <wp:effectExtent l="635" t="635" r="635" b="635"/>
                <wp:wrapNone/>
                <wp:docPr id="23" name=""/>
                <a:graphic xmlns:a="http://schemas.openxmlformats.org/drawingml/2006/main">
                  <a:graphicData uri="http://schemas.microsoft.com/office/word/2010/wordprocessingShape">
                    <wps:wsp>
                      <wps:cNvSpPr/>
                      <wps:spPr>
                        <a:xfrm>
                          <a:off x="0" y="0"/>
                          <a:ext cx="0" cy="151632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12.65pt,-169.7pt" to="12.65pt,-50.35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462280</wp:posOffset>
                </wp:positionH>
                <wp:positionV relativeFrom="paragraph">
                  <wp:posOffset>-1998980</wp:posOffset>
                </wp:positionV>
                <wp:extent cx="301625" cy="1360170"/>
                <wp:effectExtent l="5715" t="5080" r="4445" b="5080"/>
                <wp:wrapNone/>
                <wp:docPr id="24" name=""/>
                <a:graphic xmlns:a="http://schemas.openxmlformats.org/drawingml/2006/main">
                  <a:graphicData uri="http://schemas.microsoft.com/office/word/2010/wordprocessingShape">
                    <wps:wsp>
                      <wps:cNvSpPr/>
                      <wps:spPr>
                        <a:xfrm>
                          <a:off x="0" y="0"/>
                          <a:ext cx="301680" cy="1360080"/>
                        </a:xfrm>
                        <a:prstGeom prst="rect">
                          <a:avLst/>
                        </a:prstGeom>
                        <a:solidFill>
                          <a:srgbClr val="98002c"/>
                        </a:solidFill>
                        <a:ln w="9360">
                          <a:solidFill>
                            <a:srgbClr val="ffffff"/>
                          </a:solidFill>
                          <a:miter/>
                        </a:ln>
                      </wps:spPr>
                      <wps:style>
                        <a:lnRef idx="0"/>
                        <a:fillRef idx="0"/>
                        <a:effectRef idx="0"/>
                        <a:fontRef idx="minor"/>
                      </wps:style>
                      <wps:bodyPr/>
                    </wps:wsp>
                  </a:graphicData>
                </a:graphic>
              </wp:anchor>
            </w:drawing>
          </mc:Choice>
          <mc:Fallback>
            <w:pict>
              <v:rect id="shape_0" fillcolor="#98002c" stroked="t" o:allowincell="f" style="position:absolute;margin-left:36.4pt;margin-top:-157.4pt;width:23.7pt;height:107.05pt;mso-wrap-style:none;v-text-anchor:middle">
                <v:fill o:detectmouseclick="t" type="solid" color2="#67ffd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
                <wp:simplePos x="0" y="0"/>
                <wp:positionH relativeFrom="column">
                  <wp:posOffset>462280</wp:posOffset>
                </wp:positionH>
                <wp:positionV relativeFrom="paragraph">
                  <wp:posOffset>-1998980</wp:posOffset>
                </wp:positionV>
                <wp:extent cx="301625" cy="0"/>
                <wp:effectExtent l="635" t="635" r="635" b="635"/>
                <wp:wrapNone/>
                <wp:docPr id="25" name=""/>
                <a:graphic xmlns:a="http://schemas.openxmlformats.org/drawingml/2006/main">
                  <a:graphicData uri="http://schemas.microsoft.com/office/word/2010/wordprocessingShape">
                    <wps:wsp>
                      <wps:cNvSpPr/>
                      <wps:spPr>
                        <a:xfrm>
                          <a:off x="0" y="0"/>
                          <a:ext cx="301680" cy="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36.4pt,-157.4pt" to="60.1pt,-157.4pt" stroked="t" o:allowincell="f" style="position:absolute">
                <v:stroke color="#98002c"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763905</wp:posOffset>
                </wp:positionH>
                <wp:positionV relativeFrom="paragraph">
                  <wp:posOffset>-1999615</wp:posOffset>
                </wp:positionV>
                <wp:extent cx="0" cy="1360805"/>
                <wp:effectExtent l="635" t="635" r="635" b="635"/>
                <wp:wrapNone/>
                <wp:docPr id="26" name=""/>
                <a:graphic xmlns:a="http://schemas.openxmlformats.org/drawingml/2006/main">
                  <a:graphicData uri="http://schemas.microsoft.com/office/word/2010/wordprocessingShape">
                    <wps:wsp>
                      <wps:cNvSpPr/>
                      <wps:spPr>
                        <a:xfrm>
                          <a:off x="0" y="0"/>
                          <a:ext cx="0" cy="136080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60.15pt,-157.45pt" to="60.15pt,-50.35pt" stroked="t" o:allowincell="f" style="position:absolute">
                <v:stroke color="#98002c"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462280</wp:posOffset>
                </wp:positionH>
                <wp:positionV relativeFrom="paragraph">
                  <wp:posOffset>-638810</wp:posOffset>
                </wp:positionV>
                <wp:extent cx="301625" cy="0"/>
                <wp:effectExtent l="635" t="635" r="635" b="635"/>
                <wp:wrapNone/>
                <wp:docPr id="27" name=""/>
                <a:graphic xmlns:a="http://schemas.openxmlformats.org/drawingml/2006/main">
                  <a:graphicData uri="http://schemas.microsoft.com/office/word/2010/wordprocessingShape">
                    <wps:wsp>
                      <wps:cNvSpPr/>
                      <wps:spPr>
                        <a:xfrm>
                          <a:off x="0" y="0"/>
                          <a:ext cx="301680" cy="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36.4pt,-50.3pt" to="60.1pt,-50.3pt" stroked="t" o:allowincell="f" style="position:absolute">
                <v:stroke color="#98002c"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462280</wp:posOffset>
                </wp:positionH>
                <wp:positionV relativeFrom="paragraph">
                  <wp:posOffset>-1999615</wp:posOffset>
                </wp:positionV>
                <wp:extent cx="0" cy="1360805"/>
                <wp:effectExtent l="635" t="635" r="635" b="635"/>
                <wp:wrapNone/>
                <wp:docPr id="28" name=""/>
                <a:graphic xmlns:a="http://schemas.openxmlformats.org/drawingml/2006/main">
                  <a:graphicData uri="http://schemas.microsoft.com/office/word/2010/wordprocessingShape">
                    <wps:wsp>
                      <wps:cNvSpPr/>
                      <wps:spPr>
                        <a:xfrm>
                          <a:off x="0" y="0"/>
                          <a:ext cx="0" cy="136080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36.4pt,-157.45pt" to="36.4pt,-50.35pt" stroked="t" o:allowincell="f" style="position:absolute">
                <v:stroke color="#98002c"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915035</wp:posOffset>
                </wp:positionH>
                <wp:positionV relativeFrom="paragraph">
                  <wp:posOffset>-1352550</wp:posOffset>
                </wp:positionV>
                <wp:extent cx="301625" cy="713740"/>
                <wp:effectExtent l="5715" t="5080" r="4445" b="5080"/>
                <wp:wrapNone/>
                <wp:docPr id="29" name=""/>
                <a:graphic xmlns:a="http://schemas.openxmlformats.org/drawingml/2006/main">
                  <a:graphicData uri="http://schemas.microsoft.com/office/word/2010/wordprocessingShape">
                    <wps:wsp>
                      <wps:cNvSpPr/>
                      <wps:spPr>
                        <a:xfrm>
                          <a:off x="0" y="0"/>
                          <a:ext cx="301680" cy="713880"/>
                        </a:xfrm>
                        <a:prstGeom prst="rect">
                          <a:avLst/>
                        </a:prstGeom>
                        <a:solidFill>
                          <a:srgbClr val="41af90"/>
                        </a:solidFill>
                        <a:ln w="9360">
                          <a:solidFill>
                            <a:srgbClr val="ffffff"/>
                          </a:solidFill>
                          <a:miter/>
                        </a:ln>
                      </wps:spPr>
                      <wps:style>
                        <a:lnRef idx="0"/>
                        <a:fillRef idx="0"/>
                        <a:effectRef idx="0"/>
                        <a:fontRef idx="minor"/>
                      </wps:style>
                      <wps:bodyPr/>
                    </wps:wsp>
                  </a:graphicData>
                </a:graphic>
              </wp:anchor>
            </w:drawing>
          </mc:Choice>
          <mc:Fallback>
            <w:pict>
              <v:rect id="shape_0" fillcolor="#41af90" stroked="t" o:allowincell="f" style="position:absolute;margin-left:72.05pt;margin-top:-106.5pt;width:23.7pt;height:56.15pt;mso-wrap-style:none;v-text-anchor:middle">
                <v:fill o:detectmouseclick="t" type="solid" color2="#be506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
                <wp:simplePos x="0" y="0"/>
                <wp:positionH relativeFrom="column">
                  <wp:posOffset>914400</wp:posOffset>
                </wp:positionH>
                <wp:positionV relativeFrom="paragraph">
                  <wp:posOffset>-1352550</wp:posOffset>
                </wp:positionV>
                <wp:extent cx="302260" cy="0"/>
                <wp:effectExtent l="635" t="635" r="635" b="635"/>
                <wp:wrapNone/>
                <wp:docPr id="30" name=""/>
                <a:graphic xmlns:a="http://schemas.openxmlformats.org/drawingml/2006/main">
                  <a:graphicData uri="http://schemas.microsoft.com/office/word/2010/wordprocessingShape">
                    <wps:wsp>
                      <wps:cNvSpPr/>
                      <wps:spPr>
                        <a:xfrm>
                          <a:off x="0" y="0"/>
                          <a:ext cx="302400" cy="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72pt,-106.5pt" to="95.75pt,-106.5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1216660</wp:posOffset>
                </wp:positionH>
                <wp:positionV relativeFrom="paragraph">
                  <wp:posOffset>-1353185</wp:posOffset>
                </wp:positionV>
                <wp:extent cx="0" cy="714375"/>
                <wp:effectExtent l="635" t="635" r="635" b="635"/>
                <wp:wrapNone/>
                <wp:docPr id="31" name=""/>
                <a:graphic xmlns:a="http://schemas.openxmlformats.org/drawingml/2006/main">
                  <a:graphicData uri="http://schemas.microsoft.com/office/word/2010/wordprocessingShape">
                    <wps:wsp>
                      <wps:cNvSpPr/>
                      <wps:spPr>
                        <a:xfrm>
                          <a:off x="0" y="0"/>
                          <a:ext cx="0" cy="71424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95.8pt,-106.55pt" to="95.8pt,-50.35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914400</wp:posOffset>
                </wp:positionH>
                <wp:positionV relativeFrom="paragraph">
                  <wp:posOffset>-638810</wp:posOffset>
                </wp:positionV>
                <wp:extent cx="302260" cy="0"/>
                <wp:effectExtent l="635" t="635" r="635" b="635"/>
                <wp:wrapNone/>
                <wp:docPr id="32" name=""/>
                <a:graphic xmlns:a="http://schemas.openxmlformats.org/drawingml/2006/main">
                  <a:graphicData uri="http://schemas.microsoft.com/office/word/2010/wordprocessingShape">
                    <wps:wsp>
                      <wps:cNvSpPr/>
                      <wps:spPr>
                        <a:xfrm>
                          <a:off x="0" y="0"/>
                          <a:ext cx="302400" cy="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72pt,-50.3pt" to="95.75pt,-50.3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914400</wp:posOffset>
                </wp:positionH>
                <wp:positionV relativeFrom="paragraph">
                  <wp:posOffset>-1353185</wp:posOffset>
                </wp:positionV>
                <wp:extent cx="0" cy="714375"/>
                <wp:effectExtent l="635" t="635" r="635" b="635"/>
                <wp:wrapNone/>
                <wp:docPr id="33" name=""/>
                <a:graphic xmlns:a="http://schemas.openxmlformats.org/drawingml/2006/main">
                  <a:graphicData uri="http://schemas.microsoft.com/office/word/2010/wordprocessingShape">
                    <wps:wsp>
                      <wps:cNvSpPr/>
                      <wps:spPr>
                        <a:xfrm>
                          <a:off x="0" y="0"/>
                          <a:ext cx="0" cy="71424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72pt,-106.55pt" to="72pt,-50.35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1216660</wp:posOffset>
                </wp:positionH>
                <wp:positionV relativeFrom="paragraph">
                  <wp:posOffset>-1258570</wp:posOffset>
                </wp:positionV>
                <wp:extent cx="301625" cy="619760"/>
                <wp:effectExtent l="5715" t="5080" r="4445" b="5080"/>
                <wp:wrapNone/>
                <wp:docPr id="34" name=""/>
                <a:graphic xmlns:a="http://schemas.openxmlformats.org/drawingml/2006/main">
                  <a:graphicData uri="http://schemas.microsoft.com/office/word/2010/wordprocessingShape">
                    <wps:wsp>
                      <wps:cNvSpPr/>
                      <wps:spPr>
                        <a:xfrm>
                          <a:off x="0" y="0"/>
                          <a:ext cx="301680" cy="619920"/>
                        </a:xfrm>
                        <a:prstGeom prst="rect">
                          <a:avLst/>
                        </a:prstGeom>
                        <a:solidFill>
                          <a:srgbClr val="98002c"/>
                        </a:solidFill>
                        <a:ln w="9360">
                          <a:solidFill>
                            <a:srgbClr val="ffffff"/>
                          </a:solidFill>
                          <a:miter/>
                        </a:ln>
                      </wps:spPr>
                      <wps:style>
                        <a:lnRef idx="0"/>
                        <a:fillRef idx="0"/>
                        <a:effectRef idx="0"/>
                        <a:fontRef idx="minor"/>
                      </wps:style>
                      <wps:bodyPr/>
                    </wps:wsp>
                  </a:graphicData>
                </a:graphic>
              </wp:anchor>
            </w:drawing>
          </mc:Choice>
          <mc:Fallback>
            <w:pict>
              <v:rect id="shape_0" fillcolor="#98002c" stroked="t" o:allowincell="f" style="position:absolute;margin-left:95.8pt;margin-top:-99.1pt;width:23.7pt;height:48.75pt;mso-wrap-style:none;v-text-anchor:middle">
                <v:fill o:detectmouseclick="t" type="solid" color2="#67ffd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
                <wp:simplePos x="0" y="0"/>
                <wp:positionH relativeFrom="column">
                  <wp:posOffset>1216660</wp:posOffset>
                </wp:positionH>
                <wp:positionV relativeFrom="paragraph">
                  <wp:posOffset>-1258570</wp:posOffset>
                </wp:positionV>
                <wp:extent cx="301625" cy="0"/>
                <wp:effectExtent l="635" t="635" r="635" b="635"/>
                <wp:wrapNone/>
                <wp:docPr id="35" name=""/>
                <a:graphic xmlns:a="http://schemas.openxmlformats.org/drawingml/2006/main">
                  <a:graphicData uri="http://schemas.microsoft.com/office/word/2010/wordprocessingShape">
                    <wps:wsp>
                      <wps:cNvSpPr/>
                      <wps:spPr>
                        <a:xfrm>
                          <a:off x="0" y="0"/>
                          <a:ext cx="301680" cy="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95.8pt,-99.1pt" to="119.5pt,-99.1pt" stroked="t" o:allowincell="f" style="position:absolute">
                <v:stroke color="#98002c"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1518285</wp:posOffset>
                </wp:positionH>
                <wp:positionV relativeFrom="paragraph">
                  <wp:posOffset>-1259205</wp:posOffset>
                </wp:positionV>
                <wp:extent cx="0" cy="620395"/>
                <wp:effectExtent l="635" t="635" r="635" b="635"/>
                <wp:wrapNone/>
                <wp:docPr id="36" name=""/>
                <a:graphic xmlns:a="http://schemas.openxmlformats.org/drawingml/2006/main">
                  <a:graphicData uri="http://schemas.microsoft.com/office/word/2010/wordprocessingShape">
                    <wps:wsp>
                      <wps:cNvSpPr/>
                      <wps:spPr>
                        <a:xfrm>
                          <a:off x="0" y="0"/>
                          <a:ext cx="0" cy="62028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119.55pt,-99.15pt" to="119.55pt,-50.35pt" stroked="t" o:allowincell="f" style="position:absolute">
                <v:stroke color="#98002c"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1216660</wp:posOffset>
                </wp:positionH>
                <wp:positionV relativeFrom="paragraph">
                  <wp:posOffset>-638810</wp:posOffset>
                </wp:positionV>
                <wp:extent cx="301625" cy="0"/>
                <wp:effectExtent l="635" t="635" r="635" b="635"/>
                <wp:wrapNone/>
                <wp:docPr id="37" name=""/>
                <a:graphic xmlns:a="http://schemas.openxmlformats.org/drawingml/2006/main">
                  <a:graphicData uri="http://schemas.microsoft.com/office/word/2010/wordprocessingShape">
                    <wps:wsp>
                      <wps:cNvSpPr/>
                      <wps:spPr>
                        <a:xfrm>
                          <a:off x="0" y="0"/>
                          <a:ext cx="301680" cy="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95.8pt,-50.3pt" to="119.5pt,-50.3pt" stroked="t" o:allowincell="f" style="position:absolute">
                <v:stroke color="#98002c"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1216660</wp:posOffset>
                </wp:positionH>
                <wp:positionV relativeFrom="paragraph">
                  <wp:posOffset>-1259205</wp:posOffset>
                </wp:positionV>
                <wp:extent cx="0" cy="620395"/>
                <wp:effectExtent l="635" t="635" r="635" b="635"/>
                <wp:wrapNone/>
                <wp:docPr id="38" name=""/>
                <a:graphic xmlns:a="http://schemas.openxmlformats.org/drawingml/2006/main">
                  <a:graphicData uri="http://schemas.microsoft.com/office/word/2010/wordprocessingShape">
                    <wps:wsp>
                      <wps:cNvSpPr/>
                      <wps:spPr>
                        <a:xfrm>
                          <a:off x="0" y="0"/>
                          <a:ext cx="0" cy="62028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95.8pt,-99.15pt" to="95.8pt,-50.35pt" stroked="t" o:allowincell="f" style="position:absolute">
                <v:stroke color="#98002c"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1669415</wp:posOffset>
                </wp:positionH>
                <wp:positionV relativeFrom="paragraph">
                  <wp:posOffset>-1070610</wp:posOffset>
                </wp:positionV>
                <wp:extent cx="301625" cy="431800"/>
                <wp:effectExtent l="5715" t="5080" r="4445" b="5080"/>
                <wp:wrapNone/>
                <wp:docPr id="39" name=""/>
                <a:graphic xmlns:a="http://schemas.openxmlformats.org/drawingml/2006/main">
                  <a:graphicData uri="http://schemas.microsoft.com/office/word/2010/wordprocessingShape">
                    <wps:wsp>
                      <wps:cNvSpPr/>
                      <wps:spPr>
                        <a:xfrm>
                          <a:off x="0" y="0"/>
                          <a:ext cx="301680" cy="431640"/>
                        </a:xfrm>
                        <a:prstGeom prst="rect">
                          <a:avLst/>
                        </a:prstGeom>
                        <a:solidFill>
                          <a:srgbClr val="41af90"/>
                        </a:solidFill>
                        <a:ln w="9360">
                          <a:solidFill>
                            <a:srgbClr val="ffffff"/>
                          </a:solidFill>
                          <a:miter/>
                        </a:ln>
                      </wps:spPr>
                      <wps:style>
                        <a:lnRef idx="0"/>
                        <a:fillRef idx="0"/>
                        <a:effectRef idx="0"/>
                        <a:fontRef idx="minor"/>
                      </wps:style>
                      <wps:bodyPr/>
                    </wps:wsp>
                  </a:graphicData>
                </a:graphic>
              </wp:anchor>
            </w:drawing>
          </mc:Choice>
          <mc:Fallback>
            <w:pict>
              <v:rect id="shape_0" fillcolor="#41af90" stroked="t" o:allowincell="f" style="position:absolute;margin-left:131.45pt;margin-top:-84.3pt;width:23.7pt;height:33.95pt;mso-wrap-style:none;v-text-anchor:middle">
                <v:fill o:detectmouseclick="t" type="solid" color2="#be506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
                <wp:simplePos x="0" y="0"/>
                <wp:positionH relativeFrom="column">
                  <wp:posOffset>1668780</wp:posOffset>
                </wp:positionH>
                <wp:positionV relativeFrom="paragraph">
                  <wp:posOffset>-1071245</wp:posOffset>
                </wp:positionV>
                <wp:extent cx="302260" cy="0"/>
                <wp:effectExtent l="635" t="635" r="635" b="635"/>
                <wp:wrapNone/>
                <wp:docPr id="40" name=""/>
                <a:graphic xmlns:a="http://schemas.openxmlformats.org/drawingml/2006/main">
                  <a:graphicData uri="http://schemas.microsoft.com/office/word/2010/wordprocessingShape">
                    <wps:wsp>
                      <wps:cNvSpPr/>
                      <wps:spPr>
                        <a:xfrm>
                          <a:off x="0" y="0"/>
                          <a:ext cx="302400" cy="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131.4pt,-84.35pt" to="155.15pt,-84.35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1971040</wp:posOffset>
                </wp:positionH>
                <wp:positionV relativeFrom="paragraph">
                  <wp:posOffset>-1071245</wp:posOffset>
                </wp:positionV>
                <wp:extent cx="0" cy="432435"/>
                <wp:effectExtent l="635" t="635" r="635" b="635"/>
                <wp:wrapNone/>
                <wp:docPr id="41" name=""/>
                <a:graphic xmlns:a="http://schemas.openxmlformats.org/drawingml/2006/main">
                  <a:graphicData uri="http://schemas.microsoft.com/office/word/2010/wordprocessingShape">
                    <wps:wsp>
                      <wps:cNvSpPr/>
                      <wps:spPr>
                        <a:xfrm>
                          <a:off x="0" y="0"/>
                          <a:ext cx="0" cy="43236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155.2pt,-84.35pt" to="155.2pt,-50.35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1668780</wp:posOffset>
                </wp:positionH>
                <wp:positionV relativeFrom="paragraph">
                  <wp:posOffset>-638810</wp:posOffset>
                </wp:positionV>
                <wp:extent cx="302260" cy="0"/>
                <wp:effectExtent l="635" t="635" r="635" b="635"/>
                <wp:wrapNone/>
                <wp:docPr id="42" name=""/>
                <a:graphic xmlns:a="http://schemas.openxmlformats.org/drawingml/2006/main">
                  <a:graphicData uri="http://schemas.microsoft.com/office/word/2010/wordprocessingShape">
                    <wps:wsp>
                      <wps:cNvSpPr/>
                      <wps:spPr>
                        <a:xfrm>
                          <a:off x="0" y="0"/>
                          <a:ext cx="302400" cy="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131.4pt,-50.3pt" to="155.15pt,-50.3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1669415</wp:posOffset>
                </wp:positionH>
                <wp:positionV relativeFrom="paragraph">
                  <wp:posOffset>-1071245</wp:posOffset>
                </wp:positionV>
                <wp:extent cx="0" cy="432435"/>
                <wp:effectExtent l="635" t="635" r="635" b="635"/>
                <wp:wrapNone/>
                <wp:docPr id="43" name=""/>
                <a:graphic xmlns:a="http://schemas.openxmlformats.org/drawingml/2006/main">
                  <a:graphicData uri="http://schemas.microsoft.com/office/word/2010/wordprocessingShape">
                    <wps:wsp>
                      <wps:cNvSpPr/>
                      <wps:spPr>
                        <a:xfrm>
                          <a:off x="0" y="0"/>
                          <a:ext cx="0" cy="43236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131.45pt,-84.35pt" to="131.45pt,-50.35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1971040</wp:posOffset>
                </wp:positionH>
                <wp:positionV relativeFrom="paragraph">
                  <wp:posOffset>-1042035</wp:posOffset>
                </wp:positionV>
                <wp:extent cx="301625" cy="403225"/>
                <wp:effectExtent l="5715" t="5080" r="4445" b="5080"/>
                <wp:wrapNone/>
                <wp:docPr id="44" name=""/>
                <a:graphic xmlns:a="http://schemas.openxmlformats.org/drawingml/2006/main">
                  <a:graphicData uri="http://schemas.microsoft.com/office/word/2010/wordprocessingShape">
                    <wps:wsp>
                      <wps:cNvSpPr/>
                      <wps:spPr>
                        <a:xfrm>
                          <a:off x="0" y="0"/>
                          <a:ext cx="301680" cy="403200"/>
                        </a:xfrm>
                        <a:prstGeom prst="rect">
                          <a:avLst/>
                        </a:prstGeom>
                        <a:solidFill>
                          <a:srgbClr val="98002c"/>
                        </a:solidFill>
                        <a:ln w="9360">
                          <a:solidFill>
                            <a:srgbClr val="ffffff"/>
                          </a:solidFill>
                          <a:miter/>
                        </a:ln>
                      </wps:spPr>
                      <wps:style>
                        <a:lnRef idx="0"/>
                        <a:fillRef idx="0"/>
                        <a:effectRef idx="0"/>
                        <a:fontRef idx="minor"/>
                      </wps:style>
                      <wps:bodyPr/>
                    </wps:wsp>
                  </a:graphicData>
                </a:graphic>
              </wp:anchor>
            </w:drawing>
          </mc:Choice>
          <mc:Fallback>
            <w:pict>
              <v:rect id="shape_0" fillcolor="#98002c" stroked="t" o:allowincell="f" style="position:absolute;margin-left:155.2pt;margin-top:-82.05pt;width:23.7pt;height:31.7pt;mso-wrap-style:none;v-text-anchor:middle">
                <v:fill o:detectmouseclick="t" type="solid" color2="#67ffd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
                <wp:simplePos x="0" y="0"/>
                <wp:positionH relativeFrom="column">
                  <wp:posOffset>1971040</wp:posOffset>
                </wp:positionH>
                <wp:positionV relativeFrom="paragraph">
                  <wp:posOffset>-1042670</wp:posOffset>
                </wp:positionV>
                <wp:extent cx="301625" cy="0"/>
                <wp:effectExtent l="635" t="635" r="635" b="635"/>
                <wp:wrapNone/>
                <wp:docPr id="45" name=""/>
                <a:graphic xmlns:a="http://schemas.openxmlformats.org/drawingml/2006/main">
                  <a:graphicData uri="http://schemas.microsoft.com/office/word/2010/wordprocessingShape">
                    <wps:wsp>
                      <wps:cNvSpPr/>
                      <wps:spPr>
                        <a:xfrm>
                          <a:off x="0" y="0"/>
                          <a:ext cx="301680" cy="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155.2pt,-82.1pt" to="178.9pt,-82.1pt" stroked="t" o:allowincell="f" style="position:absolute">
                <v:stroke color="#98002c"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2272665</wp:posOffset>
                </wp:positionH>
                <wp:positionV relativeFrom="paragraph">
                  <wp:posOffset>-1042670</wp:posOffset>
                </wp:positionV>
                <wp:extent cx="0" cy="403860"/>
                <wp:effectExtent l="635" t="635" r="635" b="635"/>
                <wp:wrapNone/>
                <wp:docPr id="46" name=""/>
                <a:graphic xmlns:a="http://schemas.openxmlformats.org/drawingml/2006/main">
                  <a:graphicData uri="http://schemas.microsoft.com/office/word/2010/wordprocessingShape">
                    <wps:wsp>
                      <wps:cNvSpPr/>
                      <wps:spPr>
                        <a:xfrm>
                          <a:off x="0" y="0"/>
                          <a:ext cx="0" cy="40392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178.95pt,-82.1pt" to="178.95pt,-50.35pt" stroked="t" o:allowincell="f" style="position:absolute">
                <v:stroke color="#98002c"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1971040</wp:posOffset>
                </wp:positionH>
                <wp:positionV relativeFrom="paragraph">
                  <wp:posOffset>-638810</wp:posOffset>
                </wp:positionV>
                <wp:extent cx="301625" cy="0"/>
                <wp:effectExtent l="635" t="635" r="635" b="635"/>
                <wp:wrapNone/>
                <wp:docPr id="47" name=""/>
                <a:graphic xmlns:a="http://schemas.openxmlformats.org/drawingml/2006/main">
                  <a:graphicData uri="http://schemas.microsoft.com/office/word/2010/wordprocessingShape">
                    <wps:wsp>
                      <wps:cNvSpPr/>
                      <wps:spPr>
                        <a:xfrm>
                          <a:off x="0" y="0"/>
                          <a:ext cx="301680" cy="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155.2pt,-50.3pt" to="178.9pt,-50.3pt" stroked="t" o:allowincell="f" style="position:absolute">
                <v:stroke color="#98002c"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1971040</wp:posOffset>
                </wp:positionH>
                <wp:positionV relativeFrom="paragraph">
                  <wp:posOffset>-1042670</wp:posOffset>
                </wp:positionV>
                <wp:extent cx="0" cy="403860"/>
                <wp:effectExtent l="635" t="635" r="635" b="635"/>
                <wp:wrapNone/>
                <wp:docPr id="48" name=""/>
                <a:graphic xmlns:a="http://schemas.openxmlformats.org/drawingml/2006/main">
                  <a:graphicData uri="http://schemas.microsoft.com/office/word/2010/wordprocessingShape">
                    <wps:wsp>
                      <wps:cNvSpPr/>
                      <wps:spPr>
                        <a:xfrm>
                          <a:off x="0" y="0"/>
                          <a:ext cx="0" cy="40392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155.2pt,-82.1pt" to="155.2pt,-50.35pt" stroked="t" o:allowincell="f" style="position:absolute">
                <v:stroke color="#98002c"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83185</wp:posOffset>
                </wp:positionH>
                <wp:positionV relativeFrom="paragraph">
                  <wp:posOffset>-638810</wp:posOffset>
                </wp:positionV>
                <wp:extent cx="2266950" cy="0"/>
                <wp:effectExtent l="0" t="1905" r="0" b="1905"/>
                <wp:wrapNone/>
                <wp:docPr id="49" name=""/>
                <a:graphic xmlns:a="http://schemas.openxmlformats.org/drawingml/2006/main">
                  <a:graphicData uri="http://schemas.microsoft.com/office/word/2010/wordprocessingShape">
                    <wps:wsp>
                      <wps:cNvSpPr/>
                      <wps:spPr>
                        <a:xfrm>
                          <a:off x="0" y="0"/>
                          <a:ext cx="2266920" cy="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6.55pt,-50.3pt" to="185pt,-50.3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85090</wp:posOffset>
                </wp:positionH>
                <wp:positionV relativeFrom="paragraph">
                  <wp:posOffset>-2308225</wp:posOffset>
                </wp:positionV>
                <wp:extent cx="0" cy="1671320"/>
                <wp:effectExtent l="1905" t="0" r="1905" b="0"/>
                <wp:wrapNone/>
                <wp:docPr id="50" name=""/>
                <a:graphic xmlns:a="http://schemas.openxmlformats.org/drawingml/2006/main">
                  <a:graphicData uri="http://schemas.microsoft.com/office/word/2010/wordprocessingShape">
                    <wps:wsp>
                      <wps:cNvSpPr/>
                      <wps:spPr>
                        <a:xfrm>
                          <a:off x="0" y="0"/>
                          <a:ext cx="0" cy="167148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6.7pt,-181.75pt" to="6.7pt,-50.2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83185</wp:posOffset>
                </wp:positionH>
                <wp:positionV relativeFrom="paragraph">
                  <wp:posOffset>-2306320</wp:posOffset>
                </wp:positionV>
                <wp:extent cx="2266950" cy="0"/>
                <wp:effectExtent l="0" t="1905" r="0" b="1905"/>
                <wp:wrapNone/>
                <wp:docPr id="51" name=""/>
                <a:graphic xmlns:a="http://schemas.openxmlformats.org/drawingml/2006/main">
                  <a:graphicData uri="http://schemas.microsoft.com/office/word/2010/wordprocessingShape">
                    <wps:wsp>
                      <wps:cNvSpPr/>
                      <wps:spPr>
                        <a:xfrm>
                          <a:off x="0" y="0"/>
                          <a:ext cx="2266920" cy="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6.55pt,-181.6pt" to="185pt,-181.6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2348230</wp:posOffset>
                </wp:positionH>
                <wp:positionV relativeFrom="paragraph">
                  <wp:posOffset>-2308225</wp:posOffset>
                </wp:positionV>
                <wp:extent cx="0" cy="1671320"/>
                <wp:effectExtent l="1905" t="0" r="1905" b="0"/>
                <wp:wrapNone/>
                <wp:docPr id="52" name=""/>
                <a:graphic xmlns:a="http://schemas.openxmlformats.org/drawingml/2006/main">
                  <a:graphicData uri="http://schemas.microsoft.com/office/word/2010/wordprocessingShape">
                    <wps:wsp>
                      <wps:cNvSpPr/>
                      <wps:spPr>
                        <a:xfrm>
                          <a:off x="0" y="0"/>
                          <a:ext cx="0" cy="167148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84.9pt,-181.75pt" to="184.9pt,-50.2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839470</wp:posOffset>
                </wp:positionH>
                <wp:positionV relativeFrom="paragraph">
                  <wp:posOffset>-673100</wp:posOffset>
                </wp:positionV>
                <wp:extent cx="0" cy="36195"/>
                <wp:effectExtent l="1905" t="0" r="1905" b="0"/>
                <wp:wrapNone/>
                <wp:docPr id="53"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66.1pt,-53pt" to="66.1pt,-50.2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1593850</wp:posOffset>
                </wp:positionH>
                <wp:positionV relativeFrom="paragraph">
                  <wp:posOffset>-673100</wp:posOffset>
                </wp:positionV>
                <wp:extent cx="0" cy="36195"/>
                <wp:effectExtent l="1905" t="0" r="1905" b="0"/>
                <wp:wrapNone/>
                <wp:docPr id="54"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25.5pt,-53pt" to="125.5pt,-50.2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828675</wp:posOffset>
                </wp:positionH>
                <wp:positionV relativeFrom="paragraph">
                  <wp:posOffset>-336550</wp:posOffset>
                </wp:positionV>
                <wp:extent cx="67310" cy="67310"/>
                <wp:effectExtent l="5080" t="5080" r="5080" b="5080"/>
                <wp:wrapNone/>
                <wp:docPr id="55" name=""/>
                <a:graphic xmlns:a="http://schemas.openxmlformats.org/drawingml/2006/main">
                  <a:graphicData uri="http://schemas.microsoft.com/office/word/2010/wordprocessingShape">
                    <wps:wsp>
                      <wps:cNvSpPr/>
                      <wps:spPr>
                        <a:xfrm>
                          <a:off x="0" y="0"/>
                          <a:ext cx="67320" cy="67320"/>
                        </a:xfrm>
                        <a:prstGeom prst="rect">
                          <a:avLst/>
                        </a:prstGeom>
                        <a:solidFill>
                          <a:srgbClr val="41af90"/>
                        </a:solidFill>
                        <a:ln w="9360">
                          <a:solidFill>
                            <a:srgbClr val="ffffff"/>
                          </a:solidFill>
                          <a:miter/>
                        </a:ln>
                      </wps:spPr>
                      <wps:style>
                        <a:lnRef idx="0"/>
                        <a:fillRef idx="0"/>
                        <a:effectRef idx="0"/>
                        <a:fontRef idx="minor"/>
                      </wps:style>
                      <wps:bodyPr/>
                    </wps:wsp>
                  </a:graphicData>
                </a:graphic>
              </wp:anchor>
            </w:drawing>
          </mc:Choice>
          <mc:Fallback>
            <w:pict>
              <v:rect id="shape_0" fillcolor="#41af90" stroked="t" o:allowincell="f" style="position:absolute;margin-left:65.25pt;margin-top:-26.5pt;width:5.25pt;height:5.25pt;mso-wrap-style:none;v-text-anchor:middle">
                <v:fill o:detectmouseclick="t" type="solid" color2="#be506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
                <wp:simplePos x="0" y="0"/>
                <wp:positionH relativeFrom="column">
                  <wp:posOffset>828675</wp:posOffset>
                </wp:positionH>
                <wp:positionV relativeFrom="paragraph">
                  <wp:posOffset>-269240</wp:posOffset>
                </wp:positionV>
                <wp:extent cx="67310" cy="0"/>
                <wp:effectExtent l="635" t="635" r="635" b="635"/>
                <wp:wrapNone/>
                <wp:docPr id="56" name=""/>
                <a:graphic xmlns:a="http://schemas.openxmlformats.org/drawingml/2006/main">
                  <a:graphicData uri="http://schemas.microsoft.com/office/word/2010/wordprocessingShape">
                    <wps:wsp>
                      <wps:cNvSpPr/>
                      <wps:spPr>
                        <a:xfrm>
                          <a:off x="0" y="0"/>
                          <a:ext cx="67320" cy="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65.25pt,-21.2pt" to="70.5pt,-21.2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828675</wp:posOffset>
                </wp:positionH>
                <wp:positionV relativeFrom="paragraph">
                  <wp:posOffset>-336550</wp:posOffset>
                </wp:positionV>
                <wp:extent cx="0" cy="67310"/>
                <wp:effectExtent l="635" t="635" r="635" b="635"/>
                <wp:wrapNone/>
                <wp:docPr id="57" name=""/>
                <a:graphic xmlns:a="http://schemas.openxmlformats.org/drawingml/2006/main">
                  <a:graphicData uri="http://schemas.microsoft.com/office/word/2010/wordprocessingShape">
                    <wps:wsp>
                      <wps:cNvSpPr/>
                      <wps:spPr>
                        <a:xfrm>
                          <a:off x="0" y="0"/>
                          <a:ext cx="0" cy="6732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65.25pt,-26.5pt" to="65.25pt,-21.25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828675</wp:posOffset>
                </wp:positionH>
                <wp:positionV relativeFrom="paragraph">
                  <wp:posOffset>-336550</wp:posOffset>
                </wp:positionV>
                <wp:extent cx="67310" cy="0"/>
                <wp:effectExtent l="635" t="635" r="635" b="635"/>
                <wp:wrapNone/>
                <wp:docPr id="58" name=""/>
                <a:graphic xmlns:a="http://schemas.openxmlformats.org/drawingml/2006/main">
                  <a:graphicData uri="http://schemas.microsoft.com/office/word/2010/wordprocessingShape">
                    <wps:wsp>
                      <wps:cNvSpPr/>
                      <wps:spPr>
                        <a:xfrm>
                          <a:off x="0" y="0"/>
                          <a:ext cx="67320" cy="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65.25pt,-26.5pt" to="70.5pt,-26.5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895985</wp:posOffset>
                </wp:positionH>
                <wp:positionV relativeFrom="paragraph">
                  <wp:posOffset>-336550</wp:posOffset>
                </wp:positionV>
                <wp:extent cx="0" cy="67310"/>
                <wp:effectExtent l="635" t="635" r="635" b="635"/>
                <wp:wrapNone/>
                <wp:docPr id="59" name=""/>
                <a:graphic xmlns:a="http://schemas.openxmlformats.org/drawingml/2006/main">
                  <a:graphicData uri="http://schemas.microsoft.com/office/word/2010/wordprocessingShape">
                    <wps:wsp>
                      <wps:cNvSpPr/>
                      <wps:spPr>
                        <a:xfrm>
                          <a:off x="0" y="0"/>
                          <a:ext cx="0" cy="67320"/>
                        </a:xfrm>
                        <a:prstGeom prst="line">
                          <a:avLst/>
                        </a:prstGeom>
                        <a:ln w="0">
                          <a:solidFill>
                            <a:srgbClr val="41af90"/>
                          </a:solidFill>
                        </a:ln>
                      </wps:spPr>
                      <wps:style>
                        <a:lnRef idx="0"/>
                        <a:fillRef idx="0"/>
                        <a:effectRef idx="0"/>
                        <a:fontRef idx="minor"/>
                      </wps:style>
                      <wps:bodyPr/>
                    </wps:wsp>
                  </a:graphicData>
                </a:graphic>
              </wp:anchor>
            </w:drawing>
          </mc:Choice>
          <mc:Fallback>
            <w:pict>
              <v:line id="shape_0" from="70.55pt,-26.5pt" to="70.55pt,-21.25pt" stroked="t" o:allowincell="f" style="position:absolute">
                <v:stroke color="#41af9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1223645</wp:posOffset>
                </wp:positionH>
                <wp:positionV relativeFrom="paragraph">
                  <wp:posOffset>-336550</wp:posOffset>
                </wp:positionV>
                <wp:extent cx="67310" cy="67310"/>
                <wp:effectExtent l="5080" t="5080" r="5080" b="5080"/>
                <wp:wrapNone/>
                <wp:docPr id="60" name=""/>
                <a:graphic xmlns:a="http://schemas.openxmlformats.org/drawingml/2006/main">
                  <a:graphicData uri="http://schemas.microsoft.com/office/word/2010/wordprocessingShape">
                    <wps:wsp>
                      <wps:cNvSpPr/>
                      <wps:spPr>
                        <a:xfrm>
                          <a:off x="0" y="0"/>
                          <a:ext cx="67320" cy="67320"/>
                        </a:xfrm>
                        <a:prstGeom prst="rect">
                          <a:avLst/>
                        </a:prstGeom>
                        <a:solidFill>
                          <a:srgbClr val="98002c"/>
                        </a:solidFill>
                        <a:ln w="9360">
                          <a:solidFill>
                            <a:srgbClr val="ffffff"/>
                          </a:solidFill>
                          <a:miter/>
                        </a:ln>
                      </wps:spPr>
                      <wps:style>
                        <a:lnRef idx="0"/>
                        <a:fillRef idx="0"/>
                        <a:effectRef idx="0"/>
                        <a:fontRef idx="minor"/>
                      </wps:style>
                      <wps:bodyPr/>
                    </wps:wsp>
                  </a:graphicData>
                </a:graphic>
              </wp:anchor>
            </w:drawing>
          </mc:Choice>
          <mc:Fallback>
            <w:pict>
              <v:rect id="shape_0" fillcolor="#98002c" stroked="t" o:allowincell="f" style="position:absolute;margin-left:96.35pt;margin-top:-26.5pt;width:5.25pt;height:5.25pt;mso-wrap-style:none;v-text-anchor:middle">
                <v:fill o:detectmouseclick="t" type="solid" color2="#67ffd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
                <wp:simplePos x="0" y="0"/>
                <wp:positionH relativeFrom="column">
                  <wp:posOffset>1223645</wp:posOffset>
                </wp:positionH>
                <wp:positionV relativeFrom="paragraph">
                  <wp:posOffset>-269240</wp:posOffset>
                </wp:positionV>
                <wp:extent cx="67310" cy="0"/>
                <wp:effectExtent l="635" t="635" r="635" b="635"/>
                <wp:wrapNone/>
                <wp:docPr id="61" name=""/>
                <a:graphic xmlns:a="http://schemas.openxmlformats.org/drawingml/2006/main">
                  <a:graphicData uri="http://schemas.microsoft.com/office/word/2010/wordprocessingShape">
                    <wps:wsp>
                      <wps:cNvSpPr/>
                      <wps:spPr>
                        <a:xfrm>
                          <a:off x="0" y="0"/>
                          <a:ext cx="67320" cy="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96.35pt,-21.2pt" to="101.6pt,-21.2pt" stroked="t" o:allowincell="f" style="position:absolute">
                <v:stroke color="#98002c"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1223645</wp:posOffset>
                </wp:positionH>
                <wp:positionV relativeFrom="paragraph">
                  <wp:posOffset>-336550</wp:posOffset>
                </wp:positionV>
                <wp:extent cx="0" cy="67310"/>
                <wp:effectExtent l="635" t="635" r="635" b="635"/>
                <wp:wrapNone/>
                <wp:docPr id="62" name=""/>
                <a:graphic xmlns:a="http://schemas.openxmlformats.org/drawingml/2006/main">
                  <a:graphicData uri="http://schemas.microsoft.com/office/word/2010/wordprocessingShape">
                    <wps:wsp>
                      <wps:cNvSpPr/>
                      <wps:spPr>
                        <a:xfrm>
                          <a:off x="0" y="0"/>
                          <a:ext cx="0" cy="6732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96.35pt,-26.5pt" to="96.35pt,-21.25pt" stroked="t" o:allowincell="f" style="position:absolute">
                <v:stroke color="#98002c"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1223645</wp:posOffset>
                </wp:positionH>
                <wp:positionV relativeFrom="paragraph">
                  <wp:posOffset>-336550</wp:posOffset>
                </wp:positionV>
                <wp:extent cx="67310" cy="0"/>
                <wp:effectExtent l="635" t="635" r="635" b="635"/>
                <wp:wrapNone/>
                <wp:docPr id="63" name=""/>
                <a:graphic xmlns:a="http://schemas.openxmlformats.org/drawingml/2006/main">
                  <a:graphicData uri="http://schemas.microsoft.com/office/word/2010/wordprocessingShape">
                    <wps:wsp>
                      <wps:cNvSpPr/>
                      <wps:spPr>
                        <a:xfrm>
                          <a:off x="0" y="0"/>
                          <a:ext cx="67320" cy="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96.35pt,-26.5pt" to="101.6pt,-26.5pt" stroked="t" o:allowincell="f" style="position:absolute">
                <v:stroke color="#98002c"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1290955</wp:posOffset>
                </wp:positionH>
                <wp:positionV relativeFrom="paragraph">
                  <wp:posOffset>-336550</wp:posOffset>
                </wp:positionV>
                <wp:extent cx="0" cy="67310"/>
                <wp:effectExtent l="635" t="635" r="635" b="635"/>
                <wp:wrapNone/>
                <wp:docPr id="64" name=""/>
                <a:graphic xmlns:a="http://schemas.openxmlformats.org/drawingml/2006/main">
                  <a:graphicData uri="http://schemas.microsoft.com/office/word/2010/wordprocessingShape">
                    <wps:wsp>
                      <wps:cNvSpPr/>
                      <wps:spPr>
                        <a:xfrm>
                          <a:off x="0" y="0"/>
                          <a:ext cx="0" cy="67320"/>
                        </a:xfrm>
                        <a:prstGeom prst="line">
                          <a:avLst/>
                        </a:prstGeom>
                        <a:ln w="0">
                          <a:solidFill>
                            <a:srgbClr val="98002c"/>
                          </a:solidFill>
                        </a:ln>
                      </wps:spPr>
                      <wps:style>
                        <a:lnRef idx="0"/>
                        <a:fillRef idx="0"/>
                        <a:effectRef idx="0"/>
                        <a:fontRef idx="minor"/>
                      </wps:style>
                      <wps:bodyPr/>
                    </wps:wsp>
                  </a:graphicData>
                </a:graphic>
              </wp:anchor>
            </w:drawing>
          </mc:Choice>
          <mc:Fallback>
            <w:pict>
              <v:line id="shape_0" from="101.65pt,-26.5pt" to="101.65pt,-21.25pt" stroked="t" o:allowincell="f" style="position:absolute">
                <v:stroke color="#98002c" joinstyle="miter" endcap="flat"/>
                <v:fill o:detectmouseclick="t" on="false"/>
                <w10:wrap type="none"/>
              </v:line>
            </w:pict>
          </mc:Fallback>
        </mc:AlternateContent>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3"/>
        <w:ind w:start="140" w:end="80"/>
        <w:rPr/>
      </w:pPr>
      <w:r>
        <w:rPr>
          <w:rFonts w:eastAsia="Arial" w:cs="Arial" w:ascii="Arial" w:hAnsi="Arial"/>
          <w:sz w:val="17"/>
        </w:rPr>
        <w:t>declines in moving frequencies that involve the transfer of ownership have been for renters transitioning to owner-occupiers and then owner-occupiers moving between dwellings.</w:t>
      </w:r>
      <w:r>
        <w:rPr>
          <w:rFonts w:eastAsia="Arial" w:cs="Arial" w:ascii="Arial" w:hAnsi="Arial"/>
          <w:sz w:val="10"/>
        </w:rPr>
        <w:t>3</w:t>
      </w:r>
      <w:r>
        <w:rPr>
          <w:rFonts w:eastAsia="Arial" w:cs="Arial" w:ascii="Arial" w:hAnsi="Arial"/>
          <w:sz w:val="17"/>
        </w:rPr>
        <w:t xml:space="preserve"> Even when controlling for various demographic and income characteristics which may affect the decision to move, the probability of owner-occupiers having moved in the previous year appears to have declined since the early 2000s, particularly if owner-occupiers were renters in the previous year.</w:t>
      </w:r>
    </w:p>
    <w:p>
      <w:pPr>
        <w:pStyle w:val="Normal"/>
        <w:spacing w:lineRule="exact" w:line="6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33"/>
        <w:ind w:start="140" w:end="60"/>
        <w:rPr/>
      </w:pPr>
      <w:r>
        <w:rPr>
          <w:rFonts w:eastAsia="Arial" w:cs="Arial" w:ascii="Arial" w:hAnsi="Arial"/>
          <w:sz w:val="17"/>
        </w:rPr>
        <w:t>The factors that affect the propensity of households to move, and therefore housing turnover, are closely related to the drivers of home ownership, which are explored in detail in RBA (2015). For example, the consequences of disinflation and financial deregulation included a significant increase in many households’ borrowing capacity during the late 1990s and early 2000s. This likely contributed to relatively high rates of housing turnover in that period. On the other hand, financial and other costs can discourage households from moving</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67">
                <wp:simplePos x="0" y="0"/>
                <wp:positionH relativeFrom="column">
                  <wp:posOffset>84455</wp:posOffset>
                </wp:positionH>
                <wp:positionV relativeFrom="paragraph">
                  <wp:posOffset>41275</wp:posOffset>
                </wp:positionV>
                <wp:extent cx="2376170" cy="0"/>
                <wp:effectExtent l="0" t="1905" r="0" b="1905"/>
                <wp:wrapNone/>
                <wp:docPr id="65" name=""/>
                <a:graphic xmlns:a="http://schemas.openxmlformats.org/drawingml/2006/main">
                  <a:graphicData uri="http://schemas.microsoft.com/office/word/2010/wordprocessingShape">
                    <wps:wsp>
                      <wps:cNvSpPr/>
                      <wps:spPr>
                        <a:xfrm>
                          <a:off x="0" y="0"/>
                          <a:ext cx="2376000" cy="0"/>
                        </a:xfrm>
                        <a:prstGeom prst="line">
                          <a:avLst/>
                        </a:prstGeom>
                        <a:ln w="3960">
                          <a:solidFill>
                            <a:srgbClr val="a2948f"/>
                          </a:solidFill>
                          <a:miter/>
                        </a:ln>
                      </wps:spPr>
                      <wps:style>
                        <a:lnRef idx="0"/>
                        <a:fillRef idx="0"/>
                        <a:effectRef idx="0"/>
                        <a:fontRef idx="minor"/>
                      </wps:style>
                      <wps:bodyPr/>
                    </wps:wsp>
                  </a:graphicData>
                </a:graphic>
              </wp:anchor>
            </w:drawing>
          </mc:Choice>
          <mc:Fallback>
            <w:pict>
              <v:line id="shape_0" from="6.65pt,3.25pt" to="193.7pt,3.25pt" stroked="t" o:allowincell="f" style="position:absolute">
                <v:stroke color="#a2948f" weight="3960" joinstyle="miter" endcap="flat"/>
                <v:fill o:detectmouseclick="t" on="false"/>
                <w10:wrap type="none"/>
              </v:line>
            </w:pict>
          </mc:Fallback>
        </mc:AlternateContent>
      </w:r>
    </w:p>
    <w:p>
      <w:pPr>
        <w:pStyle w:val="Normal"/>
        <w:spacing w:lineRule="exact" w:line="9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300" w:leader="none"/>
        </w:tabs>
        <w:spacing w:lineRule="auto" w:line="324"/>
        <w:ind w:hanging="166" w:start="300" w:end="0"/>
        <w:jc w:val="both"/>
        <w:rPr>
          <w:rFonts w:ascii="Arial" w:hAnsi="Arial" w:eastAsia="Arial" w:cs="Arial"/>
          <w:sz w:val="12"/>
        </w:rPr>
      </w:pPr>
      <w:r>
        <w:rPr>
          <w:rFonts w:eastAsia="Arial" w:cs="Arial" w:ascii="Arial" w:hAnsi="Arial"/>
          <w:sz w:val="12"/>
        </w:rPr>
        <w:t>The frequency with which renters move between dwellings has also declined, but these moves do not directly affect housing turnover as they do not involve the transfer of ownership.</w:t>
      </w:r>
    </w:p>
    <w:p>
      <w:pPr>
        <w:pStyle w:val="Normal"/>
        <w:spacing w:lineRule="atLeast" w:line="0"/>
        <w:ind w:start="1624" w:end="0"/>
        <w:rPr>
          <w:rFonts w:ascii="Arial" w:hAnsi="Arial" w:eastAsia="Arial" w:cs="Arial"/>
          <w:color w:val="005766"/>
          <w:sz w:val="14"/>
        </w:rPr>
      </w:pPr>
      <w:r>
        <w:br w:type="column"/>
      </w:r>
      <w:r>
        <w:rPr>
          <w:rFonts w:eastAsia="Arial" w:cs="Arial" w:ascii="Arial" w:hAnsi="Arial"/>
          <w:color w:val="005766"/>
          <w:sz w:val="14"/>
        </w:rPr>
        <w:t>HOUSING MARKET TURNOVER</w:t>
      </w:r>
    </w:p>
    <w:p>
      <w:pPr>
        <w:pStyle w:val="Normal"/>
        <w:spacing w:lineRule="exact" w:line="399"/>
        <w:rPr>
          <w:rFonts w:ascii="Times New Roman" w:hAnsi="Times New Roman" w:eastAsia="Times New Roman" w:cs="Times New Roman"/>
          <w:color w:val="005766"/>
          <w:sz w:val="14"/>
        </w:rPr>
      </w:pPr>
      <w:r>
        <w:rPr>
          <w:rFonts w:eastAsia="Times New Roman" w:cs="Times New Roman" w:ascii="Times New Roman" w:hAnsi="Times New Roman"/>
          <w:color w:val="005766"/>
          <w:sz w:val="14"/>
        </w:rPr>
      </w:r>
    </w:p>
    <w:p>
      <w:pPr>
        <w:pStyle w:val="Normal"/>
        <w:spacing w:lineRule="auto" w:line="331"/>
        <w:ind w:start="4" w:end="500"/>
        <w:rPr/>
      </w:pPr>
      <w:r>
        <w:rPr>
          <w:rFonts w:eastAsia="Arial" w:cs="Arial" w:ascii="Arial" w:hAnsi="Arial"/>
          <w:sz w:val="17"/>
        </w:rPr>
        <w:t>frequently, particularly when the purchase of a home is involved.</w:t>
      </w:r>
      <w:r>
        <w:rPr>
          <w:rFonts w:eastAsia="Arial" w:cs="Arial" w:ascii="Arial" w:hAnsi="Arial"/>
          <w:sz w:val="10"/>
        </w:rPr>
        <w:t>4</w:t>
      </w:r>
      <w:r>
        <w:rPr>
          <w:rFonts w:eastAsia="Arial" w:cs="Arial" w:ascii="Arial" w:hAnsi="Arial"/>
          <w:sz w:val="17"/>
        </w:rPr>
        <w:t xml:space="preserve"> Demographics are another important factor affecting home ownership and housing turnover. Regression analysis suggests that being in a relationship increases the probability of transitioning from being a renter to an owner-occupier and the probability of transitioning between dwellings as an owner-occupier. The magnitude of the effect is much larger for the former transition, suggesting that people are inclined to wait until partnering before purchasing a home. Higher incomes and higher levels of education are also particularly important factors that increase the probability of transitioning from renter to owner-occupier.</w:t>
      </w:r>
    </w:p>
    <w:p>
      <w:pPr>
        <w:pStyle w:val="Normal"/>
        <w:spacing w:lineRule="exact" w:line="6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31"/>
        <w:ind w:start="4" w:end="460"/>
        <w:rPr/>
      </w:pPr>
      <w:r>
        <w:rPr>
          <w:rFonts w:eastAsia="Arial" w:cs="Arial" w:ascii="Arial" w:hAnsi="Arial"/>
          <w:sz w:val="17"/>
        </w:rPr>
        <w:t>Another demographic factor potentially affecting housing turnover is the age composition of home owners. Data from the ABS Survey of Income and Housing show a small increase in the aggregate share of renter households, driven largely by households with a household head aged under 55 years (Graph 3). All else being equal, a larger proportion of renter households would be expected to reduce housing turnover, to the extent that turnover measures home sales as opposed to household moves.</w:t>
      </w:r>
      <w:r>
        <w:rPr>
          <w:rFonts w:eastAsia="Arial" w:cs="Arial" w:ascii="Arial" w:hAnsi="Arial"/>
          <w:sz w:val="10"/>
        </w:rPr>
        <w:t>5</w:t>
      </w:r>
      <w:r>
        <w:rPr>
          <w:rFonts w:eastAsia="Arial" w:cs="Arial" w:ascii="Arial" w:hAnsi="Arial"/>
          <w:sz w:val="17"/>
        </w:rPr>
        <w:t xml:space="preserve"> Given that renters tend to be disproportionately younger households, this suggests that older owner-occupier households represent a larger share of housing turnover than in the past. If these older households have a tendency to move less frequently (for example, because of more stable employment, established social networks and a preference to age in their own homes), this</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68">
                <wp:simplePos x="0" y="0"/>
                <wp:positionH relativeFrom="column">
                  <wp:posOffset>0</wp:posOffset>
                </wp:positionH>
                <wp:positionV relativeFrom="paragraph">
                  <wp:posOffset>74930</wp:posOffset>
                </wp:positionV>
                <wp:extent cx="2375535" cy="0"/>
                <wp:effectExtent l="0" t="1905" r="0" b="1905"/>
                <wp:wrapNone/>
                <wp:docPr id="66" name=""/>
                <a:graphic xmlns:a="http://schemas.openxmlformats.org/drawingml/2006/main">
                  <a:graphicData uri="http://schemas.microsoft.com/office/word/2010/wordprocessingShape">
                    <wps:wsp>
                      <wps:cNvSpPr/>
                      <wps:spPr>
                        <a:xfrm>
                          <a:off x="0" y="0"/>
                          <a:ext cx="2375640" cy="0"/>
                        </a:xfrm>
                        <a:prstGeom prst="line">
                          <a:avLst/>
                        </a:prstGeom>
                        <a:ln w="3960">
                          <a:solidFill>
                            <a:srgbClr val="a2948f"/>
                          </a:solidFill>
                          <a:miter/>
                        </a:ln>
                      </wps:spPr>
                      <wps:style>
                        <a:lnRef idx="0"/>
                        <a:fillRef idx="0"/>
                        <a:effectRef idx="0"/>
                        <a:fontRef idx="minor"/>
                      </wps:style>
                      <wps:bodyPr/>
                    </wps:wsp>
                  </a:graphicData>
                </a:graphic>
              </wp:anchor>
            </w:drawing>
          </mc:Choice>
          <mc:Fallback>
            <w:pict>
              <v:line id="shape_0" from="0pt,5.9pt" to="187pt,5.9pt" stroked="t" o:allowincell="f" style="position:absolute">
                <v:stroke color="#a2948f" weight="3960" joinstyle="miter" endcap="flat"/>
                <v:fill o:detectmouseclick="t" on="false"/>
                <w10:wrap type="none"/>
              </v:line>
            </w:pict>
          </mc:Fallback>
        </mc:AlternateContent>
      </w:r>
    </w:p>
    <w:p>
      <w:pPr>
        <w:pStyle w:val="Normal"/>
        <w:spacing w:lineRule="exact" w:line="15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164" w:leader="none"/>
        </w:tabs>
        <w:spacing w:lineRule="auto" w:line="391"/>
        <w:ind w:hanging="164" w:start="164" w:end="560"/>
        <w:rPr>
          <w:rFonts w:ascii="Arial" w:hAnsi="Arial" w:eastAsia="Arial" w:cs="Arial"/>
          <w:sz w:val="11"/>
        </w:rPr>
      </w:pPr>
      <w:r>
        <w:rPr>
          <w:rFonts w:eastAsia="Arial" w:cs="Arial" w:ascii="Arial" w:hAnsi="Arial"/>
          <w:sz w:val="11"/>
        </w:rPr>
        <w:t xml:space="preserve">However, the Australian data have not shown strong evidence that transaction costs impede household mobility (Flatau </w:t>
      </w:r>
      <w:r>
        <w:rPr>
          <w:rFonts w:eastAsia="Arial" w:cs="Arial" w:ascii="Arial" w:hAnsi="Arial"/>
          <w:i/>
          <w:sz w:val="11"/>
        </w:rPr>
        <w:t>et al</w:t>
      </w:r>
      <w:r>
        <w:rPr>
          <w:rFonts w:eastAsia="Arial" w:cs="Arial" w:ascii="Arial" w:hAnsi="Arial"/>
          <w:sz w:val="11"/>
        </w:rPr>
        <w:t xml:space="preserve"> 2002).</w:t>
      </w:r>
    </w:p>
    <w:p>
      <w:pPr>
        <w:pStyle w:val="Normal"/>
        <w:spacing w:lineRule="exact" w:line="3"/>
        <w:rPr>
          <w:rFonts w:ascii="Arial" w:hAnsi="Arial" w:eastAsia="Arial" w:cs="Arial"/>
          <w:sz w:val="11"/>
        </w:rPr>
      </w:pPr>
      <w:r>
        <w:rPr>
          <w:rFonts w:eastAsia="Arial" w:cs="Arial" w:ascii="Arial" w:hAnsi="Arial"/>
          <w:sz w:val="11"/>
        </w:rPr>
      </w:r>
    </w:p>
    <w:p>
      <w:pPr>
        <w:pStyle w:val="Normal"/>
        <w:numPr>
          <w:ilvl w:val="0"/>
          <w:numId w:val="5"/>
        </w:numPr>
        <w:tabs>
          <w:tab w:val="clear" w:pos="720"/>
          <w:tab w:val="left" w:pos="164" w:leader="none"/>
        </w:tabs>
        <w:spacing w:lineRule="auto" w:line="348"/>
        <w:ind w:hanging="164" w:start="164" w:end="440"/>
        <w:rPr>
          <w:rFonts w:ascii="Arial" w:hAnsi="Arial" w:eastAsia="Arial" w:cs="Arial"/>
          <w:sz w:val="11"/>
        </w:rPr>
      </w:pPr>
      <w:r>
        <w:rPr>
          <w:rFonts w:eastAsia="Arial" w:cs="Arial" w:ascii="Arial" w:hAnsi="Arial"/>
          <w:sz w:val="11"/>
        </w:rPr>
        <w:t>This would not be the case if the frequency at which investors bought and sold housing was greater than owner-occupiers. Unfortunately, the available turnover data are not disaggregated by owner-occupier and investor purchases. Data from the ABS Census and National Regional Profiles (for 2011 and 2013, respectively) provide some evidence that local government areas with higher rates of home ownership tend to report higher rates of housing turnover. This relationship holds even when controlling for other variables which may affect home ownership rates, such as income and age.</w:t>
      </w:r>
    </w:p>
    <w:p>
      <w:pPr>
        <w:sectPr>
          <w:type w:val="nextPage"/>
          <w:pgSz w:w="9978" w:h="14173"/>
          <w:pgMar w:left="1000" w:right="578" w:gutter="0" w:header="0" w:top="822" w:footer="0" w:bottom="0"/>
          <w:pgNumType w:fmt="decimal"/>
          <w:cols w:num="2" w:equalWidth="false" w:sep="false">
            <w:col w:w="3840" w:space="376"/>
            <w:col w:w="4184"/>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160" w:leader="none"/>
        </w:tabs>
        <w:spacing w:lineRule="atLeast" w:line="0"/>
        <w:ind w:start="5440" w:end="0"/>
        <w:rPr/>
      </w:pPr>
      <w:r>
        <w:rPr>
          <w:rFonts w:eastAsia="Arial" w:cs="Arial" w:ascii="Arial" w:hAnsi="Arial"/>
          <w:color w:val="005766"/>
          <w:sz w:val="14"/>
        </w:rPr>
        <w:t xml:space="preserve">BULLETIN </w:t>
      </w:r>
      <w:r>
        <w:rPr>
          <w:rFonts w:eastAsia="Arial" w:cs="Arial" w:ascii="Arial" w:hAnsi="Arial"/>
          <w:b/>
          <w:color w:val="005766"/>
          <w:sz w:val="14"/>
        </w:rPr>
        <w:t>|</w:t>
      </w:r>
      <w:r>
        <w:rPr>
          <w:rFonts w:eastAsia="Arial" w:cs="Arial" w:ascii="Arial" w:hAnsi="Arial"/>
          <w:b/>
          <w:color w:val="000000"/>
          <w:sz w:val="14"/>
        </w:rPr>
        <w:t xml:space="preserve"> MARCH QUARTER 2017</w:t>
      </w:r>
      <w:r>
        <w:rPr>
          <w:rFonts w:eastAsia="Times New Roman" w:cs="Times New Roman" w:ascii="Times New Roman" w:hAnsi="Times New Roman"/>
        </w:rPr>
        <w:tab/>
      </w:r>
      <w:r>
        <w:rPr>
          <w:rFonts w:eastAsia="Arial" w:cs="Arial" w:ascii="Arial" w:hAnsi="Arial"/>
          <w:b/>
          <w:sz w:val="15"/>
        </w:rPr>
        <w:t>2 3</w:t>
      </w:r>
    </w:p>
    <w:p>
      <w:pPr>
        <w:sectPr>
          <w:type w:val="continuous"/>
          <w:pgSz w:w="9978" w:h="14173"/>
          <w:pgMar w:left="1000" w:right="578" w:gutter="0" w:header="0" w:top="822" w:footer="0" w:bottom="0"/>
          <w:formProt w:val="false"/>
          <w:textDirection w:val="lrTb"/>
          <w:docGrid w:type="default" w:linePitch="360" w:charSpace="0"/>
        </w:sectPr>
      </w:pPr>
    </w:p>
    <w:p>
      <w:pPr>
        <w:pStyle w:val="Normal"/>
        <w:spacing w:lineRule="atLeast" w:line="0"/>
        <w:ind w:start="420" w:end="0"/>
        <w:rPr>
          <w:rFonts w:ascii="Arial" w:hAnsi="Arial" w:eastAsia="Arial" w:cs="Arial"/>
          <w:color w:val="005766"/>
          <w:sz w:val="14"/>
        </w:rPr>
      </w:pPr>
      <w:bookmarkStart w:id="5" w:name="page4"/>
      <w:bookmarkEnd w:id="5"/>
      <w:r>
        <w:rPr>
          <w:rFonts w:eastAsia="Arial" w:cs="Arial" w:ascii="Arial" w:hAnsi="Arial"/>
          <w:color w:val="005766"/>
          <w:sz w:val="14"/>
        </w:rPr>
        <w:t>HOUSING MARKET TURNOVER</w:t>
      </w:r>
    </w:p>
    <w:p>
      <w:pPr>
        <w:sectPr>
          <w:type w:val="nextPage"/>
          <w:pgSz w:w="9978" w:h="14173"/>
          <w:pgMar w:left="600" w:right="998" w:gutter="0" w:header="0" w:top="822" w:footer="0" w:bottom="0"/>
          <w:pgNumType w:fmt="decimal"/>
          <w:formProt w:val="false"/>
          <w:textDirection w:val="lrTb"/>
          <w:docGrid w:type="default" w:linePitch="360" w:charSpace="0"/>
        </w:sectPr>
      </w:pPr>
    </w:p>
    <w:p>
      <w:pPr>
        <w:pStyle w:val="Normal"/>
        <w:spacing w:lineRule="exact" w:line="373"/>
        <w:rPr>
          <w:rFonts w:ascii="Times New Roman" w:hAnsi="Times New Roman" w:eastAsia="Times New Roman" w:cs="Times New Roman"/>
          <w:color w:val="005766"/>
          <w:sz w:val="14"/>
        </w:rPr>
      </w:pPr>
      <w:r>
        <w:rPr>
          <w:rFonts w:eastAsia="Times New Roman" w:cs="Times New Roman" w:ascii="Times New Roman" w:hAnsi="Times New Roman"/>
          <w:color w:val="005766"/>
          <w:sz w:val="14"/>
        </w:rPr>
      </w:r>
    </w:p>
    <w:tbl>
      <w:tblPr>
        <w:tblW w:w="7940" w:type="dxa"/>
        <w:jc w:val="start"/>
        <w:tblInd w:w="260" w:type="dxa"/>
        <w:tblLayout w:type="fixed"/>
        <w:tblCellMar>
          <w:top w:w="0" w:type="dxa"/>
          <w:start w:w="0" w:type="dxa"/>
          <w:bottom w:w="0" w:type="dxa"/>
          <w:end w:w="0" w:type="dxa"/>
        </w:tblCellMar>
      </w:tblPr>
      <w:tblGrid>
        <w:gridCol w:w="220"/>
        <w:gridCol w:w="1720"/>
        <w:gridCol w:w="1760"/>
        <w:gridCol w:w="360"/>
        <w:gridCol w:w="400"/>
        <w:gridCol w:w="400"/>
        <w:gridCol w:w="620"/>
        <w:gridCol w:w="660"/>
        <w:gridCol w:w="760"/>
        <w:gridCol w:w="700"/>
        <w:gridCol w:w="340"/>
      </w:tblGrid>
      <w:tr>
        <w:trPr>
          <w:trHeight w:val="247"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80" w:type="dxa"/>
            <w:gridSpan w:val="2"/>
            <w:tcBorders/>
          </w:tcPr>
          <w:p>
            <w:pPr>
              <w:pStyle w:val="Normal"/>
              <w:spacing w:lineRule="atLeast" w:line="0"/>
              <w:jc w:val="center"/>
              <w:rPr>
                <w:rFonts w:ascii="Arial" w:hAnsi="Arial" w:eastAsia="Arial" w:cs="Arial"/>
                <w:b/>
              </w:rPr>
            </w:pPr>
            <w:r>
              <w:rPr>
                <w:rFonts w:eastAsia="Arial" w:cs="Arial" w:ascii="Arial" w:hAnsi="Arial"/>
                <w:b/>
              </w:rPr>
              <w:t>Graph 3</w:t>
            </w:r>
          </w:p>
        </w:tc>
        <w:tc>
          <w:tcPr>
            <w:tcW w:w="36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20" w:type="dxa"/>
            <w:gridSpan w:val="2"/>
            <w:tcBorders/>
          </w:tcPr>
          <w:p>
            <w:pPr>
              <w:pStyle w:val="Normal"/>
              <w:spacing w:lineRule="atLeast" w:line="0"/>
              <w:jc w:val="center"/>
              <w:rPr>
                <w:rFonts w:ascii="Arial" w:hAnsi="Arial" w:eastAsia="Arial" w:cs="Arial"/>
                <w:b/>
              </w:rPr>
            </w:pPr>
            <w:r>
              <w:rPr>
                <w:rFonts w:eastAsia="Arial" w:cs="Arial" w:ascii="Arial" w:hAnsi="Arial"/>
                <w:b/>
              </w:rPr>
              <w:t>Graph 4</w:t>
            </w:r>
          </w:p>
        </w:tc>
        <w:tc>
          <w:tcPr>
            <w:tcW w:w="7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6" w:hRule="atLeast"/>
        </w:trPr>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80" w:type="dxa"/>
            <w:gridSpan w:val="2"/>
            <w:tcBorders/>
          </w:tcPr>
          <w:p>
            <w:pPr>
              <w:pStyle w:val="Normal"/>
              <w:spacing w:lineRule="atLeast" w:line="0"/>
              <w:jc w:val="center"/>
              <w:rPr>
                <w:rFonts w:ascii="Arial" w:hAnsi="Arial" w:eastAsia="Arial" w:cs="Arial"/>
                <w:b/>
                <w:sz w:val="18"/>
              </w:rPr>
            </w:pPr>
            <w:r>
              <w:rPr>
                <w:rFonts w:eastAsia="Arial" w:cs="Arial" w:ascii="Arial" w:hAnsi="Arial"/>
                <w:b/>
                <w:sz w:val="18"/>
              </w:rPr>
              <w:t>Composition of Housing</w:t>
            </w:r>
          </w:p>
        </w:tc>
        <w:tc>
          <w:tcPr>
            <w:tcW w:w="36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80" w:type="dxa"/>
            <w:gridSpan w:val="6"/>
            <w:tcBorders/>
          </w:tcPr>
          <w:p>
            <w:pPr>
              <w:pStyle w:val="Normal"/>
              <w:spacing w:lineRule="atLeast" w:line="0"/>
              <w:jc w:val="center"/>
              <w:rPr>
                <w:rFonts w:ascii="Arial" w:hAnsi="Arial" w:eastAsia="Arial" w:cs="Arial"/>
                <w:b/>
                <w:sz w:val="18"/>
              </w:rPr>
            </w:pPr>
            <w:r>
              <w:rPr>
                <w:rFonts w:eastAsia="Arial" w:cs="Arial" w:ascii="Arial" w:hAnsi="Arial"/>
                <w:b/>
                <w:sz w:val="18"/>
              </w:rPr>
              <w:t>Housing Turnover and Migration Rates</w:t>
            </w:r>
          </w:p>
        </w:tc>
      </w:tr>
      <w:tr>
        <w:trPr>
          <w:trHeight w:val="237" w:hRule="atLeast"/>
        </w:trPr>
        <w:tc>
          <w:tcPr>
            <w:tcW w:w="22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3480" w:type="dxa"/>
            <w:gridSpan w:val="2"/>
            <w:tcBorders/>
          </w:tcPr>
          <w:p>
            <w:pPr>
              <w:pStyle w:val="Normal"/>
              <w:spacing w:lineRule="atLeast" w:line="0"/>
              <w:jc w:val="center"/>
              <w:rPr>
                <w:rFonts w:ascii="Arial" w:hAnsi="Arial" w:eastAsia="Arial" w:cs="Arial"/>
                <w:b/>
                <w:sz w:val="18"/>
              </w:rPr>
            </w:pPr>
            <w:r>
              <w:rPr>
                <w:rFonts w:eastAsia="Arial" w:cs="Arial" w:ascii="Arial" w:hAnsi="Arial"/>
                <w:b/>
                <w:sz w:val="18"/>
              </w:rPr>
              <w:t>Tenure Over Time*</w:t>
            </w:r>
          </w:p>
        </w:tc>
        <w:tc>
          <w:tcPr>
            <w:tcW w:w="3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400" w:type="dxa"/>
            <w:vMerge w:val="restart"/>
            <w:tcBorders/>
          </w:tcPr>
          <w:p>
            <w:pPr>
              <w:pStyle w:val="Normal"/>
              <w:spacing w:lineRule="atLeast" w:line="0"/>
              <w:jc w:val="end"/>
              <w:rPr>
                <w:rFonts w:ascii="Arial" w:hAnsi="Arial" w:eastAsia="Arial" w:cs="Arial"/>
                <w:sz w:val="13"/>
              </w:rPr>
            </w:pPr>
            <w:r>
              <w:rPr>
                <w:rFonts w:eastAsia="Arial" w:cs="Arial" w:ascii="Arial" w:hAnsi="Arial"/>
                <w:sz w:val="13"/>
              </w:rPr>
              <w:t>%</w:t>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gridSpan w:val="2"/>
            <w:tcBorders/>
          </w:tcPr>
          <w:p>
            <w:pPr>
              <w:pStyle w:val="Normal"/>
              <w:spacing w:lineRule="atLeast" w:line="0"/>
              <w:jc w:val="center"/>
              <w:rPr>
                <w:rFonts w:ascii="Arial" w:hAnsi="Arial" w:eastAsia="Arial" w:cs="Arial"/>
                <w:sz w:val="13"/>
              </w:rPr>
            </w:pPr>
            <w:r>
              <w:rPr>
                <w:rFonts w:eastAsia="Arial" w:cs="Arial" w:ascii="Arial" w:hAnsi="Arial"/>
                <w:sz w:val="13"/>
              </w:rPr>
              <w:t>Seasonally adjusted</w:t>
            </w:r>
          </w:p>
        </w:tc>
        <w:tc>
          <w:tcPr>
            <w:tcW w:w="7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98" w:hRule="atLeast"/>
        </w:trPr>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80" w:type="dxa"/>
            <w:gridSpan w:val="2"/>
            <w:vMerge w:val="restart"/>
            <w:tcBorders/>
          </w:tcPr>
          <w:p>
            <w:pPr>
              <w:pStyle w:val="Normal"/>
              <w:spacing w:lineRule="atLeast" w:line="0"/>
              <w:jc w:val="center"/>
              <w:rPr>
                <w:rFonts w:ascii="Arial" w:hAnsi="Arial" w:eastAsia="Arial" w:cs="Arial"/>
                <w:sz w:val="13"/>
              </w:rPr>
            </w:pPr>
            <w:r>
              <w:rPr>
                <w:rFonts w:eastAsia="Arial" w:cs="Arial" w:ascii="Arial" w:hAnsi="Arial"/>
                <w:sz w:val="13"/>
              </w:rPr>
              <w:t>Share of household heads by age group</w:t>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60" w:type="dxa"/>
            <w:gridSpan w:val="2"/>
            <w:vMerge w:val="restart"/>
            <w:tcBorders/>
          </w:tcPr>
          <w:p>
            <w:pPr>
              <w:pStyle w:val="Normal"/>
              <w:spacing w:lineRule="atLeast" w:line="0"/>
              <w:jc w:val="center"/>
              <w:rPr>
                <w:rFonts w:ascii="Arial" w:hAnsi="Arial" w:eastAsia="Arial" w:cs="Arial"/>
                <w:color w:val="DD0C8B"/>
                <w:sz w:val="13"/>
              </w:rPr>
            </w:pPr>
            <w:r>
              <w:rPr>
                <w:rFonts w:eastAsia="Arial" w:cs="Arial" w:ascii="Arial" w:hAnsi="Arial"/>
                <w:color w:val="DD0C8B"/>
                <w:sz w:val="13"/>
              </w:rPr>
              <w:t>Housing turnover rate*</w:t>
            </w:r>
          </w:p>
        </w:tc>
        <w:tc>
          <w:tcPr>
            <w:tcW w:w="340" w:type="dxa"/>
            <w:tcBorders/>
          </w:tcPr>
          <w:p>
            <w:pPr>
              <w:pStyle w:val="Normal"/>
              <w:snapToGrid w:val="false"/>
              <w:spacing w:lineRule="atLeast" w:line="0"/>
              <w:rPr>
                <w:rFonts w:ascii="Times New Roman" w:hAnsi="Times New Roman" w:eastAsia="Times New Roman" w:cs="Times New Roman"/>
                <w:color w:val="DD0C8B"/>
                <w:sz w:val="8"/>
              </w:rPr>
            </w:pPr>
            <w:r>
              <w:rPr>
                <w:rFonts w:eastAsia="Times New Roman" w:cs="Times New Roman" w:ascii="Times New Roman" w:hAnsi="Times New Roman"/>
                <w:color w:val="DD0C8B"/>
                <w:sz w:val="8"/>
              </w:rPr>
            </w:r>
          </w:p>
        </w:tc>
      </w:tr>
      <w:tr>
        <w:trPr>
          <w:trHeight w:val="68" w:hRule="atLeast"/>
        </w:trPr>
        <w:tc>
          <w:tcPr>
            <w:tcW w:w="220" w:type="dxa"/>
            <w:vMerge w:val="restart"/>
            <w:tcBorders/>
          </w:tcPr>
          <w:p>
            <w:pPr>
              <w:pStyle w:val="Normal"/>
              <w:spacing w:lineRule="atLeast" w:line="0"/>
              <w:ind w:end="16"/>
              <w:jc w:val="end"/>
              <w:rPr>
                <w:rFonts w:ascii="Arial" w:hAnsi="Arial" w:eastAsia="Arial" w:cs="Arial"/>
                <w:sz w:val="13"/>
              </w:rPr>
            </w:pPr>
            <w:r>
              <w:rPr>
                <w:rFonts w:eastAsia="Arial" w:cs="Arial" w:ascii="Arial" w:hAnsi="Arial"/>
                <w:sz w:val="13"/>
              </w:rPr>
              <w:t>%</w:t>
            </w:r>
          </w:p>
        </w:tc>
        <w:tc>
          <w:tcPr>
            <w:tcW w:w="348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vMerge w:val="restart"/>
            <w:tcBorders/>
          </w:tcPr>
          <w:p>
            <w:pPr>
              <w:pStyle w:val="Normal"/>
              <w:spacing w:lineRule="atLeast" w:line="0"/>
              <w:ind w:start="60" w:end="0"/>
              <w:rPr>
                <w:rFonts w:ascii="Arial" w:hAnsi="Arial" w:eastAsia="Arial" w:cs="Arial"/>
                <w:sz w:val="13"/>
              </w:rPr>
            </w:pPr>
            <w:r>
              <w:rPr>
                <w:rFonts w:eastAsia="Arial" w:cs="Arial" w:ascii="Arial" w:hAnsi="Arial"/>
                <w:sz w:val="13"/>
              </w:rPr>
              <w:t>%</w:t>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6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72" w:hRule="atLeast"/>
        </w:trPr>
        <w:tc>
          <w:tcPr>
            <w:tcW w:w="22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20" w:type="dxa"/>
            <w:vMerge w:val="restart"/>
            <w:tcBorders/>
          </w:tcPr>
          <w:p>
            <w:pPr>
              <w:pStyle w:val="Normal"/>
              <w:spacing w:lineRule="atLeast" w:line="0"/>
              <w:jc w:val="center"/>
              <w:rPr>
                <w:rFonts w:ascii="Arial" w:hAnsi="Arial" w:eastAsia="Arial" w:cs="Arial"/>
                <w:sz w:val="13"/>
              </w:rPr>
            </w:pPr>
            <w:r>
              <w:rPr>
                <w:rFonts w:eastAsia="Arial" w:cs="Arial" w:ascii="Arial" w:hAnsi="Arial"/>
                <w:sz w:val="13"/>
              </w:rPr>
              <w:t>Total</w:t>
            </w:r>
          </w:p>
        </w:tc>
        <w:tc>
          <w:tcPr>
            <w:tcW w:w="1760" w:type="dxa"/>
            <w:vMerge w:val="restart"/>
            <w:tcBorders/>
          </w:tcPr>
          <w:p>
            <w:pPr>
              <w:pStyle w:val="Normal"/>
              <w:spacing w:lineRule="atLeast" w:line="0"/>
              <w:jc w:val="center"/>
              <w:rPr/>
            </w:pPr>
            <w:r>
              <w:rPr>
                <w:rFonts w:eastAsia="Arial" w:cs="Arial" w:ascii="Arial" w:hAnsi="Arial"/>
                <w:sz w:val="13"/>
              </w:rPr>
              <w:t>18–34 years</w:t>
            </w:r>
          </w:p>
        </w:tc>
        <w:tc>
          <w:tcPr>
            <w:tcW w:w="3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vMerge w:val="restart"/>
            <w:tcBorders/>
          </w:tcPr>
          <w:p>
            <w:pPr>
              <w:pStyle w:val="Normal"/>
              <w:spacing w:lineRule="atLeast" w:line="0"/>
              <w:jc w:val="end"/>
              <w:rPr>
                <w:rFonts w:ascii="Arial" w:hAnsi="Arial" w:eastAsia="Arial" w:cs="Arial"/>
                <w:sz w:val="13"/>
              </w:rPr>
            </w:pPr>
            <w:r>
              <w:rPr>
                <w:rFonts w:eastAsia="Arial" w:cs="Arial" w:ascii="Arial" w:hAnsi="Arial"/>
                <w:sz w:val="13"/>
              </w:rPr>
              <w:t>2.0</w:t>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60" w:type="dxa"/>
            <w:gridSpan w:val="2"/>
            <w:tcBorders/>
          </w:tcPr>
          <w:p>
            <w:pPr>
              <w:pStyle w:val="Normal"/>
              <w:spacing w:lineRule="atLeast" w:line="0"/>
              <w:ind w:start="36" w:end="0"/>
              <w:jc w:val="center"/>
              <w:rPr>
                <w:rFonts w:ascii="Arial" w:hAnsi="Arial" w:eastAsia="Arial" w:cs="Arial"/>
                <w:color w:val="DD0C8B"/>
                <w:w w:val="95"/>
                <w:sz w:val="12"/>
              </w:rPr>
            </w:pPr>
            <w:r>
              <w:rPr>
                <w:rFonts w:eastAsia="Arial" w:cs="Arial" w:ascii="Arial" w:hAnsi="Arial"/>
                <w:color w:val="DD0C8B"/>
                <w:w w:val="95"/>
                <w:sz w:val="12"/>
              </w:rPr>
              <w:t>(RHS)</w:t>
            </w:r>
          </w:p>
        </w:tc>
        <w:tc>
          <w:tcPr>
            <w:tcW w:w="340" w:type="dxa"/>
            <w:tcBorders/>
          </w:tcPr>
          <w:p>
            <w:pPr>
              <w:pStyle w:val="Normal"/>
              <w:snapToGrid w:val="false"/>
              <w:spacing w:lineRule="atLeast" w:line="0"/>
              <w:rPr>
                <w:rFonts w:ascii="Times New Roman" w:hAnsi="Times New Roman" w:eastAsia="Times New Roman" w:cs="Times New Roman"/>
                <w:color w:val="DD0C8B"/>
                <w:w w:val="95"/>
                <w:sz w:val="14"/>
              </w:rPr>
            </w:pPr>
            <w:r>
              <w:rPr>
                <w:rFonts w:eastAsia="Times New Roman" w:cs="Times New Roman" w:ascii="Times New Roman" w:hAnsi="Times New Roman"/>
                <w:color w:val="DD0C8B"/>
                <w:w w:val="95"/>
                <w:sz w:val="14"/>
              </w:rPr>
            </w:r>
          </w:p>
        </w:tc>
      </w:tr>
      <w:tr>
        <w:trPr>
          <w:trHeight w:val="49" w:hRule="atLeast"/>
        </w:trPr>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92" w:hRule="atLeast"/>
        </w:trPr>
        <w:tc>
          <w:tcPr>
            <w:tcW w:w="220" w:type="dxa"/>
            <w:vMerge w:val="restart"/>
            <w:tcBorders/>
          </w:tcPr>
          <w:p>
            <w:pPr>
              <w:pStyle w:val="Normal"/>
              <w:spacing w:lineRule="atLeast" w:line="0"/>
              <w:ind w:end="16"/>
              <w:jc w:val="end"/>
              <w:rPr>
                <w:rFonts w:ascii="Arial" w:hAnsi="Arial" w:eastAsia="Arial" w:cs="Arial"/>
                <w:w w:val="82"/>
                <w:sz w:val="13"/>
              </w:rPr>
            </w:pPr>
            <w:r>
              <w:rPr>
                <w:rFonts w:eastAsia="Arial" w:cs="Arial" w:ascii="Arial" w:hAnsi="Arial"/>
                <w:w w:val="82"/>
                <w:sz w:val="13"/>
              </w:rPr>
              <w:t>60</w:t>
            </w:r>
          </w:p>
        </w:tc>
        <w:tc>
          <w:tcPr>
            <w:tcW w:w="1720" w:type="dxa"/>
            <w:tcBorders/>
          </w:tcPr>
          <w:p>
            <w:pPr>
              <w:pStyle w:val="Normal"/>
              <w:snapToGrid w:val="false"/>
              <w:spacing w:lineRule="atLeast" w:line="0"/>
              <w:rPr>
                <w:rFonts w:ascii="Times New Roman" w:hAnsi="Times New Roman" w:eastAsia="Times New Roman" w:cs="Times New Roman"/>
                <w:w w:val="82"/>
                <w:sz w:val="7"/>
              </w:rPr>
            </w:pPr>
            <w:r>
              <w:rPr>
                <w:rFonts w:eastAsia="Times New Roman" w:cs="Times New Roman" w:ascii="Times New Roman" w:hAnsi="Times New Roman"/>
                <w:w w:val="82"/>
                <w:sz w:val="7"/>
              </w:rPr>
            </w:r>
          </w:p>
        </w:tc>
        <w:tc>
          <w:tcPr>
            <w:tcW w:w="17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vMerge w:val="restart"/>
            <w:tcBorders/>
          </w:tcPr>
          <w:p>
            <w:pPr>
              <w:pStyle w:val="Normal"/>
              <w:spacing w:lineRule="atLeast" w:line="0"/>
              <w:ind w:start="60" w:end="0"/>
              <w:rPr>
                <w:rFonts w:ascii="Arial" w:hAnsi="Arial" w:eastAsia="Arial" w:cs="Arial"/>
                <w:sz w:val="13"/>
              </w:rPr>
            </w:pPr>
            <w:r>
              <w:rPr>
                <w:rFonts w:eastAsia="Arial" w:cs="Arial" w:ascii="Arial" w:hAnsi="Arial"/>
                <w:sz w:val="13"/>
              </w:rPr>
              <w:t>60</w:t>
            </w:r>
          </w:p>
        </w:tc>
        <w:tc>
          <w:tcPr>
            <w:tcW w:w="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31" w:hRule="atLeast"/>
        </w:trPr>
        <w:tc>
          <w:tcPr>
            <w:tcW w:w="2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28" w:hRule="atLeast"/>
        </w:trPr>
        <w:tc>
          <w:tcPr>
            <w:tcW w:w="220" w:type="dxa"/>
            <w:tcBorders/>
          </w:tcPr>
          <w:p>
            <w:pPr>
              <w:pStyle w:val="Normal"/>
              <w:spacing w:lineRule="atLeast" w:line="0"/>
              <w:ind w:end="16"/>
              <w:jc w:val="end"/>
              <w:rPr>
                <w:rFonts w:ascii="Arial" w:hAnsi="Arial" w:eastAsia="Arial" w:cs="Arial"/>
                <w:w w:val="82"/>
                <w:sz w:val="13"/>
              </w:rPr>
            </w:pPr>
            <w:r>
              <w:rPr>
                <w:rFonts w:eastAsia="Arial" w:cs="Arial" w:ascii="Arial" w:hAnsi="Arial"/>
                <w:w w:val="82"/>
                <w:sz w:val="13"/>
              </w:rPr>
              <w:t>40</w:t>
            </w:r>
          </w:p>
        </w:tc>
        <w:tc>
          <w:tcPr>
            <w:tcW w:w="1720" w:type="dxa"/>
            <w:tcBorders/>
          </w:tcPr>
          <w:p>
            <w:pPr>
              <w:pStyle w:val="Normal"/>
              <w:snapToGrid w:val="false"/>
              <w:spacing w:lineRule="atLeast" w:line="0"/>
              <w:rPr>
                <w:rFonts w:ascii="Times New Roman" w:hAnsi="Times New Roman" w:eastAsia="Times New Roman" w:cs="Times New Roman"/>
                <w:w w:val="82"/>
                <w:sz w:val="24"/>
              </w:rPr>
            </w:pPr>
            <w:r>
              <w:rPr>
                <w:rFonts w:eastAsia="Times New Roman" w:cs="Times New Roman" w:ascii="Times New Roman" w:hAnsi="Times New Roman"/>
                <w:w w:val="82"/>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pacing w:lineRule="atLeast" w:line="0"/>
              <w:ind w:start="60" w:end="0"/>
              <w:rPr>
                <w:rFonts w:ascii="Arial" w:hAnsi="Arial" w:eastAsia="Arial" w:cs="Arial"/>
                <w:sz w:val="13"/>
              </w:rPr>
            </w:pPr>
            <w:r>
              <w:rPr>
                <w:rFonts w:eastAsia="Arial" w:cs="Arial" w:ascii="Arial" w:hAnsi="Arial"/>
                <w:sz w:val="13"/>
              </w:rPr>
              <w:t>40</w:t>
            </w:r>
          </w:p>
        </w:tc>
        <w:tc>
          <w:tcPr>
            <w:tcW w:w="400" w:type="dxa"/>
            <w:tcBorders/>
          </w:tcPr>
          <w:p>
            <w:pPr>
              <w:pStyle w:val="Normal"/>
              <w:spacing w:lineRule="atLeast" w:line="0"/>
              <w:jc w:val="end"/>
              <w:rPr>
                <w:rFonts w:ascii="Arial" w:hAnsi="Arial" w:eastAsia="Arial" w:cs="Arial"/>
                <w:sz w:val="13"/>
              </w:rPr>
            </w:pPr>
            <w:r>
              <w:rPr>
                <w:rFonts w:eastAsia="Arial" w:cs="Arial" w:ascii="Arial" w:hAnsi="Arial"/>
                <w:sz w:val="13"/>
              </w:rPr>
              <w:t>1.5</w:t>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3"/>
            <w:vMerge w:val="restart"/>
            <w:tcBorders/>
          </w:tcPr>
          <w:p>
            <w:pPr>
              <w:pStyle w:val="Normal"/>
              <w:spacing w:lineRule="atLeast" w:line="0"/>
              <w:jc w:val="center"/>
              <w:rPr>
                <w:rFonts w:ascii="Arial" w:hAnsi="Arial" w:eastAsia="Arial" w:cs="Arial"/>
                <w:color w:val="63BE9E"/>
                <w:sz w:val="13"/>
              </w:rPr>
            </w:pPr>
            <w:r>
              <w:rPr>
                <w:rFonts w:eastAsia="Arial" w:cs="Arial" w:ascii="Arial" w:hAnsi="Arial"/>
                <w:color w:val="63BE9E"/>
                <w:sz w:val="13"/>
              </w:rPr>
              <w:t>Interstate migration rate**</w:t>
            </w:r>
          </w:p>
        </w:tc>
        <w:tc>
          <w:tcPr>
            <w:tcW w:w="700" w:type="dxa"/>
            <w:tcBorders/>
          </w:tcPr>
          <w:p>
            <w:pPr>
              <w:pStyle w:val="Normal"/>
              <w:snapToGrid w:val="false"/>
              <w:spacing w:lineRule="atLeast" w:line="0"/>
              <w:rPr>
                <w:rFonts w:ascii="Times New Roman" w:hAnsi="Times New Roman" w:eastAsia="Times New Roman" w:cs="Times New Roman"/>
                <w:color w:val="63BE9E"/>
                <w:sz w:val="24"/>
              </w:rPr>
            </w:pPr>
            <w:r>
              <w:rPr>
                <w:rFonts w:eastAsia="Times New Roman" w:cs="Times New Roman" w:ascii="Times New Roman" w:hAnsi="Times New Roman"/>
                <w:color w:val="63BE9E"/>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8" w:hRule="atLeast"/>
        </w:trPr>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4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58" w:hRule="atLeast"/>
        </w:trPr>
        <w:tc>
          <w:tcPr>
            <w:tcW w:w="220" w:type="dxa"/>
            <w:vMerge w:val="restart"/>
            <w:tcBorders/>
          </w:tcPr>
          <w:p>
            <w:pPr>
              <w:pStyle w:val="Normal"/>
              <w:spacing w:lineRule="atLeast" w:line="0"/>
              <w:ind w:end="16"/>
              <w:jc w:val="end"/>
              <w:rPr>
                <w:rFonts w:ascii="Arial" w:hAnsi="Arial" w:eastAsia="Arial" w:cs="Arial"/>
                <w:w w:val="82"/>
                <w:sz w:val="13"/>
              </w:rPr>
            </w:pPr>
            <w:r>
              <w:rPr>
                <w:rFonts w:eastAsia="Arial" w:cs="Arial" w:ascii="Arial" w:hAnsi="Arial"/>
                <w:w w:val="82"/>
                <w:sz w:val="13"/>
              </w:rPr>
              <w:t>20</w:t>
            </w:r>
          </w:p>
        </w:tc>
        <w:tc>
          <w:tcPr>
            <w:tcW w:w="1720" w:type="dxa"/>
            <w:tcBorders/>
          </w:tcPr>
          <w:p>
            <w:pPr>
              <w:pStyle w:val="Normal"/>
              <w:snapToGrid w:val="false"/>
              <w:spacing w:lineRule="atLeast" w:line="0"/>
              <w:rPr>
                <w:rFonts w:ascii="Times New Roman" w:hAnsi="Times New Roman" w:eastAsia="Times New Roman" w:cs="Times New Roman"/>
                <w:w w:val="82"/>
                <w:sz w:val="13"/>
              </w:rPr>
            </w:pPr>
            <w:r>
              <w:rPr>
                <w:rFonts w:eastAsia="Times New Roman" w:cs="Times New Roman" w:ascii="Times New Roman" w:hAnsi="Times New Roman"/>
                <w:w w:val="82"/>
                <w:sz w:val="13"/>
              </w:rPr>
            </w:r>
          </w:p>
        </w:tc>
        <w:tc>
          <w:tcPr>
            <w:tcW w:w="17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vMerge w:val="restart"/>
            <w:tcBorders/>
          </w:tcPr>
          <w:p>
            <w:pPr>
              <w:pStyle w:val="Normal"/>
              <w:spacing w:lineRule="atLeast" w:line="0"/>
              <w:ind w:start="60" w:end="0"/>
              <w:rPr>
                <w:rFonts w:ascii="Arial" w:hAnsi="Arial" w:eastAsia="Arial" w:cs="Arial"/>
                <w:sz w:val="13"/>
              </w:rPr>
            </w:pPr>
            <w:r>
              <w:rPr>
                <w:rFonts w:eastAsia="Arial" w:cs="Arial" w:ascii="Arial" w:hAnsi="Arial"/>
                <w:sz w:val="13"/>
              </w:rPr>
              <w:t>20</w:t>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pacing w:lineRule="atLeast" w:line="0"/>
              <w:ind w:start="180" w:end="0"/>
              <w:rPr>
                <w:rFonts w:ascii="Arial" w:hAnsi="Arial" w:eastAsia="Arial" w:cs="Arial"/>
                <w:color w:val="63BE9E"/>
                <w:sz w:val="12"/>
              </w:rPr>
            </w:pPr>
            <w:r>
              <w:rPr>
                <w:rFonts w:eastAsia="Arial" w:cs="Arial" w:ascii="Arial" w:hAnsi="Arial"/>
                <w:color w:val="63BE9E"/>
                <w:sz w:val="12"/>
              </w:rPr>
              <w:t>(LHS)</w:t>
            </w:r>
          </w:p>
        </w:tc>
        <w:tc>
          <w:tcPr>
            <w:tcW w:w="760" w:type="dxa"/>
            <w:tcBorders/>
          </w:tcPr>
          <w:p>
            <w:pPr>
              <w:pStyle w:val="Normal"/>
              <w:snapToGrid w:val="false"/>
              <w:spacing w:lineRule="atLeast" w:line="0"/>
              <w:rPr>
                <w:rFonts w:ascii="Times New Roman" w:hAnsi="Times New Roman" w:eastAsia="Times New Roman" w:cs="Times New Roman"/>
                <w:color w:val="63BE9E"/>
                <w:sz w:val="13"/>
              </w:rPr>
            </w:pPr>
            <w:r>
              <w:rPr>
                <w:rFonts w:eastAsia="Times New Roman" w:cs="Times New Roman" w:ascii="Times New Roman" w:hAnsi="Times New Roman"/>
                <w:color w:val="63BE9E"/>
                <w:sz w:val="13"/>
              </w:rPr>
            </w:r>
          </w:p>
        </w:tc>
        <w:tc>
          <w:tcPr>
            <w:tcW w:w="7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73" w:hRule="atLeast"/>
        </w:trPr>
        <w:tc>
          <w:tcPr>
            <w:tcW w:w="2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vMerge w:val="restart"/>
            <w:tcBorders/>
          </w:tcPr>
          <w:p>
            <w:pPr>
              <w:pStyle w:val="Normal"/>
              <w:spacing w:lineRule="atLeast" w:line="0"/>
              <w:jc w:val="end"/>
              <w:rPr>
                <w:rFonts w:ascii="Arial" w:hAnsi="Arial" w:eastAsia="Arial" w:cs="Arial"/>
                <w:sz w:val="13"/>
              </w:rPr>
            </w:pPr>
            <w:r>
              <w:rPr>
                <w:rFonts w:eastAsia="Arial" w:cs="Arial" w:ascii="Arial" w:hAnsi="Arial"/>
                <w:sz w:val="13"/>
              </w:rPr>
              <w:t>%</w:t>
            </w:r>
          </w:p>
        </w:tc>
        <w:tc>
          <w:tcPr>
            <w:tcW w:w="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44" w:hRule="atLeast"/>
        </w:trPr>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40" w:hRule="atLeast"/>
        </w:trPr>
        <w:tc>
          <w:tcPr>
            <w:tcW w:w="220" w:type="dxa"/>
            <w:tcBorders/>
          </w:tcPr>
          <w:p>
            <w:pPr>
              <w:pStyle w:val="Normal"/>
              <w:spacing w:lineRule="atLeast" w:line="0"/>
              <w:ind w:end="16"/>
              <w:jc w:val="end"/>
              <w:rPr>
                <w:rFonts w:ascii="Arial" w:hAnsi="Arial" w:eastAsia="Arial" w:cs="Arial"/>
                <w:sz w:val="13"/>
              </w:rPr>
            </w:pPr>
            <w:r>
              <w:rPr>
                <w:rFonts w:eastAsia="Arial" w:cs="Arial" w:ascii="Arial" w:hAnsi="Arial"/>
                <w:sz w:val="13"/>
              </w:rPr>
              <w:t>%</w:t>
            </w:r>
          </w:p>
        </w:tc>
        <w:tc>
          <w:tcPr>
            <w:tcW w:w="1720" w:type="dxa"/>
            <w:vMerge w:val="restart"/>
            <w:tcBorders/>
          </w:tcPr>
          <w:p>
            <w:pPr>
              <w:pStyle w:val="Normal"/>
              <w:spacing w:lineRule="atLeast" w:line="0"/>
              <w:jc w:val="center"/>
              <w:rPr/>
            </w:pPr>
            <w:r>
              <w:rPr>
                <w:rFonts w:eastAsia="Arial" w:cs="Arial" w:ascii="Arial" w:hAnsi="Arial"/>
                <w:sz w:val="13"/>
              </w:rPr>
              <w:t>35–54 years</w:t>
            </w:r>
          </w:p>
        </w:tc>
        <w:tc>
          <w:tcPr>
            <w:tcW w:w="1760" w:type="dxa"/>
            <w:vMerge w:val="restart"/>
            <w:tcBorders/>
          </w:tcPr>
          <w:p>
            <w:pPr>
              <w:pStyle w:val="Normal"/>
              <w:spacing w:lineRule="atLeast" w:line="0"/>
              <w:jc w:val="center"/>
              <w:rPr>
                <w:rFonts w:ascii="Arial" w:hAnsi="Arial" w:eastAsia="Arial" w:cs="Arial"/>
                <w:sz w:val="13"/>
              </w:rPr>
            </w:pPr>
            <w:r>
              <w:rPr>
                <w:rFonts w:eastAsia="Arial" w:cs="Arial" w:ascii="Arial" w:hAnsi="Arial"/>
                <w:sz w:val="13"/>
              </w:rPr>
              <w:t>55+ years</w:t>
            </w:r>
          </w:p>
        </w:tc>
        <w:tc>
          <w:tcPr>
            <w:tcW w:w="360" w:type="dxa"/>
            <w:tcBorders/>
          </w:tcPr>
          <w:p>
            <w:pPr>
              <w:pStyle w:val="Normal"/>
              <w:spacing w:lineRule="atLeast" w:line="0"/>
              <w:ind w:start="60" w:end="0"/>
              <w:rPr>
                <w:rFonts w:ascii="Arial" w:hAnsi="Arial" w:eastAsia="Arial" w:cs="Arial"/>
                <w:sz w:val="13"/>
              </w:rPr>
            </w:pPr>
            <w:r>
              <w:rPr>
                <w:rFonts w:eastAsia="Arial" w:cs="Arial" w:ascii="Arial" w:hAnsi="Arial"/>
                <w:sz w:val="13"/>
              </w:rPr>
              <w:t>%</w:t>
            </w:r>
          </w:p>
        </w:tc>
        <w:tc>
          <w:tcPr>
            <w:tcW w:w="400" w:type="dxa"/>
            <w:vMerge w:val="restart"/>
            <w:tcBorders/>
          </w:tcPr>
          <w:p>
            <w:pPr>
              <w:pStyle w:val="Normal"/>
              <w:spacing w:lineRule="atLeast" w:line="0"/>
              <w:jc w:val="end"/>
              <w:rPr>
                <w:rFonts w:ascii="Arial" w:hAnsi="Arial" w:eastAsia="Arial" w:cs="Arial"/>
                <w:sz w:val="13"/>
              </w:rPr>
            </w:pPr>
            <w:r>
              <w:rPr>
                <w:rFonts w:eastAsia="Arial" w:cs="Arial" w:ascii="Arial" w:hAnsi="Arial"/>
                <w:sz w:val="13"/>
              </w:rPr>
              <w:t>3</w:t>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9" w:hRule="atLeast"/>
        </w:trPr>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92" w:hRule="atLeast"/>
        </w:trPr>
        <w:tc>
          <w:tcPr>
            <w:tcW w:w="220" w:type="dxa"/>
            <w:vMerge w:val="restart"/>
            <w:tcBorders/>
          </w:tcPr>
          <w:p>
            <w:pPr>
              <w:pStyle w:val="Normal"/>
              <w:spacing w:lineRule="atLeast" w:line="0"/>
              <w:ind w:end="16"/>
              <w:jc w:val="end"/>
              <w:rPr>
                <w:rFonts w:ascii="Arial" w:hAnsi="Arial" w:eastAsia="Arial" w:cs="Arial"/>
                <w:w w:val="82"/>
                <w:sz w:val="13"/>
              </w:rPr>
            </w:pPr>
            <w:r>
              <w:rPr>
                <w:rFonts w:eastAsia="Arial" w:cs="Arial" w:ascii="Arial" w:hAnsi="Arial"/>
                <w:w w:val="82"/>
                <w:sz w:val="13"/>
              </w:rPr>
              <w:t>60</w:t>
            </w:r>
          </w:p>
        </w:tc>
        <w:tc>
          <w:tcPr>
            <w:tcW w:w="1720" w:type="dxa"/>
            <w:tcBorders/>
          </w:tcPr>
          <w:p>
            <w:pPr>
              <w:pStyle w:val="Normal"/>
              <w:snapToGrid w:val="false"/>
              <w:spacing w:lineRule="atLeast" w:line="0"/>
              <w:rPr>
                <w:rFonts w:ascii="Times New Roman" w:hAnsi="Times New Roman" w:eastAsia="Times New Roman" w:cs="Times New Roman"/>
                <w:w w:val="82"/>
                <w:sz w:val="7"/>
              </w:rPr>
            </w:pPr>
            <w:r>
              <w:rPr>
                <w:rFonts w:eastAsia="Times New Roman" w:cs="Times New Roman" w:ascii="Times New Roman" w:hAnsi="Times New Roman"/>
                <w:w w:val="82"/>
                <w:sz w:val="7"/>
              </w:rPr>
            </w:r>
          </w:p>
        </w:tc>
        <w:tc>
          <w:tcPr>
            <w:tcW w:w="17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vMerge w:val="restart"/>
            <w:tcBorders/>
          </w:tcPr>
          <w:p>
            <w:pPr>
              <w:pStyle w:val="Normal"/>
              <w:spacing w:lineRule="atLeast" w:line="0"/>
              <w:ind w:start="60" w:end="0"/>
              <w:rPr>
                <w:rFonts w:ascii="Arial" w:hAnsi="Arial" w:eastAsia="Arial" w:cs="Arial"/>
                <w:sz w:val="13"/>
              </w:rPr>
            </w:pPr>
            <w:r>
              <w:rPr>
                <w:rFonts w:eastAsia="Arial" w:cs="Arial" w:ascii="Arial" w:hAnsi="Arial"/>
                <w:sz w:val="13"/>
              </w:rPr>
              <w:t>60</w:t>
            </w:r>
          </w:p>
        </w:tc>
        <w:tc>
          <w:tcPr>
            <w:tcW w:w="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31" w:hRule="atLeast"/>
        </w:trPr>
        <w:tc>
          <w:tcPr>
            <w:tcW w:w="2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28" w:hRule="atLeast"/>
        </w:trPr>
        <w:tc>
          <w:tcPr>
            <w:tcW w:w="220" w:type="dxa"/>
            <w:tcBorders/>
          </w:tcPr>
          <w:p>
            <w:pPr>
              <w:pStyle w:val="Normal"/>
              <w:spacing w:lineRule="atLeast" w:line="0"/>
              <w:ind w:end="16"/>
              <w:jc w:val="end"/>
              <w:rPr>
                <w:rFonts w:ascii="Arial" w:hAnsi="Arial" w:eastAsia="Arial" w:cs="Arial"/>
                <w:w w:val="82"/>
                <w:sz w:val="13"/>
              </w:rPr>
            </w:pPr>
            <w:r>
              <w:rPr>
                <w:rFonts w:eastAsia="Arial" w:cs="Arial" w:ascii="Arial" w:hAnsi="Arial"/>
                <w:w w:val="82"/>
                <w:sz w:val="13"/>
              </w:rPr>
              <w:t>40</w:t>
            </w:r>
          </w:p>
        </w:tc>
        <w:tc>
          <w:tcPr>
            <w:tcW w:w="1720" w:type="dxa"/>
            <w:tcBorders/>
          </w:tcPr>
          <w:p>
            <w:pPr>
              <w:pStyle w:val="Normal"/>
              <w:snapToGrid w:val="false"/>
              <w:spacing w:lineRule="atLeast" w:line="0"/>
              <w:rPr>
                <w:rFonts w:ascii="Times New Roman" w:hAnsi="Times New Roman" w:eastAsia="Times New Roman" w:cs="Times New Roman"/>
                <w:w w:val="82"/>
                <w:sz w:val="24"/>
              </w:rPr>
            </w:pPr>
            <w:r>
              <w:rPr>
                <w:rFonts w:eastAsia="Times New Roman" w:cs="Times New Roman" w:ascii="Times New Roman" w:hAnsi="Times New Roman"/>
                <w:w w:val="82"/>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pacing w:lineRule="atLeast" w:line="0"/>
              <w:ind w:start="60" w:end="0"/>
              <w:rPr>
                <w:rFonts w:ascii="Arial" w:hAnsi="Arial" w:eastAsia="Arial" w:cs="Arial"/>
                <w:sz w:val="13"/>
              </w:rPr>
            </w:pPr>
            <w:r>
              <w:rPr>
                <w:rFonts w:eastAsia="Arial" w:cs="Arial" w:ascii="Arial" w:hAnsi="Arial"/>
                <w:sz w:val="13"/>
              </w:rPr>
              <w:t>40</w:t>
            </w:r>
          </w:p>
        </w:tc>
        <w:tc>
          <w:tcPr>
            <w:tcW w:w="400" w:type="dxa"/>
            <w:tcBorders/>
          </w:tcPr>
          <w:p>
            <w:pPr>
              <w:pStyle w:val="Normal"/>
              <w:spacing w:lineRule="atLeast" w:line="0"/>
              <w:jc w:val="end"/>
              <w:rPr>
                <w:rFonts w:ascii="Arial" w:hAnsi="Arial" w:eastAsia="Arial" w:cs="Arial"/>
                <w:sz w:val="13"/>
              </w:rPr>
            </w:pPr>
            <w:r>
              <w:rPr>
                <w:rFonts w:eastAsia="Arial" w:cs="Arial" w:ascii="Arial" w:hAnsi="Arial"/>
                <w:sz w:val="13"/>
              </w:rPr>
              <w:t>2</w:t>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3"/>
            <w:vMerge w:val="restart"/>
            <w:tcBorders/>
          </w:tcPr>
          <w:p>
            <w:pPr>
              <w:pStyle w:val="Normal"/>
              <w:spacing w:lineRule="atLeast" w:line="0"/>
              <w:ind w:end="236"/>
              <w:jc w:val="center"/>
              <w:rPr>
                <w:rFonts w:ascii="Arial" w:hAnsi="Arial" w:eastAsia="Arial" w:cs="Arial"/>
                <w:color w:val="00137F"/>
                <w:sz w:val="13"/>
              </w:rPr>
            </w:pPr>
            <w:r>
              <w:rPr>
                <w:rFonts w:eastAsia="Arial" w:cs="Arial" w:ascii="Arial" w:hAnsi="Arial"/>
                <w:color w:val="00137F"/>
                <w:sz w:val="13"/>
              </w:rPr>
              <w:t>Overseas migration rate**</w:t>
            </w:r>
          </w:p>
        </w:tc>
        <w:tc>
          <w:tcPr>
            <w:tcW w:w="700" w:type="dxa"/>
            <w:tcBorders/>
          </w:tcPr>
          <w:p>
            <w:pPr>
              <w:pStyle w:val="Normal"/>
              <w:snapToGrid w:val="false"/>
              <w:spacing w:lineRule="atLeast" w:line="0"/>
              <w:rPr>
                <w:rFonts w:ascii="Times New Roman" w:hAnsi="Times New Roman" w:eastAsia="Times New Roman" w:cs="Times New Roman"/>
                <w:color w:val="00137F"/>
                <w:sz w:val="24"/>
              </w:rPr>
            </w:pPr>
            <w:r>
              <w:rPr>
                <w:rFonts w:eastAsia="Times New Roman" w:cs="Times New Roman" w:ascii="Times New Roman" w:hAnsi="Times New Roman"/>
                <w:color w:val="00137F"/>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3" w:hRule="atLeast"/>
        </w:trPr>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4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58" w:hRule="atLeast"/>
        </w:trPr>
        <w:tc>
          <w:tcPr>
            <w:tcW w:w="220" w:type="dxa"/>
            <w:vMerge w:val="restart"/>
            <w:tcBorders/>
          </w:tcPr>
          <w:p>
            <w:pPr>
              <w:pStyle w:val="Normal"/>
              <w:spacing w:lineRule="atLeast" w:line="0"/>
              <w:ind w:end="16"/>
              <w:jc w:val="end"/>
              <w:rPr>
                <w:rFonts w:ascii="Arial" w:hAnsi="Arial" w:eastAsia="Arial" w:cs="Arial"/>
                <w:w w:val="82"/>
                <w:sz w:val="13"/>
              </w:rPr>
            </w:pPr>
            <w:r>
              <w:rPr>
                <w:rFonts w:eastAsia="Arial" w:cs="Arial" w:ascii="Arial" w:hAnsi="Arial"/>
                <w:w w:val="82"/>
                <w:sz w:val="13"/>
              </w:rPr>
              <w:t>20</w:t>
            </w:r>
          </w:p>
        </w:tc>
        <w:tc>
          <w:tcPr>
            <w:tcW w:w="1720" w:type="dxa"/>
            <w:tcBorders/>
          </w:tcPr>
          <w:p>
            <w:pPr>
              <w:pStyle w:val="Normal"/>
              <w:snapToGrid w:val="false"/>
              <w:spacing w:lineRule="atLeast" w:line="0"/>
              <w:rPr>
                <w:rFonts w:ascii="Times New Roman" w:hAnsi="Times New Roman" w:eastAsia="Times New Roman" w:cs="Times New Roman"/>
                <w:w w:val="82"/>
                <w:sz w:val="13"/>
              </w:rPr>
            </w:pPr>
            <w:r>
              <w:rPr>
                <w:rFonts w:eastAsia="Times New Roman" w:cs="Times New Roman" w:ascii="Times New Roman" w:hAnsi="Times New Roman"/>
                <w:w w:val="82"/>
                <w:sz w:val="13"/>
              </w:rPr>
            </w:r>
          </w:p>
        </w:tc>
        <w:tc>
          <w:tcPr>
            <w:tcW w:w="17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vMerge w:val="restart"/>
            <w:tcBorders/>
          </w:tcPr>
          <w:p>
            <w:pPr>
              <w:pStyle w:val="Normal"/>
              <w:spacing w:lineRule="atLeast" w:line="0"/>
              <w:ind w:start="60" w:end="0"/>
              <w:rPr>
                <w:rFonts w:ascii="Arial" w:hAnsi="Arial" w:eastAsia="Arial" w:cs="Arial"/>
                <w:sz w:val="13"/>
              </w:rPr>
            </w:pPr>
            <w:r>
              <w:rPr>
                <w:rFonts w:eastAsia="Arial" w:cs="Arial" w:ascii="Arial" w:hAnsi="Arial"/>
                <w:sz w:val="13"/>
              </w:rPr>
              <w:t>20</w:t>
            </w:r>
          </w:p>
        </w:tc>
        <w:tc>
          <w:tcPr>
            <w:tcW w:w="400" w:type="dxa"/>
            <w:vMerge w:val="restart"/>
            <w:tcBorders/>
          </w:tcPr>
          <w:p>
            <w:pPr>
              <w:pStyle w:val="Normal"/>
              <w:spacing w:lineRule="atLeast" w:line="0"/>
              <w:jc w:val="end"/>
              <w:rPr>
                <w:rFonts w:ascii="Arial" w:hAnsi="Arial" w:eastAsia="Arial" w:cs="Arial"/>
                <w:sz w:val="13"/>
              </w:rPr>
            </w:pPr>
            <w:r>
              <w:rPr>
                <w:rFonts w:eastAsia="Arial" w:cs="Arial" w:ascii="Arial" w:hAnsi="Arial"/>
                <w:sz w:val="13"/>
              </w:rPr>
              <w:t>1</w:t>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pacing w:lineRule="atLeast" w:line="0"/>
              <w:ind w:end="110"/>
              <w:jc w:val="center"/>
              <w:rPr>
                <w:rFonts w:ascii="Arial" w:hAnsi="Arial" w:eastAsia="Arial" w:cs="Arial"/>
                <w:color w:val="00137F"/>
                <w:sz w:val="12"/>
              </w:rPr>
            </w:pPr>
            <w:r>
              <w:rPr>
                <w:rFonts w:eastAsia="Arial" w:cs="Arial" w:ascii="Arial" w:hAnsi="Arial"/>
                <w:color w:val="00137F"/>
                <w:sz w:val="12"/>
              </w:rPr>
              <w:t>(LHS)</w:t>
            </w:r>
          </w:p>
        </w:tc>
        <w:tc>
          <w:tcPr>
            <w:tcW w:w="760" w:type="dxa"/>
            <w:tcBorders/>
          </w:tcPr>
          <w:p>
            <w:pPr>
              <w:pStyle w:val="Normal"/>
              <w:snapToGrid w:val="false"/>
              <w:spacing w:lineRule="atLeast" w:line="0"/>
              <w:rPr>
                <w:rFonts w:ascii="Times New Roman" w:hAnsi="Times New Roman" w:eastAsia="Times New Roman" w:cs="Times New Roman"/>
                <w:color w:val="00137F"/>
                <w:sz w:val="13"/>
              </w:rPr>
            </w:pPr>
            <w:r>
              <w:rPr>
                <w:rFonts w:eastAsia="Times New Roman" w:cs="Times New Roman" w:ascii="Times New Roman" w:hAnsi="Times New Roman"/>
                <w:color w:val="00137F"/>
                <w:sz w:val="13"/>
              </w:rPr>
            </w:r>
          </w:p>
        </w:tc>
        <w:tc>
          <w:tcPr>
            <w:tcW w:w="7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78" w:hRule="atLeast"/>
        </w:trPr>
        <w:tc>
          <w:tcPr>
            <w:tcW w:w="2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75" w:hRule="atLeast"/>
        </w:trPr>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0" w:type="dxa"/>
            <w:tcBorders/>
          </w:tcPr>
          <w:p>
            <w:pPr>
              <w:pStyle w:val="Normal"/>
              <w:spacing w:lineRule="atLeast" w:line="0"/>
              <w:ind w:end="30"/>
              <w:jc w:val="end"/>
              <w:rPr>
                <w:rFonts w:ascii="Arial" w:hAnsi="Arial" w:eastAsia="Arial" w:cs="Arial"/>
                <w:w w:val="96"/>
                <w:sz w:val="13"/>
              </w:rPr>
            </w:pPr>
            <w:r>
              <w:rPr>
                <w:rFonts w:eastAsia="Arial" w:cs="Arial" w:ascii="Arial" w:hAnsi="Arial"/>
                <w:w w:val="96"/>
                <w:sz w:val="13"/>
              </w:rPr>
              <w:t>1991</w:t>
            </w:r>
          </w:p>
        </w:tc>
        <w:tc>
          <w:tcPr>
            <w:tcW w:w="620" w:type="dxa"/>
            <w:tcBorders/>
          </w:tcPr>
          <w:p>
            <w:pPr>
              <w:pStyle w:val="Normal"/>
              <w:spacing w:lineRule="atLeast" w:line="0"/>
              <w:ind w:end="14"/>
              <w:jc w:val="end"/>
              <w:rPr>
                <w:rFonts w:ascii="Arial" w:hAnsi="Arial" w:eastAsia="Arial" w:cs="Arial"/>
                <w:sz w:val="13"/>
              </w:rPr>
            </w:pPr>
            <w:r>
              <w:rPr>
                <w:rFonts w:eastAsia="Arial" w:cs="Arial" w:ascii="Arial" w:hAnsi="Arial"/>
                <w:sz w:val="13"/>
              </w:rPr>
              <w:t>1996</w:t>
            </w:r>
          </w:p>
        </w:tc>
        <w:tc>
          <w:tcPr>
            <w:tcW w:w="660" w:type="dxa"/>
            <w:tcBorders/>
          </w:tcPr>
          <w:p>
            <w:pPr>
              <w:pStyle w:val="Normal"/>
              <w:spacing w:lineRule="atLeast" w:line="0"/>
              <w:ind w:end="30"/>
              <w:jc w:val="end"/>
              <w:rPr>
                <w:rFonts w:ascii="Arial" w:hAnsi="Arial" w:eastAsia="Arial" w:cs="Arial"/>
                <w:sz w:val="13"/>
              </w:rPr>
            </w:pPr>
            <w:r>
              <w:rPr>
                <w:rFonts w:eastAsia="Arial" w:cs="Arial" w:ascii="Arial" w:hAnsi="Arial"/>
                <w:sz w:val="13"/>
              </w:rPr>
              <w:t>2001</w:t>
            </w:r>
          </w:p>
        </w:tc>
        <w:tc>
          <w:tcPr>
            <w:tcW w:w="760" w:type="dxa"/>
            <w:tcBorders/>
          </w:tcPr>
          <w:p>
            <w:pPr>
              <w:pStyle w:val="Normal"/>
              <w:spacing w:lineRule="atLeast" w:line="0"/>
              <w:ind w:end="176"/>
              <w:jc w:val="end"/>
              <w:rPr>
                <w:rFonts w:ascii="Arial" w:hAnsi="Arial" w:eastAsia="Arial" w:cs="Arial"/>
                <w:sz w:val="13"/>
              </w:rPr>
            </w:pPr>
            <w:r>
              <w:rPr>
                <w:rFonts w:eastAsia="Arial" w:cs="Arial" w:ascii="Arial" w:hAnsi="Arial"/>
                <w:sz w:val="13"/>
              </w:rPr>
              <w:t>2006</w:t>
            </w:r>
          </w:p>
        </w:tc>
        <w:tc>
          <w:tcPr>
            <w:tcW w:w="700" w:type="dxa"/>
            <w:tcBorders/>
          </w:tcPr>
          <w:p>
            <w:pPr>
              <w:pStyle w:val="Normal"/>
              <w:spacing w:lineRule="atLeast" w:line="0"/>
              <w:ind w:end="234"/>
              <w:jc w:val="end"/>
              <w:rPr>
                <w:rFonts w:ascii="Arial" w:hAnsi="Arial" w:eastAsia="Arial" w:cs="Arial"/>
                <w:sz w:val="13"/>
              </w:rPr>
            </w:pPr>
            <w:r>
              <w:rPr>
                <w:rFonts w:eastAsia="Arial" w:cs="Arial" w:ascii="Arial" w:hAnsi="Arial"/>
                <w:sz w:val="13"/>
              </w:rPr>
              <w:t>2011</w:t>
            </w:r>
          </w:p>
        </w:tc>
        <w:tc>
          <w:tcPr>
            <w:tcW w:w="340" w:type="dxa"/>
            <w:tcBorders/>
          </w:tcPr>
          <w:p>
            <w:pPr>
              <w:pStyle w:val="Normal"/>
              <w:spacing w:lineRule="atLeast" w:line="0"/>
              <w:jc w:val="end"/>
              <w:rPr>
                <w:rFonts w:ascii="Arial" w:hAnsi="Arial" w:eastAsia="Arial" w:cs="Arial"/>
                <w:sz w:val="13"/>
              </w:rPr>
            </w:pPr>
            <w:r>
              <w:rPr>
                <w:rFonts w:eastAsia="Arial" w:cs="Arial" w:ascii="Arial" w:hAnsi="Arial"/>
                <w:sz w:val="13"/>
              </w:rPr>
              <w:t>2016</w:t>
            </w:r>
          </w:p>
        </w:tc>
      </w:tr>
      <w:tr>
        <w:trPr>
          <w:trHeight w:val="207" w:hRule="atLeast"/>
        </w:trPr>
        <w:tc>
          <w:tcPr>
            <w:tcW w:w="220" w:type="dxa"/>
            <w:tcBorders/>
          </w:tcPr>
          <w:p>
            <w:pPr>
              <w:pStyle w:val="Normal"/>
              <w:spacing w:lineRule="atLeast" w:line="0"/>
              <w:ind w:end="16"/>
              <w:jc w:val="end"/>
              <w:rPr>
                <w:rFonts w:ascii="Arial" w:hAnsi="Arial" w:eastAsia="Arial" w:cs="Arial"/>
                <w:sz w:val="13"/>
              </w:rPr>
            </w:pPr>
            <w:r>
              <w:rPr>
                <w:rFonts w:eastAsia="Arial" w:cs="Arial" w:ascii="Arial" w:hAnsi="Arial"/>
                <w:sz w:val="13"/>
              </w:rPr>
              <w:t>0</w:t>
            </w:r>
          </w:p>
        </w:tc>
        <w:tc>
          <w:tcPr>
            <w:tcW w:w="1720" w:type="dxa"/>
            <w:tcBorders/>
          </w:tcPr>
          <w:p>
            <w:pPr>
              <w:pStyle w:val="Normal"/>
              <w:spacing w:lineRule="atLeast" w:line="0"/>
              <w:ind w:start="100" w:end="0"/>
              <w:rPr>
                <w:rFonts w:ascii="Arial" w:hAnsi="Arial" w:eastAsia="Arial" w:cs="Arial"/>
                <w:sz w:val="13"/>
              </w:rPr>
            </w:pPr>
            <w:r>
              <w:rPr>
                <w:rFonts w:eastAsia="Arial" w:cs="Arial" w:ascii="Arial" w:hAnsi="Arial"/>
                <w:sz w:val="13"/>
              </w:rPr>
              <w:t>Own  Mortgagor  Renter</w:t>
            </w:r>
          </w:p>
        </w:tc>
        <w:tc>
          <w:tcPr>
            <w:tcW w:w="1760" w:type="dxa"/>
            <w:tcBorders/>
          </w:tcPr>
          <w:p>
            <w:pPr>
              <w:pStyle w:val="Normal"/>
              <w:spacing w:lineRule="atLeast" w:line="0"/>
              <w:ind w:start="180" w:end="0"/>
              <w:rPr>
                <w:rFonts w:ascii="Arial" w:hAnsi="Arial" w:eastAsia="Arial" w:cs="Arial"/>
                <w:sz w:val="13"/>
              </w:rPr>
            </w:pPr>
            <w:r>
              <w:rPr>
                <w:rFonts w:eastAsia="Arial" w:cs="Arial" w:ascii="Arial" w:hAnsi="Arial"/>
                <w:sz w:val="13"/>
              </w:rPr>
              <w:t>Own  Mortgagor  Renter</w:t>
            </w:r>
          </w:p>
        </w:tc>
        <w:tc>
          <w:tcPr>
            <w:tcW w:w="360" w:type="dxa"/>
            <w:tcBorders/>
          </w:tcPr>
          <w:p>
            <w:pPr>
              <w:pStyle w:val="Normal"/>
              <w:spacing w:lineRule="atLeast" w:line="0"/>
              <w:ind w:start="60" w:end="0"/>
              <w:rPr>
                <w:rFonts w:ascii="Arial" w:hAnsi="Arial" w:eastAsia="Arial" w:cs="Arial"/>
                <w:sz w:val="13"/>
              </w:rPr>
            </w:pPr>
            <w:r>
              <w:rPr>
                <w:rFonts w:eastAsia="Arial" w:cs="Arial" w:ascii="Arial" w:hAnsi="Arial"/>
                <w:sz w:val="13"/>
              </w:rPr>
              <w:t>0</w:t>
            </w:r>
          </w:p>
        </w:tc>
        <w:tc>
          <w:tcPr>
            <w:tcW w:w="400" w:type="dxa"/>
            <w:tcBorders/>
          </w:tcPr>
          <w:p>
            <w:pPr>
              <w:pStyle w:val="Normal"/>
              <w:spacing w:lineRule="atLeast" w:line="0"/>
              <w:ind w:start="360" w:end="0"/>
              <w:rPr>
                <w:rFonts w:ascii="Arial" w:hAnsi="Arial" w:eastAsia="Arial" w:cs="Arial"/>
                <w:w w:val="71"/>
                <w:sz w:val="7"/>
              </w:rPr>
            </w:pPr>
            <w:r>
              <w:rPr>
                <w:rFonts w:eastAsia="Arial" w:cs="Arial" w:ascii="Arial" w:hAnsi="Arial"/>
                <w:w w:val="71"/>
                <w:sz w:val="7"/>
              </w:rPr>
              <w:t>*</w:t>
            </w:r>
          </w:p>
        </w:tc>
        <w:tc>
          <w:tcPr>
            <w:tcW w:w="2440" w:type="dxa"/>
            <w:gridSpan w:val="4"/>
            <w:tcBorders/>
          </w:tcPr>
          <w:p>
            <w:pPr>
              <w:pStyle w:val="Normal"/>
              <w:spacing w:lineRule="atLeast" w:line="0"/>
              <w:ind w:end="576"/>
              <w:jc w:val="end"/>
              <w:rPr>
                <w:rFonts w:ascii="Arial" w:hAnsi="Arial" w:eastAsia="Arial" w:cs="Arial"/>
                <w:sz w:val="11"/>
              </w:rPr>
            </w:pPr>
            <w:r>
              <w:rPr>
                <w:rFonts w:eastAsia="Arial" w:cs="Arial" w:ascii="Arial" w:hAnsi="Arial"/>
                <w:sz w:val="11"/>
              </w:rPr>
              <w:t>Annualised share of housing stock</w:t>
            </w:r>
          </w:p>
        </w:tc>
        <w:tc>
          <w:tcPr>
            <w:tcW w:w="7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8" w:hRule="atLeast"/>
        </w:trPr>
        <w:tc>
          <w:tcPr>
            <w:tcW w:w="220" w:type="dxa"/>
            <w:vMerge w:val="restart"/>
            <w:tcBorders/>
          </w:tcPr>
          <w:p>
            <w:pPr>
              <w:pStyle w:val="Normal"/>
              <w:spacing w:lineRule="atLeast" w:line="0"/>
              <w:ind w:start="160" w:end="0"/>
              <w:rPr>
                <w:rFonts w:ascii="Arial" w:hAnsi="Arial" w:eastAsia="Arial" w:cs="Arial"/>
                <w:w w:val="92"/>
                <w:sz w:val="11"/>
              </w:rPr>
            </w:pPr>
            <w:r>
              <w:rPr>
                <w:rFonts w:eastAsia="Arial" w:cs="Arial" w:ascii="Arial" w:hAnsi="Arial"/>
                <w:w w:val="92"/>
                <w:sz w:val="11"/>
              </w:rPr>
              <w:t>*</w:t>
            </w:r>
          </w:p>
        </w:tc>
        <w:tc>
          <w:tcPr>
            <w:tcW w:w="1720" w:type="dxa"/>
            <w:tcBorders/>
          </w:tcPr>
          <w:p>
            <w:pPr>
              <w:pStyle w:val="Normal"/>
              <w:spacing w:lineRule="atLeast" w:line="0"/>
              <w:ind w:start="20" w:end="0"/>
              <w:rPr>
                <w:rFonts w:ascii="Arial" w:hAnsi="Arial" w:eastAsia="Arial" w:cs="Arial"/>
                <w:sz w:val="13"/>
              </w:rPr>
            </w:pPr>
            <w:r>
              <w:rPr>
                <w:rFonts w:eastAsia="Arial" w:cs="Arial" w:ascii="Arial" w:hAnsi="Arial"/>
                <w:sz w:val="13"/>
              </w:rPr>
              <w:t>outright</w:t>
            </w:r>
          </w:p>
        </w:tc>
        <w:tc>
          <w:tcPr>
            <w:tcW w:w="1760" w:type="dxa"/>
            <w:tcBorders/>
          </w:tcPr>
          <w:p>
            <w:pPr>
              <w:pStyle w:val="Normal"/>
              <w:spacing w:lineRule="atLeast" w:line="0"/>
              <w:ind w:start="80" w:end="0"/>
              <w:rPr>
                <w:rFonts w:ascii="Arial" w:hAnsi="Arial" w:eastAsia="Arial" w:cs="Arial"/>
                <w:sz w:val="13"/>
              </w:rPr>
            </w:pPr>
            <w:r>
              <w:rPr>
                <w:rFonts w:eastAsia="Arial" w:cs="Arial" w:ascii="Arial" w:hAnsi="Arial"/>
                <w:sz w:val="13"/>
              </w:rPr>
              <w:t>outright</w:t>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40" w:type="dxa"/>
            <w:gridSpan w:val="5"/>
            <w:tcBorders/>
          </w:tcPr>
          <w:p>
            <w:pPr>
              <w:pStyle w:val="Normal"/>
              <w:spacing w:lineRule="atLeast" w:line="0"/>
              <w:ind w:start="360" w:end="0"/>
              <w:rPr/>
            </w:pPr>
            <w:r>
              <w:rPr>
                <w:rFonts w:eastAsia="Arial" w:cs="Arial" w:ascii="Arial" w:hAnsi="Arial"/>
                <w:sz w:val="11"/>
              </w:rPr>
              <w:t>**   Gross annual rolling sum; share of population</w:t>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0" w:hRule="atLeast"/>
        </w:trPr>
        <w:tc>
          <w:tcPr>
            <w:tcW w:w="2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80" w:type="dxa"/>
            <w:gridSpan w:val="2"/>
            <w:vMerge w:val="restart"/>
            <w:tcBorders/>
          </w:tcPr>
          <w:p>
            <w:pPr>
              <w:pStyle w:val="Normal"/>
              <w:spacing w:lineRule="atLeast" w:line="0"/>
              <w:ind w:end="14"/>
              <w:jc w:val="center"/>
              <w:rPr>
                <w:rFonts w:ascii="Arial" w:hAnsi="Arial" w:eastAsia="Arial" w:cs="Arial"/>
                <w:w w:val="96"/>
                <w:sz w:val="11"/>
              </w:rPr>
            </w:pPr>
            <w:r>
              <w:rPr>
                <w:rFonts w:eastAsia="Arial" w:cs="Arial" w:ascii="Arial" w:hAnsi="Arial"/>
                <w:w w:val="96"/>
                <w:sz w:val="11"/>
              </w:rPr>
              <w:t>From 1994/95 to 2013/14, Surveys of Income and Housing; renter</w:t>
            </w:r>
          </w:p>
        </w:tc>
        <w:tc>
          <w:tcPr>
            <w:tcW w:w="360" w:type="dxa"/>
            <w:tcBorders/>
          </w:tcPr>
          <w:p>
            <w:pPr>
              <w:pStyle w:val="Normal"/>
              <w:snapToGrid w:val="false"/>
              <w:spacing w:lineRule="atLeast" w:line="0"/>
              <w:rPr>
                <w:rFonts w:ascii="Times New Roman" w:hAnsi="Times New Roman" w:eastAsia="Times New Roman" w:cs="Times New Roman"/>
                <w:w w:val="96"/>
                <w:sz w:val="12"/>
              </w:rPr>
            </w:pPr>
            <w:r>
              <w:rPr>
                <w:rFonts w:eastAsia="Times New Roman" w:cs="Times New Roman" w:ascii="Times New Roman" w:hAnsi="Times New Roman"/>
                <w:w w:val="96"/>
                <w:sz w:val="12"/>
              </w:rPr>
            </w:r>
          </w:p>
        </w:tc>
        <w:tc>
          <w:tcPr>
            <w:tcW w:w="2080" w:type="dxa"/>
            <w:gridSpan w:val="4"/>
            <w:tcBorders/>
          </w:tcPr>
          <w:p>
            <w:pPr>
              <w:pStyle w:val="Normal"/>
              <w:spacing w:lineRule="atLeast" w:line="0"/>
              <w:ind w:start="360" w:end="0"/>
              <w:rPr>
                <w:rFonts w:ascii="Arial" w:hAnsi="Arial" w:eastAsia="Arial" w:cs="Arial"/>
                <w:sz w:val="11"/>
              </w:rPr>
            </w:pPr>
            <w:r>
              <w:rPr>
                <w:rFonts w:eastAsia="Arial" w:cs="Arial" w:ascii="Arial" w:hAnsi="Arial"/>
                <w:sz w:val="11"/>
              </w:rPr>
              <w:t>Sources: ABS; CoreLogic; RBA</w:t>
            </w:r>
          </w:p>
        </w:tc>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99" w:hRule="atLeast"/>
        </w:trPr>
        <w:tc>
          <w:tcPr>
            <w:tcW w:w="2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40" w:hRule="atLeast"/>
        </w:trPr>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20" w:type="dxa"/>
            <w:tcBorders/>
          </w:tcPr>
          <w:p>
            <w:pPr>
              <w:pStyle w:val="Normal"/>
              <w:spacing w:lineRule="atLeast" w:line="0"/>
              <w:jc w:val="center"/>
              <w:rPr>
                <w:rFonts w:ascii="Arial" w:hAnsi="Arial" w:eastAsia="Arial" w:cs="Arial"/>
                <w:w w:val="96"/>
                <w:sz w:val="11"/>
              </w:rPr>
            </w:pPr>
            <w:r>
              <w:rPr>
                <w:rFonts w:eastAsia="Arial" w:cs="Arial" w:ascii="Arial" w:hAnsi="Arial"/>
                <w:w w:val="96"/>
                <w:sz w:val="11"/>
              </w:rPr>
              <w:t>includes government housing</w:t>
            </w:r>
          </w:p>
        </w:tc>
        <w:tc>
          <w:tcPr>
            <w:tcW w:w="1760" w:type="dxa"/>
            <w:tcBorders/>
          </w:tcPr>
          <w:p>
            <w:pPr>
              <w:pStyle w:val="Normal"/>
              <w:snapToGrid w:val="false"/>
              <w:spacing w:lineRule="atLeast" w:line="0"/>
              <w:rPr>
                <w:rFonts w:ascii="Times New Roman" w:hAnsi="Times New Roman" w:eastAsia="Times New Roman" w:cs="Times New Roman"/>
                <w:w w:val="96"/>
                <w:sz w:val="12"/>
              </w:rPr>
            </w:pPr>
            <w:r>
              <w:rPr>
                <w:rFonts w:eastAsia="Times New Roman" w:cs="Times New Roman" w:ascii="Times New Roman" w:hAnsi="Times New Roman"/>
                <w:w w:val="96"/>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gridSpan w:val="7"/>
            <w:vMerge w:val="restart"/>
            <w:tcBorders/>
          </w:tcPr>
          <w:p>
            <w:pPr>
              <w:pStyle w:val="Normal"/>
              <w:spacing w:lineRule="atLeast" w:line="0"/>
              <w:ind w:start="180" w:end="0"/>
              <w:rPr>
                <w:rFonts w:ascii="Arial" w:hAnsi="Arial" w:eastAsia="Arial" w:cs="Arial"/>
                <w:w w:val="91"/>
                <w:sz w:val="19"/>
              </w:rPr>
            </w:pPr>
            <w:r>
              <w:rPr>
                <w:rFonts w:eastAsia="Arial" w:cs="Arial" w:ascii="Arial" w:hAnsi="Arial"/>
                <w:w w:val="91"/>
                <w:sz w:val="19"/>
              </w:rPr>
              <w:t>turnover rates have also been associated with a</w:t>
            </w:r>
          </w:p>
        </w:tc>
      </w:tr>
      <w:tr>
        <w:trPr>
          <w:trHeight w:val="167" w:hRule="atLeast"/>
        </w:trPr>
        <w:tc>
          <w:tcPr>
            <w:tcW w:w="1940" w:type="dxa"/>
            <w:gridSpan w:val="2"/>
            <w:tcBorders/>
          </w:tcPr>
          <w:p>
            <w:pPr>
              <w:pStyle w:val="Normal"/>
              <w:spacing w:lineRule="atLeast" w:line="0"/>
              <w:ind w:start="160" w:end="0"/>
              <w:rPr>
                <w:rFonts w:ascii="Arial" w:hAnsi="Arial" w:eastAsia="Arial" w:cs="Arial"/>
                <w:sz w:val="11"/>
              </w:rPr>
            </w:pPr>
            <w:r>
              <w:rPr>
                <w:rFonts w:eastAsia="Arial" w:cs="Arial" w:ascii="Arial" w:hAnsi="Arial"/>
                <w:sz w:val="11"/>
              </w:rPr>
              <w:t>Sources: ABS; RBA</w:t>
            </w:r>
          </w:p>
        </w:tc>
        <w:tc>
          <w:tcPr>
            <w:tcW w:w="17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80" w:type="dxa"/>
            <w:gridSpan w:val="7"/>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69">
            <wp:simplePos x="0" y="0"/>
            <wp:positionH relativeFrom="column">
              <wp:posOffset>266065</wp:posOffset>
            </wp:positionH>
            <wp:positionV relativeFrom="paragraph">
              <wp:posOffset>-2386330</wp:posOffset>
            </wp:positionV>
            <wp:extent cx="4970780" cy="1824355"/>
            <wp:effectExtent l="0" t="0" r="0" b="0"/>
            <wp:wrapNone/>
            <wp:docPr id="67"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4" descr="" title=""/>
                    <pic:cNvPicPr>
                      <a:picLocks noChangeAspect="1" noChangeArrowheads="1"/>
                    </pic:cNvPicPr>
                  </pic:nvPicPr>
                  <pic:blipFill>
                    <a:blip r:embed="rId5"/>
                    <a:srcRect l="-4" t="-10" r="-4" b="-10"/>
                    <a:stretch>
                      <a:fillRect/>
                    </a:stretch>
                  </pic:blipFill>
                  <pic:spPr bwMode="auto">
                    <a:xfrm>
                      <a:off x="0" y="0"/>
                      <a:ext cx="4970780" cy="1824355"/>
                    </a:xfrm>
                    <a:prstGeom prst="rect">
                      <a:avLst/>
                    </a:prstGeom>
                  </pic:spPr>
                </pic:pic>
              </a:graphicData>
            </a:graphic>
          </wp:anchor>
        </w:drawing>
      </w:r>
    </w:p>
    <w:p>
      <w:pPr>
        <w:pStyle w:val="Normal"/>
        <w:spacing w:lineRule="exact" w:line="26"/>
        <w:rPr>
          <w:rFonts w:ascii="Times New Roman" w:hAnsi="Times New Roman" w:eastAsia="Times New Roman" w:cs="Times New Roman"/>
        </w:rPr>
      </w:pPr>
      <w:r>
        <w:rPr>
          <w:rFonts w:eastAsia="Times New Roman" w:cs="Times New Roman" w:ascii="Times New Roman" w:hAnsi="Times New Roman"/>
        </w:rPr>
      </w:r>
    </w:p>
    <w:tbl>
      <w:tblPr>
        <w:tblW w:w="7800" w:type="dxa"/>
        <w:jc w:val="start"/>
        <w:tblInd w:w="420" w:type="dxa"/>
        <w:tblLayout w:type="fixed"/>
        <w:tblCellMar>
          <w:top w:w="0" w:type="dxa"/>
          <w:start w:w="0" w:type="dxa"/>
          <w:bottom w:w="0" w:type="dxa"/>
          <w:end w:w="0" w:type="dxa"/>
        </w:tblCellMar>
      </w:tblPr>
      <w:tblGrid>
        <w:gridCol w:w="3920"/>
        <w:gridCol w:w="3880"/>
      </w:tblGrid>
      <w:tr>
        <w:trPr>
          <w:trHeight w:val="224" w:hRule="atLeast"/>
        </w:trPr>
        <w:tc>
          <w:tcPr>
            <w:tcW w:w="3920" w:type="dxa"/>
            <w:vMerge w:val="restart"/>
            <w:tcBorders/>
          </w:tcPr>
          <w:p>
            <w:pPr>
              <w:pStyle w:val="Normal"/>
              <w:spacing w:lineRule="atLeast" w:line="0"/>
              <w:rPr>
                <w:rFonts w:ascii="Arial" w:hAnsi="Arial" w:eastAsia="Arial" w:cs="Arial"/>
                <w:w w:val="95"/>
                <w:sz w:val="19"/>
              </w:rPr>
            </w:pPr>
            <w:r>
              <w:rPr>
                <w:rFonts w:eastAsia="Arial" w:cs="Arial" w:ascii="Arial" w:hAnsi="Arial"/>
                <w:w w:val="95"/>
                <w:sz w:val="19"/>
              </w:rPr>
              <w:t>could imply a potentially lower equilibrium rate of</w:t>
            </w:r>
          </w:p>
        </w:tc>
        <w:tc>
          <w:tcPr>
            <w:tcW w:w="3880" w:type="dxa"/>
            <w:tcBorders/>
          </w:tcPr>
          <w:p>
            <w:pPr>
              <w:pStyle w:val="Normal"/>
              <w:spacing w:lineRule="atLeast" w:line="0"/>
              <w:ind w:start="160" w:end="0"/>
              <w:rPr>
                <w:rFonts w:ascii="Arial" w:hAnsi="Arial" w:eastAsia="Arial" w:cs="Arial"/>
                <w:w w:val="92"/>
                <w:sz w:val="19"/>
              </w:rPr>
            </w:pPr>
            <w:r>
              <w:rPr>
                <w:rFonts w:eastAsia="Arial" w:cs="Arial" w:ascii="Arial" w:hAnsi="Arial"/>
                <w:w w:val="92"/>
                <w:sz w:val="19"/>
              </w:rPr>
              <w:t>long-run decline in interstate migration, which in</w:t>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w w:val="92"/>
                <w:sz w:val="12"/>
              </w:rPr>
            </w:pPr>
            <w:r>
              <w:rPr>
                <w:rFonts w:eastAsia="Times New Roman" w:cs="Times New Roman" w:ascii="Times New Roman" w:hAnsi="Times New Roman"/>
                <w:w w:val="92"/>
                <w:sz w:val="12"/>
              </w:rPr>
            </w:r>
          </w:p>
        </w:tc>
        <w:tc>
          <w:tcPr>
            <w:tcW w:w="3880" w:type="dxa"/>
            <w:vMerge w:val="restart"/>
            <w:tcBorders/>
          </w:tcPr>
          <w:p>
            <w:pPr>
              <w:pStyle w:val="Normal"/>
              <w:spacing w:lineRule="atLeast" w:line="0"/>
              <w:ind w:start="160" w:end="0"/>
              <w:rPr>
                <w:rFonts w:ascii="Arial" w:hAnsi="Arial" w:eastAsia="Arial" w:cs="Arial"/>
                <w:w w:val="92"/>
                <w:sz w:val="19"/>
              </w:rPr>
            </w:pPr>
            <w:r>
              <w:rPr>
                <w:rFonts w:eastAsia="Arial" w:cs="Arial" w:ascii="Arial" w:hAnsi="Arial"/>
                <w:w w:val="92"/>
                <w:sz w:val="19"/>
              </w:rPr>
              <w:t>turn has been linked to declining labour mobility</w:t>
            </w:r>
          </w:p>
        </w:tc>
      </w:tr>
      <w:tr>
        <w:trPr>
          <w:trHeight w:val="126" w:hRule="atLeast"/>
        </w:trPr>
        <w:tc>
          <w:tcPr>
            <w:tcW w:w="3920" w:type="dxa"/>
            <w:vMerge w:val="restart"/>
            <w:tcBorders/>
          </w:tcPr>
          <w:p>
            <w:pPr>
              <w:pStyle w:val="Normal"/>
              <w:spacing w:lineRule="atLeast" w:line="0"/>
              <w:rPr/>
            </w:pPr>
            <w:r>
              <w:rPr>
                <w:rFonts w:eastAsia="Arial" w:cs="Arial" w:ascii="Arial" w:hAnsi="Arial"/>
                <w:w w:val="99"/>
                <w:sz w:val="19"/>
              </w:rPr>
              <w:t>housing turnover (Olsberg and Winters 2005).</w:t>
            </w:r>
            <w:r>
              <w:rPr>
                <w:rFonts w:eastAsia="Arial" w:cs="Arial" w:ascii="Arial" w:hAnsi="Arial"/>
                <w:w w:val="99"/>
                <w:sz w:val="11"/>
              </w:rPr>
              <w:t>6</w:t>
            </w:r>
          </w:p>
        </w:tc>
        <w:tc>
          <w:tcPr>
            <w:tcW w:w="3880" w:type="dxa"/>
            <w:vMerge w:val="continue"/>
            <w:tcBorders/>
          </w:tcPr>
          <w:p>
            <w:pPr>
              <w:pStyle w:val="Normal"/>
              <w:snapToGrid w:val="false"/>
              <w:spacing w:lineRule="atLeast" w:line="0"/>
              <w:rPr>
                <w:rFonts w:ascii="Times New Roman" w:hAnsi="Times New Roman" w:eastAsia="Times New Roman" w:cs="Times New Roman"/>
                <w:w w:val="99"/>
                <w:sz w:val="10"/>
              </w:rPr>
            </w:pPr>
            <w:r>
              <w:rPr>
                <w:rFonts w:eastAsia="Times New Roman" w:cs="Times New Roman" w:ascii="Times New Roman" w:hAnsi="Times New Roman"/>
                <w:w w:val="99"/>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sz w:val="19"/>
              </w:rPr>
            </w:pPr>
            <w:r>
              <w:rPr>
                <w:rFonts w:eastAsia="Arial" w:cs="Arial" w:ascii="Arial" w:hAnsi="Arial"/>
                <w:sz w:val="19"/>
              </w:rPr>
              <w:t>(Molloy, Smith and Wozniak 2014).</w:t>
            </w:r>
          </w:p>
        </w:tc>
      </w:tr>
      <w:tr>
        <w:trPr>
          <w:trHeight w:val="126" w:hRule="atLeast"/>
        </w:trPr>
        <w:tc>
          <w:tcPr>
            <w:tcW w:w="3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29" w:hRule="atLeast"/>
        </w:trPr>
        <w:tc>
          <w:tcPr>
            <w:tcW w:w="3920" w:type="dxa"/>
            <w:tcBorders/>
          </w:tcPr>
          <w:p>
            <w:pPr>
              <w:pStyle w:val="Normal"/>
              <w:spacing w:lineRule="atLeast" w:line="0"/>
              <w:rPr>
                <w:rFonts w:ascii="Arial" w:hAnsi="Arial" w:eastAsia="Arial" w:cs="Arial"/>
                <w:w w:val="98"/>
                <w:sz w:val="19"/>
              </w:rPr>
            </w:pPr>
            <w:r>
              <w:rPr>
                <w:rFonts w:eastAsia="Arial" w:cs="Arial" w:ascii="Arial" w:hAnsi="Arial"/>
                <w:w w:val="98"/>
                <w:sz w:val="19"/>
              </w:rPr>
              <w:t>Another driver of housing turnover is migration,</w:t>
            </w:r>
          </w:p>
        </w:tc>
        <w:tc>
          <w:tcPr>
            <w:tcW w:w="3880" w:type="dxa"/>
            <w:vMerge w:val="restart"/>
            <w:tcBorders/>
          </w:tcPr>
          <w:p>
            <w:pPr>
              <w:pStyle w:val="Normal"/>
              <w:spacing w:lineRule="atLeast" w:line="0"/>
              <w:ind w:start="160" w:end="0"/>
              <w:rPr>
                <w:rFonts w:ascii="Arial" w:hAnsi="Arial" w:eastAsia="Arial" w:cs="Arial"/>
                <w:sz w:val="19"/>
              </w:rPr>
            </w:pPr>
            <w:r>
              <w:rPr>
                <w:rFonts w:eastAsia="Arial" w:cs="Arial" w:ascii="Arial" w:hAnsi="Arial"/>
                <w:sz w:val="19"/>
              </w:rPr>
              <w:t>By contrast, the relationship between rates</w:t>
            </w:r>
          </w:p>
        </w:tc>
      </w:tr>
      <w:tr>
        <w:trPr>
          <w:trHeight w:val="126" w:hRule="atLeast"/>
        </w:trPr>
        <w:tc>
          <w:tcPr>
            <w:tcW w:w="3920" w:type="dxa"/>
            <w:vMerge w:val="restart"/>
            <w:tcBorders/>
          </w:tcPr>
          <w:p>
            <w:pPr>
              <w:pStyle w:val="Normal"/>
              <w:spacing w:lineRule="atLeast" w:line="0"/>
              <w:rPr>
                <w:rFonts w:ascii="Arial" w:hAnsi="Arial" w:eastAsia="Arial" w:cs="Arial"/>
                <w:sz w:val="19"/>
              </w:rPr>
            </w:pPr>
            <w:r>
              <w:rPr>
                <w:rFonts w:eastAsia="Arial" w:cs="Arial" w:ascii="Arial" w:hAnsi="Arial"/>
                <w:sz w:val="19"/>
              </w:rPr>
              <w:t>to the extent that households moving between</w:t>
            </w:r>
          </w:p>
        </w:tc>
        <w:tc>
          <w:tcPr>
            <w:tcW w:w="3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sz w:val="19"/>
              </w:rPr>
            </w:pPr>
            <w:r>
              <w:rPr>
                <w:rFonts w:eastAsia="Arial" w:cs="Arial" w:ascii="Arial" w:hAnsi="Arial"/>
                <w:sz w:val="19"/>
              </w:rPr>
              <w:t>of housing turnover and gross overseas</w:t>
            </w:r>
          </w:p>
        </w:tc>
      </w:tr>
      <w:tr>
        <w:trPr>
          <w:trHeight w:val="126" w:hRule="atLeast"/>
        </w:trPr>
        <w:tc>
          <w:tcPr>
            <w:tcW w:w="3920" w:type="dxa"/>
            <w:vMerge w:val="restart"/>
            <w:tcBorders/>
          </w:tcPr>
          <w:p>
            <w:pPr>
              <w:pStyle w:val="Normal"/>
              <w:spacing w:lineRule="atLeast" w:line="0"/>
              <w:rPr>
                <w:rFonts w:ascii="Arial" w:hAnsi="Arial" w:eastAsia="Arial" w:cs="Arial"/>
                <w:sz w:val="19"/>
              </w:rPr>
            </w:pPr>
            <w:r>
              <w:rPr>
                <w:rFonts w:eastAsia="Arial" w:cs="Arial" w:ascii="Arial" w:hAnsi="Arial"/>
                <w:sz w:val="19"/>
              </w:rPr>
              <w:t>states or countries are purchasing or selling</w:t>
            </w:r>
          </w:p>
        </w:tc>
        <w:tc>
          <w:tcPr>
            <w:tcW w:w="3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w w:val="92"/>
                <w:sz w:val="19"/>
              </w:rPr>
            </w:pPr>
            <w:r>
              <w:rPr>
                <w:rFonts w:eastAsia="Arial" w:cs="Arial" w:ascii="Arial" w:hAnsi="Arial"/>
                <w:w w:val="92"/>
                <w:sz w:val="19"/>
              </w:rPr>
              <w:t>migration (the sum of overseas immigration and</w:t>
            </w:r>
          </w:p>
        </w:tc>
      </w:tr>
      <w:tr>
        <w:trPr>
          <w:trHeight w:val="126" w:hRule="atLeast"/>
        </w:trPr>
        <w:tc>
          <w:tcPr>
            <w:tcW w:w="3920" w:type="dxa"/>
            <w:vMerge w:val="restart"/>
            <w:tcBorders/>
          </w:tcPr>
          <w:p>
            <w:pPr>
              <w:pStyle w:val="Normal"/>
              <w:spacing w:lineRule="atLeast" w:line="0"/>
              <w:rPr>
                <w:rFonts w:ascii="Arial" w:hAnsi="Arial" w:eastAsia="Arial" w:cs="Arial"/>
                <w:w w:val="94"/>
                <w:sz w:val="19"/>
              </w:rPr>
            </w:pPr>
            <w:r>
              <w:rPr>
                <w:rFonts w:eastAsia="Arial" w:cs="Arial" w:ascii="Arial" w:hAnsi="Arial"/>
                <w:w w:val="94"/>
                <w:sz w:val="19"/>
              </w:rPr>
              <w:t>homes. The decline in the turnover rate since the</w:t>
            </w:r>
          </w:p>
        </w:tc>
        <w:tc>
          <w:tcPr>
            <w:tcW w:w="3880" w:type="dxa"/>
            <w:vMerge w:val="continue"/>
            <w:tcBorders/>
          </w:tcPr>
          <w:p>
            <w:pPr>
              <w:pStyle w:val="Normal"/>
              <w:snapToGrid w:val="false"/>
              <w:spacing w:lineRule="atLeast" w:line="0"/>
              <w:rPr>
                <w:rFonts w:ascii="Times New Roman" w:hAnsi="Times New Roman" w:eastAsia="Times New Roman" w:cs="Times New Roman"/>
                <w:w w:val="94"/>
                <w:sz w:val="10"/>
              </w:rPr>
            </w:pPr>
            <w:r>
              <w:rPr>
                <w:rFonts w:eastAsia="Times New Roman" w:cs="Times New Roman" w:ascii="Times New Roman" w:hAnsi="Times New Roman"/>
                <w:w w:val="94"/>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w w:val="95"/>
                <w:sz w:val="19"/>
              </w:rPr>
            </w:pPr>
            <w:r>
              <w:rPr>
                <w:rFonts w:eastAsia="Arial" w:cs="Arial" w:ascii="Arial" w:hAnsi="Arial"/>
                <w:w w:val="95"/>
                <w:sz w:val="19"/>
              </w:rPr>
              <w:t>emigration) appears to have been less strong.</w:t>
            </w:r>
          </w:p>
        </w:tc>
      </w:tr>
      <w:tr>
        <w:trPr>
          <w:trHeight w:val="126" w:hRule="atLeast"/>
        </w:trPr>
        <w:tc>
          <w:tcPr>
            <w:tcW w:w="3920" w:type="dxa"/>
            <w:vMerge w:val="restart"/>
            <w:tcBorders/>
          </w:tcPr>
          <w:p>
            <w:pPr>
              <w:pStyle w:val="Normal"/>
              <w:spacing w:lineRule="atLeast" w:line="0"/>
              <w:rPr>
                <w:rFonts w:ascii="Arial" w:hAnsi="Arial" w:eastAsia="Arial" w:cs="Arial"/>
                <w:w w:val="92"/>
                <w:sz w:val="19"/>
              </w:rPr>
            </w:pPr>
            <w:r>
              <w:rPr>
                <w:rFonts w:eastAsia="Arial" w:cs="Arial" w:ascii="Arial" w:hAnsi="Arial"/>
                <w:w w:val="92"/>
                <w:sz w:val="19"/>
              </w:rPr>
              <w:t>early 2000s appears to have been associated with</w:t>
            </w:r>
          </w:p>
        </w:tc>
        <w:tc>
          <w:tcPr>
            <w:tcW w:w="3880" w:type="dxa"/>
            <w:vMerge w:val="continue"/>
            <w:tcBorders/>
          </w:tcPr>
          <w:p>
            <w:pPr>
              <w:pStyle w:val="Normal"/>
              <w:snapToGrid w:val="false"/>
              <w:spacing w:lineRule="atLeast" w:line="0"/>
              <w:rPr>
                <w:rFonts w:ascii="Times New Roman" w:hAnsi="Times New Roman" w:eastAsia="Times New Roman" w:cs="Times New Roman"/>
                <w:w w:val="92"/>
                <w:sz w:val="10"/>
              </w:rPr>
            </w:pPr>
            <w:r>
              <w:rPr>
                <w:rFonts w:eastAsia="Times New Roman" w:cs="Times New Roman" w:ascii="Times New Roman" w:hAnsi="Times New Roman"/>
                <w:w w:val="92"/>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sz w:val="19"/>
              </w:rPr>
            </w:pPr>
            <w:r>
              <w:rPr>
                <w:rFonts w:eastAsia="Arial" w:cs="Arial" w:ascii="Arial" w:hAnsi="Arial"/>
                <w:sz w:val="19"/>
              </w:rPr>
              <w:t>The increasing housing turnover rate during</w:t>
            </w:r>
          </w:p>
        </w:tc>
      </w:tr>
      <w:tr>
        <w:trPr>
          <w:trHeight w:val="126" w:hRule="atLeast"/>
        </w:trPr>
        <w:tc>
          <w:tcPr>
            <w:tcW w:w="3920" w:type="dxa"/>
            <w:vMerge w:val="restart"/>
            <w:tcBorders/>
          </w:tcPr>
          <w:p>
            <w:pPr>
              <w:pStyle w:val="Normal"/>
              <w:spacing w:lineRule="atLeast" w:line="0"/>
              <w:rPr>
                <w:rFonts w:ascii="Arial" w:hAnsi="Arial" w:eastAsia="Arial" w:cs="Arial"/>
                <w:w w:val="94"/>
                <w:sz w:val="19"/>
              </w:rPr>
            </w:pPr>
            <w:r>
              <w:rPr>
                <w:rFonts w:eastAsia="Arial" w:cs="Arial" w:ascii="Arial" w:hAnsi="Arial"/>
                <w:w w:val="94"/>
                <w:sz w:val="19"/>
              </w:rPr>
              <w:t>a significant decline in the rate of gross interstate</w:t>
            </w:r>
          </w:p>
        </w:tc>
        <w:tc>
          <w:tcPr>
            <w:tcW w:w="3880" w:type="dxa"/>
            <w:vMerge w:val="continue"/>
            <w:tcBorders/>
          </w:tcPr>
          <w:p>
            <w:pPr>
              <w:pStyle w:val="Normal"/>
              <w:snapToGrid w:val="false"/>
              <w:spacing w:lineRule="atLeast" w:line="0"/>
              <w:rPr>
                <w:rFonts w:ascii="Times New Roman" w:hAnsi="Times New Roman" w:eastAsia="Times New Roman" w:cs="Times New Roman"/>
                <w:w w:val="94"/>
                <w:sz w:val="10"/>
              </w:rPr>
            </w:pPr>
            <w:r>
              <w:rPr>
                <w:rFonts w:eastAsia="Times New Roman" w:cs="Times New Roman" w:ascii="Times New Roman" w:hAnsi="Times New Roman"/>
                <w:w w:val="94"/>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w w:val="92"/>
                <w:sz w:val="19"/>
              </w:rPr>
            </w:pPr>
            <w:r>
              <w:rPr>
                <w:rFonts w:eastAsia="Arial" w:cs="Arial" w:ascii="Arial" w:hAnsi="Arial"/>
                <w:w w:val="92"/>
                <w:sz w:val="19"/>
              </w:rPr>
              <w:t>the 1990s and early 2000s was associated with</w:t>
            </w:r>
          </w:p>
        </w:tc>
      </w:tr>
      <w:tr>
        <w:trPr>
          <w:trHeight w:val="126" w:hRule="atLeast"/>
        </w:trPr>
        <w:tc>
          <w:tcPr>
            <w:tcW w:w="3920" w:type="dxa"/>
            <w:vMerge w:val="restart"/>
            <w:tcBorders/>
          </w:tcPr>
          <w:p>
            <w:pPr>
              <w:pStyle w:val="Normal"/>
              <w:spacing w:lineRule="atLeast" w:line="0"/>
              <w:rPr>
                <w:rFonts w:ascii="Arial" w:hAnsi="Arial" w:eastAsia="Arial" w:cs="Arial"/>
                <w:w w:val="93"/>
                <w:sz w:val="19"/>
              </w:rPr>
            </w:pPr>
            <w:r>
              <w:rPr>
                <w:rFonts w:eastAsia="Arial" w:cs="Arial" w:ascii="Arial" w:hAnsi="Arial"/>
                <w:w w:val="93"/>
                <w:sz w:val="19"/>
              </w:rPr>
              <w:t>migration (Graph 4). As previously discussed, the</w:t>
            </w:r>
          </w:p>
        </w:tc>
        <w:tc>
          <w:tcPr>
            <w:tcW w:w="3880" w:type="dxa"/>
            <w:vMerge w:val="continue"/>
            <w:tcBorders/>
          </w:tcPr>
          <w:p>
            <w:pPr>
              <w:pStyle w:val="Normal"/>
              <w:snapToGrid w:val="false"/>
              <w:spacing w:lineRule="atLeast" w:line="0"/>
              <w:rPr>
                <w:rFonts w:ascii="Times New Roman" w:hAnsi="Times New Roman" w:eastAsia="Times New Roman" w:cs="Times New Roman"/>
                <w:w w:val="93"/>
                <w:sz w:val="10"/>
              </w:rPr>
            </w:pPr>
            <w:r>
              <w:rPr>
                <w:rFonts w:eastAsia="Times New Roman" w:cs="Times New Roman" w:ascii="Times New Roman" w:hAnsi="Times New Roman"/>
                <w:w w:val="93"/>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w w:val="97"/>
                <w:sz w:val="19"/>
              </w:rPr>
            </w:pPr>
            <w:r>
              <w:rPr>
                <w:rFonts w:eastAsia="Arial" w:cs="Arial" w:ascii="Arial" w:hAnsi="Arial"/>
                <w:w w:val="97"/>
                <w:sz w:val="19"/>
              </w:rPr>
              <w:t>a rise in the rate of gross overseas migration,</w:t>
            </w:r>
          </w:p>
        </w:tc>
      </w:tr>
      <w:tr>
        <w:trPr>
          <w:trHeight w:val="126" w:hRule="atLeast"/>
        </w:trPr>
        <w:tc>
          <w:tcPr>
            <w:tcW w:w="3920" w:type="dxa"/>
            <w:vMerge w:val="restart"/>
            <w:tcBorders/>
          </w:tcPr>
          <w:p>
            <w:pPr>
              <w:pStyle w:val="Normal"/>
              <w:spacing w:lineRule="atLeast" w:line="0"/>
              <w:rPr>
                <w:rFonts w:ascii="Arial" w:hAnsi="Arial" w:eastAsia="Arial" w:cs="Arial"/>
                <w:w w:val="96"/>
                <w:sz w:val="19"/>
              </w:rPr>
            </w:pPr>
            <w:r>
              <w:rPr>
                <w:rFonts w:eastAsia="Arial" w:cs="Arial" w:ascii="Arial" w:hAnsi="Arial"/>
                <w:w w:val="96"/>
                <w:sz w:val="19"/>
              </w:rPr>
              <w:t>decision to move reflects an interaction between</w:t>
            </w:r>
          </w:p>
        </w:tc>
        <w:tc>
          <w:tcPr>
            <w:tcW w:w="3880" w:type="dxa"/>
            <w:vMerge w:val="continue"/>
            <w:tcBorders/>
          </w:tcPr>
          <w:p>
            <w:pPr>
              <w:pStyle w:val="Normal"/>
              <w:snapToGrid w:val="false"/>
              <w:spacing w:lineRule="atLeast" w:line="0"/>
              <w:rPr>
                <w:rFonts w:ascii="Times New Roman" w:hAnsi="Times New Roman" w:eastAsia="Times New Roman" w:cs="Times New Roman"/>
                <w:w w:val="96"/>
                <w:sz w:val="10"/>
              </w:rPr>
            </w:pPr>
            <w:r>
              <w:rPr>
                <w:rFonts w:eastAsia="Times New Roman" w:cs="Times New Roman" w:ascii="Times New Roman" w:hAnsi="Times New Roman"/>
                <w:w w:val="96"/>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w w:val="96"/>
                <w:sz w:val="19"/>
              </w:rPr>
            </w:pPr>
            <w:r>
              <w:rPr>
                <w:rFonts w:eastAsia="Arial" w:cs="Arial" w:ascii="Arial" w:hAnsi="Arial"/>
                <w:w w:val="96"/>
                <w:sz w:val="19"/>
              </w:rPr>
              <w:t>although the decline in the turnover rate since</w:t>
            </w:r>
          </w:p>
        </w:tc>
      </w:tr>
      <w:tr>
        <w:trPr>
          <w:trHeight w:val="126" w:hRule="atLeast"/>
        </w:trPr>
        <w:tc>
          <w:tcPr>
            <w:tcW w:w="3920" w:type="dxa"/>
            <w:vMerge w:val="restart"/>
            <w:tcBorders/>
          </w:tcPr>
          <w:p>
            <w:pPr>
              <w:pStyle w:val="Normal"/>
              <w:spacing w:lineRule="atLeast" w:line="0"/>
              <w:rPr>
                <w:rFonts w:ascii="Arial" w:hAnsi="Arial" w:eastAsia="Arial" w:cs="Arial"/>
                <w:w w:val="95"/>
                <w:sz w:val="19"/>
              </w:rPr>
            </w:pPr>
            <w:r>
              <w:rPr>
                <w:rFonts w:eastAsia="Arial" w:cs="Arial" w:ascii="Arial" w:hAnsi="Arial"/>
                <w:w w:val="95"/>
                <w:sz w:val="19"/>
              </w:rPr>
              <w:t>various benefits and costs. For example, moving</w:t>
            </w:r>
          </w:p>
        </w:tc>
        <w:tc>
          <w:tcPr>
            <w:tcW w:w="3880" w:type="dxa"/>
            <w:vMerge w:val="continue"/>
            <w:tcBorders/>
          </w:tcPr>
          <w:p>
            <w:pPr>
              <w:pStyle w:val="Normal"/>
              <w:snapToGrid w:val="false"/>
              <w:spacing w:lineRule="atLeast" w:line="0"/>
              <w:rPr>
                <w:rFonts w:ascii="Times New Roman" w:hAnsi="Times New Roman" w:eastAsia="Times New Roman" w:cs="Times New Roman"/>
                <w:w w:val="95"/>
                <w:sz w:val="10"/>
              </w:rPr>
            </w:pPr>
            <w:r>
              <w:rPr>
                <w:rFonts w:eastAsia="Times New Roman" w:cs="Times New Roman" w:ascii="Times New Roman" w:hAnsi="Times New Roman"/>
                <w:w w:val="95"/>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w w:val="98"/>
                <w:sz w:val="19"/>
              </w:rPr>
            </w:pPr>
            <w:r>
              <w:rPr>
                <w:rFonts w:eastAsia="Arial" w:cs="Arial" w:ascii="Arial" w:hAnsi="Arial"/>
                <w:w w:val="98"/>
                <w:sz w:val="19"/>
              </w:rPr>
              <w:t>then has occurred alongside a relatively high</w:t>
            </w:r>
          </w:p>
        </w:tc>
      </w:tr>
      <w:tr>
        <w:trPr>
          <w:trHeight w:val="126" w:hRule="atLeast"/>
        </w:trPr>
        <w:tc>
          <w:tcPr>
            <w:tcW w:w="3920" w:type="dxa"/>
            <w:vMerge w:val="restart"/>
            <w:tcBorders/>
          </w:tcPr>
          <w:p>
            <w:pPr>
              <w:pStyle w:val="Normal"/>
              <w:spacing w:lineRule="atLeast" w:line="0"/>
              <w:rPr>
                <w:rFonts w:ascii="Arial" w:hAnsi="Arial" w:eastAsia="Arial" w:cs="Arial"/>
                <w:w w:val="97"/>
                <w:sz w:val="19"/>
              </w:rPr>
            </w:pPr>
            <w:r>
              <w:rPr>
                <w:rFonts w:eastAsia="Arial" w:cs="Arial" w:ascii="Arial" w:hAnsi="Arial"/>
                <w:w w:val="97"/>
                <w:sz w:val="19"/>
              </w:rPr>
              <w:t>interstate may bring households closer to family</w:t>
            </w:r>
          </w:p>
        </w:tc>
        <w:tc>
          <w:tcPr>
            <w:tcW w:w="3880" w:type="dxa"/>
            <w:vMerge w:val="continue"/>
            <w:tcBorders/>
          </w:tcPr>
          <w:p>
            <w:pPr>
              <w:pStyle w:val="Normal"/>
              <w:snapToGrid w:val="false"/>
              <w:spacing w:lineRule="atLeast" w:line="0"/>
              <w:rPr>
                <w:rFonts w:ascii="Times New Roman" w:hAnsi="Times New Roman" w:eastAsia="Times New Roman" w:cs="Times New Roman"/>
                <w:w w:val="97"/>
                <w:sz w:val="10"/>
              </w:rPr>
            </w:pPr>
            <w:r>
              <w:rPr>
                <w:rFonts w:eastAsia="Times New Roman" w:cs="Times New Roman" w:ascii="Times New Roman" w:hAnsi="Times New Roman"/>
                <w:w w:val="97"/>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w w:val="89"/>
                <w:sz w:val="19"/>
              </w:rPr>
            </w:pPr>
            <w:r>
              <w:rPr>
                <w:rFonts w:eastAsia="Arial" w:cs="Arial" w:ascii="Arial" w:hAnsi="Arial"/>
                <w:w w:val="89"/>
                <w:sz w:val="19"/>
              </w:rPr>
              <w:t>gross overseas migration rate. While higher rates</w:t>
            </w:r>
          </w:p>
        </w:tc>
      </w:tr>
      <w:tr>
        <w:trPr>
          <w:trHeight w:val="126" w:hRule="atLeast"/>
        </w:trPr>
        <w:tc>
          <w:tcPr>
            <w:tcW w:w="3920" w:type="dxa"/>
            <w:vMerge w:val="restart"/>
            <w:tcBorders/>
          </w:tcPr>
          <w:p>
            <w:pPr>
              <w:pStyle w:val="Normal"/>
              <w:spacing w:lineRule="atLeast" w:line="0"/>
              <w:rPr>
                <w:rFonts w:ascii="Arial" w:hAnsi="Arial" w:eastAsia="Arial" w:cs="Arial"/>
                <w:w w:val="97"/>
                <w:sz w:val="19"/>
              </w:rPr>
            </w:pPr>
            <w:r>
              <w:rPr>
                <w:rFonts w:eastAsia="Arial" w:cs="Arial" w:ascii="Arial" w:hAnsi="Arial"/>
                <w:w w:val="97"/>
                <w:sz w:val="19"/>
              </w:rPr>
              <w:t>and friends or better employment opportunities,</w:t>
            </w:r>
          </w:p>
        </w:tc>
        <w:tc>
          <w:tcPr>
            <w:tcW w:w="3880" w:type="dxa"/>
            <w:vMerge w:val="continue"/>
            <w:tcBorders/>
          </w:tcPr>
          <w:p>
            <w:pPr>
              <w:pStyle w:val="Normal"/>
              <w:snapToGrid w:val="false"/>
              <w:spacing w:lineRule="atLeast" w:line="0"/>
              <w:rPr>
                <w:rFonts w:ascii="Times New Roman" w:hAnsi="Times New Roman" w:eastAsia="Times New Roman" w:cs="Times New Roman"/>
                <w:w w:val="97"/>
                <w:sz w:val="10"/>
              </w:rPr>
            </w:pPr>
            <w:r>
              <w:rPr>
                <w:rFonts w:eastAsia="Times New Roman" w:cs="Times New Roman" w:ascii="Times New Roman" w:hAnsi="Times New Roman"/>
                <w:w w:val="97"/>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w w:val="93"/>
                <w:sz w:val="19"/>
              </w:rPr>
            </w:pPr>
            <w:r>
              <w:rPr>
                <w:rFonts w:eastAsia="Arial" w:cs="Arial" w:ascii="Arial" w:hAnsi="Arial"/>
                <w:w w:val="93"/>
                <w:sz w:val="19"/>
              </w:rPr>
              <w:t>of gross overseas migration would be expected</w:t>
            </w:r>
          </w:p>
        </w:tc>
      </w:tr>
      <w:tr>
        <w:trPr>
          <w:trHeight w:val="126" w:hRule="atLeast"/>
        </w:trPr>
        <w:tc>
          <w:tcPr>
            <w:tcW w:w="3920" w:type="dxa"/>
            <w:vMerge w:val="restart"/>
            <w:tcBorders/>
          </w:tcPr>
          <w:p>
            <w:pPr>
              <w:pStyle w:val="Normal"/>
              <w:spacing w:lineRule="atLeast" w:line="0"/>
              <w:rPr>
                <w:rFonts w:ascii="Arial" w:hAnsi="Arial" w:eastAsia="Arial" w:cs="Arial"/>
                <w:sz w:val="19"/>
              </w:rPr>
            </w:pPr>
            <w:r>
              <w:rPr>
                <w:rFonts w:eastAsia="Arial" w:cs="Arial" w:ascii="Arial" w:hAnsi="Arial"/>
                <w:sz w:val="19"/>
              </w:rPr>
              <w:t>but can involve high costs. Structural factors</w:t>
            </w:r>
          </w:p>
        </w:tc>
        <w:tc>
          <w:tcPr>
            <w:tcW w:w="3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w w:val="91"/>
                <w:sz w:val="19"/>
              </w:rPr>
            </w:pPr>
            <w:r>
              <w:rPr>
                <w:rFonts w:eastAsia="Arial" w:cs="Arial" w:ascii="Arial" w:hAnsi="Arial"/>
                <w:w w:val="91"/>
                <w:sz w:val="19"/>
              </w:rPr>
              <w:t>to have a positive effect on the housing turnover</w:t>
            </w:r>
          </w:p>
        </w:tc>
      </w:tr>
      <w:tr>
        <w:trPr>
          <w:trHeight w:val="126" w:hRule="atLeast"/>
        </w:trPr>
        <w:tc>
          <w:tcPr>
            <w:tcW w:w="3920" w:type="dxa"/>
            <w:vMerge w:val="restart"/>
            <w:tcBorders/>
          </w:tcPr>
          <w:p>
            <w:pPr>
              <w:pStyle w:val="Normal"/>
              <w:spacing w:lineRule="atLeast" w:line="0"/>
              <w:rPr>
                <w:rFonts w:ascii="Arial" w:hAnsi="Arial" w:eastAsia="Arial" w:cs="Arial"/>
                <w:sz w:val="19"/>
              </w:rPr>
            </w:pPr>
            <w:r>
              <w:rPr>
                <w:rFonts w:eastAsia="Arial" w:cs="Arial" w:ascii="Arial" w:hAnsi="Arial"/>
                <w:sz w:val="19"/>
              </w:rPr>
              <w:t>such as improvements in technology and the</w:t>
            </w:r>
          </w:p>
        </w:tc>
        <w:tc>
          <w:tcPr>
            <w:tcW w:w="3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w w:val="97"/>
                <w:sz w:val="19"/>
              </w:rPr>
            </w:pPr>
            <w:r>
              <w:rPr>
                <w:rFonts w:eastAsia="Arial" w:cs="Arial" w:ascii="Arial" w:hAnsi="Arial"/>
                <w:w w:val="97"/>
                <w:sz w:val="19"/>
              </w:rPr>
              <w:t>rate, this relationship could operate with a lag</w:t>
            </w:r>
          </w:p>
        </w:tc>
      </w:tr>
      <w:tr>
        <w:trPr>
          <w:trHeight w:val="126" w:hRule="atLeast"/>
        </w:trPr>
        <w:tc>
          <w:tcPr>
            <w:tcW w:w="3920" w:type="dxa"/>
            <w:vMerge w:val="restart"/>
            <w:tcBorders/>
          </w:tcPr>
          <w:p>
            <w:pPr>
              <w:pStyle w:val="Normal"/>
              <w:spacing w:lineRule="atLeast" w:line="0"/>
              <w:rPr>
                <w:rFonts w:ascii="Arial" w:hAnsi="Arial" w:eastAsia="Arial" w:cs="Arial"/>
                <w:sz w:val="19"/>
              </w:rPr>
            </w:pPr>
            <w:r>
              <w:rPr>
                <w:rFonts w:eastAsia="Arial" w:cs="Arial" w:ascii="Arial" w:hAnsi="Arial"/>
                <w:sz w:val="19"/>
              </w:rPr>
              <w:t>changing nature of work are likely to have</w:t>
            </w:r>
          </w:p>
        </w:tc>
        <w:tc>
          <w:tcPr>
            <w:tcW w:w="3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w w:val="93"/>
                <w:sz w:val="19"/>
              </w:rPr>
            </w:pPr>
            <w:r>
              <w:rPr>
                <w:rFonts w:eastAsia="Arial" w:cs="Arial" w:ascii="Arial" w:hAnsi="Arial"/>
                <w:w w:val="93"/>
                <w:sz w:val="19"/>
              </w:rPr>
              <w:t>given that a large proportion of new immigrants</w:t>
            </w:r>
          </w:p>
        </w:tc>
      </w:tr>
      <w:tr>
        <w:trPr>
          <w:trHeight w:val="126" w:hRule="atLeast"/>
        </w:trPr>
        <w:tc>
          <w:tcPr>
            <w:tcW w:w="3920" w:type="dxa"/>
            <w:vMerge w:val="restart"/>
            <w:tcBorders/>
          </w:tcPr>
          <w:p>
            <w:pPr>
              <w:pStyle w:val="Normal"/>
              <w:spacing w:lineRule="atLeast" w:line="0"/>
              <w:rPr>
                <w:rFonts w:ascii="Arial" w:hAnsi="Arial" w:eastAsia="Arial" w:cs="Arial"/>
                <w:sz w:val="19"/>
              </w:rPr>
            </w:pPr>
            <w:r>
              <w:rPr>
                <w:rFonts w:eastAsia="Arial" w:cs="Arial" w:ascii="Arial" w:hAnsi="Arial"/>
                <w:sz w:val="19"/>
              </w:rPr>
              <w:t>reduced the benefits of interstate migration</w:t>
            </w:r>
          </w:p>
        </w:tc>
        <w:tc>
          <w:tcPr>
            <w:tcW w:w="3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w w:val="95"/>
                <w:sz w:val="19"/>
              </w:rPr>
            </w:pPr>
            <w:r>
              <w:rPr>
                <w:rFonts w:eastAsia="Arial" w:cs="Arial" w:ascii="Arial" w:hAnsi="Arial"/>
                <w:w w:val="95"/>
                <w:sz w:val="19"/>
              </w:rPr>
              <w:t>tend to rent their first home in Australia before</w:t>
            </w:r>
          </w:p>
        </w:tc>
      </w:tr>
      <w:tr>
        <w:trPr>
          <w:trHeight w:val="126" w:hRule="atLeast"/>
        </w:trPr>
        <w:tc>
          <w:tcPr>
            <w:tcW w:w="3920" w:type="dxa"/>
            <w:vMerge w:val="restart"/>
            <w:tcBorders/>
          </w:tcPr>
          <w:p>
            <w:pPr>
              <w:pStyle w:val="Normal"/>
              <w:spacing w:lineRule="atLeast" w:line="0"/>
              <w:rPr>
                <w:rFonts w:ascii="Arial" w:hAnsi="Arial" w:eastAsia="Arial" w:cs="Arial"/>
                <w:w w:val="99"/>
                <w:sz w:val="19"/>
              </w:rPr>
            </w:pPr>
            <w:r>
              <w:rPr>
                <w:rFonts w:eastAsia="Arial" w:cs="Arial" w:ascii="Arial" w:hAnsi="Arial"/>
                <w:w w:val="99"/>
                <w:sz w:val="19"/>
              </w:rPr>
              <w:t>while increasing insecurity around employment</w:t>
            </w:r>
          </w:p>
        </w:tc>
        <w:tc>
          <w:tcPr>
            <w:tcW w:w="3880" w:type="dxa"/>
            <w:vMerge w:val="continue"/>
            <w:tcBorders/>
          </w:tcPr>
          <w:p>
            <w:pPr>
              <w:pStyle w:val="Normal"/>
              <w:snapToGrid w:val="false"/>
              <w:spacing w:lineRule="atLeast" w:line="0"/>
              <w:rPr>
                <w:rFonts w:ascii="Times New Roman" w:hAnsi="Times New Roman" w:eastAsia="Times New Roman" w:cs="Times New Roman"/>
                <w:w w:val="99"/>
                <w:sz w:val="10"/>
              </w:rPr>
            </w:pPr>
            <w:r>
              <w:rPr>
                <w:rFonts w:eastAsia="Times New Roman" w:cs="Times New Roman" w:ascii="Times New Roman" w:hAnsi="Times New Roman"/>
                <w:w w:val="99"/>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pPr>
            <w:r>
              <w:rPr>
                <w:rFonts w:eastAsia="Arial" w:cs="Arial" w:ascii="Arial" w:hAnsi="Arial"/>
                <w:w w:val="90"/>
                <w:sz w:val="19"/>
              </w:rPr>
              <w:t xml:space="preserve">later transitioning to home ownership (Khoo </w:t>
            </w:r>
            <w:r>
              <w:rPr>
                <w:rFonts w:eastAsia="Arial" w:cs="Arial" w:ascii="Arial" w:hAnsi="Arial"/>
                <w:i/>
                <w:w w:val="90"/>
                <w:sz w:val="19"/>
              </w:rPr>
              <w:t>et al</w:t>
            </w:r>
          </w:p>
        </w:tc>
      </w:tr>
      <w:tr>
        <w:trPr>
          <w:trHeight w:val="126" w:hRule="atLeast"/>
        </w:trPr>
        <w:tc>
          <w:tcPr>
            <w:tcW w:w="3920" w:type="dxa"/>
            <w:vMerge w:val="restart"/>
            <w:tcBorders/>
          </w:tcPr>
          <w:p>
            <w:pPr>
              <w:pStyle w:val="Normal"/>
              <w:spacing w:lineRule="atLeast" w:line="0"/>
              <w:rPr>
                <w:rFonts w:ascii="Arial" w:hAnsi="Arial" w:eastAsia="Arial" w:cs="Arial"/>
                <w:w w:val="98"/>
                <w:sz w:val="19"/>
              </w:rPr>
            </w:pPr>
            <w:r>
              <w:rPr>
                <w:rFonts w:eastAsia="Arial" w:cs="Arial" w:ascii="Arial" w:hAnsi="Arial"/>
                <w:w w:val="98"/>
                <w:sz w:val="19"/>
              </w:rPr>
              <w:t>and income, which would be expected to weigh</w:t>
            </w:r>
          </w:p>
        </w:tc>
        <w:tc>
          <w:tcPr>
            <w:tcW w:w="3880" w:type="dxa"/>
            <w:vMerge w:val="continue"/>
            <w:tcBorders/>
          </w:tcPr>
          <w:p>
            <w:pPr>
              <w:pStyle w:val="Normal"/>
              <w:snapToGrid w:val="false"/>
              <w:spacing w:lineRule="atLeast" w:line="0"/>
              <w:rPr>
                <w:rFonts w:ascii="Times New Roman" w:hAnsi="Times New Roman" w:eastAsia="Times New Roman" w:cs="Times New Roman"/>
                <w:w w:val="98"/>
                <w:sz w:val="10"/>
              </w:rPr>
            </w:pPr>
            <w:r>
              <w:rPr>
                <w:rFonts w:eastAsia="Times New Roman" w:cs="Times New Roman" w:ascii="Times New Roman" w:hAnsi="Times New Roman"/>
                <w:w w:val="98"/>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w w:val="93"/>
                <w:sz w:val="19"/>
              </w:rPr>
            </w:pPr>
            <w:r>
              <w:rPr>
                <w:rFonts w:eastAsia="Arial" w:cs="Arial" w:ascii="Arial" w:hAnsi="Arial"/>
                <w:w w:val="93"/>
                <w:sz w:val="19"/>
              </w:rPr>
              <w:t>2012). Students also comprise a large share of</w:t>
            </w:r>
          </w:p>
        </w:tc>
      </w:tr>
      <w:tr>
        <w:trPr>
          <w:trHeight w:val="126" w:hRule="atLeast"/>
        </w:trPr>
        <w:tc>
          <w:tcPr>
            <w:tcW w:w="3920" w:type="dxa"/>
            <w:vMerge w:val="restart"/>
            <w:tcBorders/>
          </w:tcPr>
          <w:p>
            <w:pPr>
              <w:pStyle w:val="Normal"/>
              <w:spacing w:lineRule="atLeast" w:line="0"/>
              <w:rPr>
                <w:rFonts w:ascii="Arial" w:hAnsi="Arial" w:eastAsia="Arial" w:cs="Arial"/>
                <w:sz w:val="19"/>
              </w:rPr>
            </w:pPr>
            <w:r>
              <w:rPr>
                <w:rFonts w:eastAsia="Arial" w:cs="Arial" w:ascii="Arial" w:hAnsi="Arial"/>
                <w:sz w:val="19"/>
              </w:rPr>
              <w:t>on the housing turnover rate (Bachmann and</w:t>
            </w:r>
          </w:p>
        </w:tc>
        <w:tc>
          <w:tcPr>
            <w:tcW w:w="3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w w:val="88"/>
                <w:sz w:val="19"/>
              </w:rPr>
            </w:pPr>
            <w:r>
              <w:rPr>
                <w:rFonts w:eastAsia="Arial" w:cs="Arial" w:ascii="Arial" w:hAnsi="Arial"/>
                <w:w w:val="88"/>
                <w:sz w:val="19"/>
              </w:rPr>
              <w:t>new migrants to Australia and are likely to be less</w:t>
            </w:r>
          </w:p>
        </w:tc>
      </w:tr>
      <w:tr>
        <w:trPr>
          <w:trHeight w:val="126" w:hRule="atLeast"/>
        </w:trPr>
        <w:tc>
          <w:tcPr>
            <w:tcW w:w="3920" w:type="dxa"/>
            <w:vMerge w:val="restart"/>
            <w:tcBorders/>
          </w:tcPr>
          <w:p>
            <w:pPr>
              <w:pStyle w:val="Normal"/>
              <w:spacing w:lineRule="atLeast" w:line="0"/>
              <w:rPr>
                <w:rFonts w:ascii="Arial" w:hAnsi="Arial" w:eastAsia="Arial" w:cs="Arial"/>
                <w:w w:val="93"/>
                <w:sz w:val="19"/>
              </w:rPr>
            </w:pPr>
            <w:r>
              <w:rPr>
                <w:rFonts w:eastAsia="Arial" w:cs="Arial" w:ascii="Arial" w:hAnsi="Arial"/>
                <w:w w:val="93"/>
                <w:sz w:val="19"/>
              </w:rPr>
              <w:t>Cooper 2014; Kaplan and Schulhofer-Wohl 2015;</w:t>
            </w:r>
          </w:p>
        </w:tc>
        <w:tc>
          <w:tcPr>
            <w:tcW w:w="3880" w:type="dxa"/>
            <w:vMerge w:val="continue"/>
            <w:tcBorders/>
          </w:tcPr>
          <w:p>
            <w:pPr>
              <w:pStyle w:val="Normal"/>
              <w:snapToGrid w:val="false"/>
              <w:spacing w:lineRule="atLeast" w:line="0"/>
              <w:rPr>
                <w:rFonts w:ascii="Times New Roman" w:hAnsi="Times New Roman" w:eastAsia="Times New Roman" w:cs="Times New Roman"/>
                <w:w w:val="93"/>
                <w:sz w:val="10"/>
              </w:rPr>
            </w:pPr>
            <w:r>
              <w:rPr>
                <w:rFonts w:eastAsia="Times New Roman" w:cs="Times New Roman" w:ascii="Times New Roman" w:hAnsi="Times New Roman"/>
                <w:w w:val="93"/>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rFonts w:ascii="Arial" w:hAnsi="Arial" w:eastAsia="Arial" w:cs="Arial"/>
                <w:w w:val="94"/>
                <w:sz w:val="19"/>
              </w:rPr>
            </w:pPr>
            <w:r>
              <w:rPr>
                <w:rFonts w:eastAsia="Arial" w:cs="Arial" w:ascii="Arial" w:hAnsi="Arial"/>
                <w:w w:val="94"/>
                <w:sz w:val="19"/>
              </w:rPr>
              <w:t>able and inclined to purchase housing than the</w:t>
            </w:r>
          </w:p>
        </w:tc>
      </w:tr>
      <w:tr>
        <w:trPr>
          <w:trHeight w:val="126" w:hRule="atLeast"/>
        </w:trPr>
        <w:tc>
          <w:tcPr>
            <w:tcW w:w="3920" w:type="dxa"/>
            <w:vMerge w:val="restart"/>
            <w:tcBorders/>
          </w:tcPr>
          <w:p>
            <w:pPr>
              <w:pStyle w:val="Normal"/>
              <w:spacing w:lineRule="atLeast" w:line="0"/>
              <w:rPr>
                <w:rFonts w:ascii="Arial" w:hAnsi="Arial" w:eastAsia="Arial" w:cs="Arial"/>
                <w:w w:val="97"/>
                <w:sz w:val="19"/>
              </w:rPr>
            </w:pPr>
            <w:r>
              <w:rPr>
                <w:rFonts w:eastAsia="Arial" w:cs="Arial" w:ascii="Arial" w:hAnsi="Arial"/>
                <w:w w:val="97"/>
                <w:sz w:val="19"/>
              </w:rPr>
              <w:t>RBA 2015). In the United States, lower housing</w:t>
            </w:r>
          </w:p>
        </w:tc>
        <w:tc>
          <w:tcPr>
            <w:tcW w:w="3880" w:type="dxa"/>
            <w:vMerge w:val="continue"/>
            <w:tcBorders/>
          </w:tcPr>
          <w:p>
            <w:pPr>
              <w:pStyle w:val="Normal"/>
              <w:snapToGrid w:val="false"/>
              <w:spacing w:lineRule="atLeast" w:line="0"/>
              <w:rPr>
                <w:rFonts w:ascii="Times New Roman" w:hAnsi="Times New Roman" w:eastAsia="Times New Roman" w:cs="Times New Roman"/>
                <w:w w:val="97"/>
                <w:sz w:val="10"/>
              </w:rPr>
            </w:pPr>
            <w:r>
              <w:rPr>
                <w:rFonts w:eastAsia="Times New Roman" w:cs="Times New Roman" w:ascii="Times New Roman" w:hAnsi="Times New Roman"/>
                <w:w w:val="97"/>
                <w:sz w:val="10"/>
              </w:rPr>
            </w:r>
          </w:p>
        </w:tc>
      </w:tr>
      <w:tr>
        <w:trPr>
          <w:trHeight w:val="144" w:hRule="atLeast"/>
        </w:trPr>
        <w:tc>
          <w:tcPr>
            <w:tcW w:w="3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restart"/>
            <w:tcBorders/>
          </w:tcPr>
          <w:p>
            <w:pPr>
              <w:pStyle w:val="Normal"/>
              <w:spacing w:lineRule="atLeast" w:line="0"/>
              <w:ind w:start="160" w:end="0"/>
              <w:rPr/>
            </w:pPr>
            <w:r>
              <w:rPr>
                <w:rFonts w:eastAsia="Arial" w:cs="Arial" w:ascii="Arial" w:hAnsi="Arial"/>
                <w:sz w:val="19"/>
              </w:rPr>
              <w:t>average household (RBA 2015).</w:t>
            </w:r>
            <w:r>
              <w:rPr>
                <w:rFonts w:eastAsia="Arial" w:cs="Arial" w:ascii="Arial" w:hAnsi="Arial"/>
                <w:sz w:val="11"/>
              </w:rPr>
              <w:t>7</w:t>
            </w:r>
          </w:p>
        </w:tc>
      </w:tr>
      <w:tr>
        <w:trPr>
          <w:trHeight w:val="126" w:hRule="atLeast"/>
        </w:trPr>
        <w:tc>
          <w:tcPr>
            <w:tcW w:w="3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20"/>
        <w:rPr>
          <w:rFonts w:ascii="Times New Roman" w:hAnsi="Times New Roman" w:eastAsia="Times New Roman" w:cs="Times New Roman"/>
          <w:sz w:val="10"/>
        </w:rPr>
      </w:pPr>
      <w:r>
        <w:rPr>
          <w:rFonts w:eastAsia="Times New Roman" w:cs="Times New Roman" w:ascii="Times New Roman" w:hAnsi="Times New Roman"/>
          <w:sz w:val="10"/>
        </w:rPr>
        <mc:AlternateContent>
          <mc:Choice Requires="wps">
            <w:drawing>
              <wp:anchor behindDoc="1" distT="0" distB="0" distL="114935" distR="114935" simplePos="0" locked="0" layoutInCell="1" allowOverlap="1" relativeHeight="70">
                <wp:simplePos x="0" y="0"/>
                <wp:positionH relativeFrom="column">
                  <wp:posOffset>266700</wp:posOffset>
                </wp:positionH>
                <wp:positionV relativeFrom="paragraph">
                  <wp:posOffset>19685</wp:posOffset>
                </wp:positionV>
                <wp:extent cx="2376170" cy="0"/>
                <wp:effectExtent l="0" t="1905" r="0" b="1905"/>
                <wp:wrapNone/>
                <wp:docPr id="68" name=""/>
                <a:graphic xmlns:a="http://schemas.openxmlformats.org/drawingml/2006/main">
                  <a:graphicData uri="http://schemas.microsoft.com/office/word/2010/wordprocessingShape">
                    <wps:wsp>
                      <wps:cNvSpPr/>
                      <wps:spPr>
                        <a:xfrm>
                          <a:off x="0" y="0"/>
                          <a:ext cx="2376000" cy="0"/>
                        </a:xfrm>
                        <a:prstGeom prst="line">
                          <a:avLst/>
                        </a:prstGeom>
                        <a:ln w="3960">
                          <a:solidFill>
                            <a:srgbClr val="a2948f"/>
                          </a:solidFill>
                          <a:miter/>
                        </a:ln>
                      </wps:spPr>
                      <wps:style>
                        <a:lnRef idx="0"/>
                        <a:fillRef idx="0"/>
                        <a:effectRef idx="0"/>
                        <a:fontRef idx="minor"/>
                      </wps:style>
                      <wps:bodyPr/>
                    </wps:wsp>
                  </a:graphicData>
                </a:graphic>
              </wp:anchor>
            </w:drawing>
          </mc:Choice>
          <mc:Fallback>
            <w:pict>
              <v:line id="shape_0" from="21pt,1.55pt" to="208.05pt,1.55pt" stroked="t" o:allowincell="f" style="position:absolute">
                <v:stroke color="#a2948f" weight="39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3"/>
        </w:rPr>
      </w:pPr>
      <w:r>
        <w:rPr>
          <w:rFonts w:eastAsia="Arial" w:cs="Arial" w:ascii="Arial" w:hAnsi="Arial"/>
          <w:sz w:val="13"/>
        </w:rPr>
        <w:t>%</w:t>
      </w:r>
    </w:p>
    <w:p>
      <w:pPr>
        <w:pStyle w:val="Normal"/>
        <w:spacing w:lineRule="exact" w:line="232"/>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end="40"/>
        <w:jc w:val="center"/>
        <w:rPr>
          <w:rFonts w:ascii="Arial" w:hAnsi="Arial" w:eastAsia="Arial" w:cs="Arial"/>
          <w:sz w:val="13"/>
        </w:rPr>
      </w:pPr>
      <w:r>
        <w:rPr>
          <w:rFonts w:eastAsia="Arial" w:cs="Arial" w:ascii="Arial" w:hAnsi="Arial"/>
          <w:sz w:val="13"/>
        </w:rPr>
        <w:t>7</w:t>
      </w:r>
    </w:p>
    <w:p>
      <w:pPr>
        <w:pStyle w:val="Normal"/>
        <w:spacing w:lineRule="exact" w:line="288"/>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end="40"/>
        <w:jc w:val="center"/>
        <w:rPr>
          <w:rFonts w:ascii="Arial" w:hAnsi="Arial" w:eastAsia="Arial" w:cs="Arial"/>
          <w:sz w:val="13"/>
        </w:rPr>
      </w:pPr>
      <w:r>
        <w:rPr>
          <w:rFonts w:eastAsia="Arial" w:cs="Arial" w:ascii="Arial" w:hAnsi="Arial"/>
          <w:sz w:val="13"/>
        </w:rPr>
        <w:t>5</w:t>
      </w:r>
    </w:p>
    <w:p>
      <w:pPr>
        <w:pStyle w:val="Normal"/>
        <w:spacing w:lineRule="exact" w:line="344"/>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rPr>
          <w:rFonts w:ascii="Arial" w:hAnsi="Arial" w:eastAsia="Arial" w:cs="Arial"/>
          <w:sz w:val="13"/>
        </w:rPr>
      </w:pPr>
      <w:r>
        <w:rPr>
          <w:rFonts w:eastAsia="Arial" w:cs="Arial" w:ascii="Arial" w:hAnsi="Arial"/>
          <w:sz w:val="13"/>
        </w:rPr>
        <w:t>%</w:t>
      </w:r>
    </w:p>
    <w:p>
      <w:pPr>
        <w:pStyle w:val="Normal"/>
        <w:spacing w:lineRule="exact" w:line="232"/>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end="40"/>
        <w:jc w:val="center"/>
        <w:rPr>
          <w:rFonts w:ascii="Arial" w:hAnsi="Arial" w:eastAsia="Arial" w:cs="Arial"/>
          <w:sz w:val="13"/>
        </w:rPr>
      </w:pPr>
      <w:r>
        <w:rPr>
          <w:rFonts w:eastAsia="Arial" w:cs="Arial" w:ascii="Arial" w:hAnsi="Arial"/>
          <w:sz w:val="13"/>
        </w:rPr>
        <w:t>7</w:t>
      </w:r>
    </w:p>
    <w:p>
      <w:pPr>
        <w:pStyle w:val="Normal"/>
        <w:spacing w:lineRule="exact" w:line="288"/>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end="40"/>
        <w:jc w:val="center"/>
        <w:rPr>
          <w:rFonts w:ascii="Arial" w:hAnsi="Arial" w:eastAsia="Arial" w:cs="Arial"/>
          <w:sz w:val="13"/>
        </w:rPr>
      </w:pPr>
      <w:r>
        <w:rPr>
          <w:rFonts w:eastAsia="Arial" w:cs="Arial" w:ascii="Arial" w:hAnsi="Arial"/>
          <w:sz w:val="13"/>
        </w:rPr>
        <w:t>5</w:t>
      </w:r>
    </w:p>
    <w:p>
      <w:pPr>
        <w:pStyle w:val="Normal"/>
        <w:spacing w:lineRule="exact" w:line="288"/>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end="40"/>
        <w:jc w:val="center"/>
        <w:rPr>
          <w:rFonts w:ascii="Arial" w:hAnsi="Arial" w:eastAsia="Arial" w:cs="Arial"/>
          <w:sz w:val="13"/>
        </w:rPr>
      </w:pPr>
      <w:r>
        <w:rPr>
          <w:rFonts w:eastAsia="Arial" w:cs="Arial" w:ascii="Arial" w:hAnsi="Arial"/>
          <w:sz w:val="13"/>
        </w:rPr>
        <w:t>3</w:t>
      </w:r>
    </w:p>
    <w:p>
      <w:pPr>
        <w:sectPr>
          <w:type w:val="continuous"/>
          <w:pgSz w:w="9978" w:h="14173"/>
          <w:pgMar w:left="600" w:right="998" w:gutter="0" w:header="0" w:top="822" w:footer="0" w:bottom="0"/>
          <w:cols w:num="2" w:equalWidth="false" w:sep="false">
            <w:col w:w="8220" w:space="40"/>
            <w:col w:w="120"/>
          </w:cols>
          <w:formProt w:val="false"/>
          <w:textDirection w:val="lrTb"/>
          <w:docGrid w:type="default" w:linePitch="360" w:charSpace="0"/>
        </w:sectPr>
      </w:pPr>
    </w:p>
    <w:p>
      <w:pPr>
        <w:pStyle w:val="Normal"/>
        <w:spacing w:lineRule="exact" w:line="83"/>
        <w:rPr>
          <w:rFonts w:ascii="Times New Roman" w:hAnsi="Times New Roman" w:eastAsia="Times New Roman" w:cs="Times New Roman"/>
          <w:sz w:val="13"/>
        </w:rPr>
      </w:pPr>
      <w:r>
        <w:rPr>
          <w:rFonts w:eastAsia="Times New Roman" w:cs="Times New Roman" w:ascii="Times New Roman" w:hAnsi="Times New Roman"/>
          <w:sz w:val="13"/>
        </w:rPr>
      </w:r>
    </w:p>
    <w:p>
      <w:pPr>
        <w:pStyle w:val="Normal"/>
        <w:numPr>
          <w:ilvl w:val="0"/>
          <w:numId w:val="6"/>
        </w:numPr>
        <w:tabs>
          <w:tab w:val="clear" w:pos="720"/>
          <w:tab w:val="left" w:pos="600" w:leader="none"/>
        </w:tabs>
        <w:spacing w:lineRule="auto" w:line="321"/>
        <w:ind w:hanging="180" w:start="600" w:end="0"/>
        <w:rPr>
          <w:rFonts w:ascii="Arial" w:hAnsi="Arial" w:eastAsia="Arial" w:cs="Arial"/>
          <w:sz w:val="12"/>
        </w:rPr>
      </w:pPr>
      <w:r>
        <w:rPr>
          <w:rFonts w:eastAsia="Arial" w:cs="Arial" w:ascii="Arial" w:hAnsi="Arial"/>
          <w:sz w:val="12"/>
        </w:rPr>
        <w:t>Additionally, older people are much less likely to finance a new housing purchase with a loan, and if they do, the loan size is typically much smaller. Such a compositional change implies a smaller level of credit per housing transaction than otherwise.</w:t>
      </w:r>
    </w:p>
    <w:p>
      <w:pPr>
        <w:pStyle w:val="Normal"/>
        <w:spacing w:lineRule="exact" w:line="263"/>
        <w:rPr>
          <w:rFonts w:ascii="Times New Roman" w:hAnsi="Times New Roman" w:eastAsia="Times New Roman" w:cs="Times New Roman"/>
          <w:sz w:val="12"/>
        </w:rPr>
      </w:pPr>
      <w:r>
        <w:br w:type="column"/>
      </w:r>
      <w:r>
        <w:rPr>
          <w:rFonts w:eastAsia="Times New Roman" w:cs="Times New Roman" w:ascii="Times New Roman" w:hAnsi="Times New Roman"/>
          <w:sz w:val="12"/>
        </w:rPr>
      </w:r>
    </w:p>
    <w:p>
      <w:pPr>
        <w:pStyle w:val="Normal"/>
        <w:numPr>
          <w:ilvl w:val="0"/>
          <w:numId w:val="7"/>
        </w:numPr>
        <w:tabs>
          <w:tab w:val="clear" w:pos="720"/>
          <w:tab w:val="left" w:pos="178" w:leader="none"/>
        </w:tabs>
        <w:spacing w:lineRule="auto" w:line="364"/>
        <w:ind w:hanging="178" w:start="178" w:end="420"/>
        <w:rPr>
          <w:rFonts w:ascii="Arial" w:hAnsi="Arial" w:eastAsia="Arial" w:cs="Arial"/>
          <w:sz w:val="11"/>
        </w:rPr>
      </w:pPr>
      <w:r>
        <w:rPr>
          <w:rFonts w:eastAsia="Arial" w:cs="Arial" w:ascii="Arial" w:hAnsi="Arial"/>
          <w:sz w:val="11"/>
        </w:rPr>
        <w:t>However, liaison suggests that one recent motivation of foreign buyers of Australian property has been to provide housing for children while they study in Australia (Shoory 2016).</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71">
                <wp:simplePos x="0" y="0"/>
                <wp:positionH relativeFrom="column">
                  <wp:posOffset>0</wp:posOffset>
                </wp:positionH>
                <wp:positionV relativeFrom="paragraph">
                  <wp:posOffset>-400685</wp:posOffset>
                </wp:positionV>
                <wp:extent cx="2375535" cy="0"/>
                <wp:effectExtent l="0" t="1905" r="0" b="1905"/>
                <wp:wrapNone/>
                <wp:docPr id="69" name=""/>
                <a:graphic xmlns:a="http://schemas.openxmlformats.org/drawingml/2006/main">
                  <a:graphicData uri="http://schemas.microsoft.com/office/word/2010/wordprocessingShape">
                    <wps:wsp>
                      <wps:cNvSpPr/>
                      <wps:spPr>
                        <a:xfrm>
                          <a:off x="0" y="0"/>
                          <a:ext cx="2375640" cy="0"/>
                        </a:xfrm>
                        <a:prstGeom prst="line">
                          <a:avLst/>
                        </a:prstGeom>
                        <a:ln w="3960">
                          <a:solidFill>
                            <a:srgbClr val="a2948f"/>
                          </a:solidFill>
                          <a:miter/>
                        </a:ln>
                      </wps:spPr>
                      <wps:style>
                        <a:lnRef idx="0"/>
                        <a:fillRef idx="0"/>
                        <a:effectRef idx="0"/>
                        <a:fontRef idx="minor"/>
                      </wps:style>
                      <wps:bodyPr/>
                    </wps:wsp>
                  </a:graphicData>
                </a:graphic>
              </wp:anchor>
            </w:drawing>
          </mc:Choice>
          <mc:Fallback>
            <w:pict>
              <v:line id="shape_0" from="0pt,-31.55pt" to="187pt,-31.55pt" stroked="t" o:allowincell="f" style="position:absolute">
                <v:stroke color="#a2948f" weight="3960" joinstyle="miter" endcap="flat"/>
                <v:fill o:detectmouseclick="t" on="false"/>
                <w10:wrap type="none"/>
              </v:line>
            </w:pict>
          </mc:Fallback>
        </mc:AlternateContent>
      </w:r>
    </w:p>
    <w:p>
      <w:pPr>
        <w:sectPr>
          <w:type w:val="continuous"/>
          <w:pgSz w:w="9978" w:h="14173"/>
          <w:pgMar w:left="600" w:right="998" w:gutter="0" w:header="0" w:top="822" w:footer="0" w:bottom="0"/>
          <w:cols w:num="2" w:equalWidth="false" w:sep="false">
            <w:col w:w="4160" w:space="342"/>
            <w:col w:w="3878"/>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00" w:leader="none"/>
        </w:tabs>
        <w:spacing w:lineRule="atLeast" w:line="0"/>
        <w:rPr/>
      </w:pPr>
      <w:r>
        <w:rPr>
          <w:rFonts w:eastAsia="Arial" w:cs="Arial" w:ascii="Arial" w:hAnsi="Arial"/>
          <w:b/>
          <w:sz w:val="16"/>
        </w:rPr>
        <w:t>2 4</w:t>
      </w:r>
      <w:r>
        <w:rPr>
          <w:rFonts w:eastAsia="Times New Roman" w:cs="Times New Roman" w:ascii="Times New Roman" w:hAnsi="Times New Roman"/>
        </w:rPr>
        <w:tab/>
      </w:r>
      <w:r>
        <w:rPr>
          <w:rFonts w:eastAsia="Arial" w:cs="Arial" w:ascii="Arial" w:hAnsi="Arial"/>
          <w:sz w:val="14"/>
        </w:rPr>
        <w:t>RESERVE BANK OF AUSTRALIA</w:t>
      </w:r>
    </w:p>
    <w:p>
      <w:pPr>
        <w:sectPr>
          <w:type w:val="continuous"/>
          <w:pgSz w:w="9978" w:h="14173"/>
          <w:pgMar w:left="600" w:right="998" w:gutter="0" w:header="0" w:top="822"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bookmarkStart w:id="6" w:name="page5"/>
      <w:bookmarkStart w:id="7" w:name="page5"/>
      <w:bookmarkEnd w:id="7"/>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6" w:end="140"/>
        <w:rPr>
          <w:rFonts w:ascii="Arial" w:hAnsi="Arial" w:eastAsia="Arial" w:cs="Arial"/>
          <w:color w:val="005766"/>
          <w:sz w:val="23"/>
        </w:rPr>
      </w:pPr>
      <w:r>
        <w:rPr>
          <w:rFonts w:eastAsia="Arial" w:cs="Arial" w:ascii="Arial" w:hAnsi="Arial"/>
          <w:color w:val="005766"/>
          <w:sz w:val="23"/>
        </w:rPr>
        <w:t>Housing Turnover and the Recent Increase in Apartment Building</w:t>
      </w:r>
    </w:p>
    <w:p>
      <w:pPr>
        <w:pStyle w:val="Normal"/>
        <w:spacing w:lineRule="exact" w:line="33"/>
        <w:rPr>
          <w:rFonts w:ascii="Times New Roman" w:hAnsi="Times New Roman" w:eastAsia="Times New Roman" w:cs="Times New Roman"/>
          <w:color w:val="005766"/>
          <w:sz w:val="23"/>
        </w:rPr>
      </w:pPr>
      <w:r>
        <w:rPr>
          <w:rFonts w:eastAsia="Times New Roman" w:cs="Times New Roman" w:ascii="Times New Roman" w:hAnsi="Times New Roman"/>
          <w:color w:val="005766"/>
          <w:sz w:val="23"/>
        </w:rPr>
      </w:r>
    </w:p>
    <w:p>
      <w:pPr>
        <w:pStyle w:val="Normal"/>
        <w:spacing w:lineRule="auto" w:line="328"/>
        <w:ind w:start="6" w:end="40"/>
        <w:rPr>
          <w:rFonts w:ascii="Arial" w:hAnsi="Arial" w:eastAsia="Arial" w:cs="Arial"/>
          <w:sz w:val="17"/>
        </w:rPr>
      </w:pPr>
      <w:r>
        <w:rPr>
          <w:rFonts w:eastAsia="Arial" w:cs="Arial" w:ascii="Arial" w:hAnsi="Arial"/>
          <w:sz w:val="17"/>
        </w:rPr>
        <w:t>The decline in the national housing turnover rate in recent years has occurred despite strength</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33"/>
        <w:ind w:start="6" w:end="0"/>
        <w:rPr>
          <w:rFonts w:ascii="Arial" w:hAnsi="Arial" w:eastAsia="Arial" w:cs="Arial"/>
          <w:sz w:val="17"/>
        </w:rPr>
      </w:pPr>
      <w:r>
        <w:rPr>
          <w:rFonts w:eastAsia="Arial" w:cs="Arial" w:ascii="Arial" w:hAnsi="Arial"/>
          <w:sz w:val="17"/>
        </w:rPr>
        <w:t>in a number of housing market indicators such as national housing price growth, which has historically been positively correlated with the turnover rate. While the previous section outlined some potential reasons for the longer-run decline in the housing turnover rate, part of the recent weakness could be due to measurement issues arising from the increased share of apartments in new housing construction.</w:t>
      </w:r>
    </w:p>
    <w:p>
      <w:pPr>
        <w:pStyle w:val="Normal"/>
        <w:spacing w:lineRule="exact" w:line="59"/>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28"/>
        <w:ind w:start="6" w:end="0"/>
        <w:rPr/>
      </w:pPr>
      <w:r>
        <w:rPr>
          <w:rFonts w:eastAsia="Arial" w:cs="Arial" w:ascii="Arial" w:hAnsi="Arial"/>
          <w:sz w:val="17"/>
        </w:rPr>
        <w:t>Private residential building approvals for higher-density housing have increased sharply since 2009 and now account for around half of all approvals (Graph 5).</w:t>
      </w:r>
      <w:r>
        <w:rPr>
          <w:rFonts w:eastAsia="Arial" w:cs="Arial" w:ascii="Arial" w:hAnsi="Arial"/>
          <w:sz w:val="10"/>
        </w:rPr>
        <w:t>8</w:t>
      </w:r>
      <w:r>
        <w:rPr>
          <w:rFonts w:eastAsia="Arial" w:cs="Arial" w:ascii="Arial" w:hAnsi="Arial"/>
          <w:sz w:val="17"/>
        </w:rPr>
        <w:t xml:space="preserve"> Meanwhile the apartment turnover rate, which has historically moved in line with building approvals, has declined. Evidence from business liaison suggests that the majority of new apartments are purchased off-the-plan, well before construction has commenced, and that off-the-plan sales have settlement lags</w:t>
      </w:r>
    </w:p>
    <w:p>
      <w:pPr>
        <w:pStyle w:val="Normal"/>
        <w:spacing w:lineRule="exact" w:line="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36"/>
        <w:ind w:start="6" w:end="0"/>
        <w:rPr>
          <w:rFonts w:ascii="Arial" w:hAnsi="Arial" w:eastAsia="Arial" w:cs="Arial"/>
          <w:sz w:val="17"/>
        </w:rPr>
      </w:pPr>
      <w:r>
        <w:rPr>
          <w:rFonts w:eastAsia="Arial" w:cs="Arial" w:ascii="Arial" w:hAnsi="Arial"/>
          <w:sz w:val="17"/>
        </w:rPr>
        <w:t>of around two or three years (Shoory 2016). However, data providers have limited information about these sales until settlement, implying that contract-dated measures of housing turnover are likely to be understating actual turnover in the most recent years. Elevated levels of new apartment construction would be expected to increase the degree of this understatement.</w:t>
      </w:r>
    </w:p>
    <w:p>
      <w:pPr>
        <w:pStyle w:val="Normal"/>
        <w:spacing w:lineRule="exact" w:line="5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36"/>
        <w:ind w:start="6" w:end="160"/>
        <w:rPr>
          <w:rFonts w:ascii="Arial" w:hAnsi="Arial" w:eastAsia="Arial" w:cs="Arial"/>
          <w:sz w:val="17"/>
        </w:rPr>
      </w:pPr>
      <w:r>
        <w:rPr>
          <w:rFonts w:eastAsia="Arial" w:cs="Arial" w:ascii="Arial" w:hAnsi="Arial"/>
          <w:sz w:val="17"/>
        </w:rPr>
        <w:t>One way to approximate the extent of the understatement of apartment turnover is to estimate the share of turnover that relates to new apartments versus existing apartments. This information can then be used to adjust the most recent data. The ABS and private research companies publish data on house and</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72">
                <wp:simplePos x="0" y="0"/>
                <wp:positionH relativeFrom="column">
                  <wp:posOffset>0</wp:posOffset>
                </wp:positionH>
                <wp:positionV relativeFrom="paragraph">
                  <wp:posOffset>170180</wp:posOffset>
                </wp:positionV>
                <wp:extent cx="2375535" cy="0"/>
                <wp:effectExtent l="0" t="1905" r="0" b="1905"/>
                <wp:wrapNone/>
                <wp:docPr id="70" name=""/>
                <a:graphic xmlns:a="http://schemas.openxmlformats.org/drawingml/2006/main">
                  <a:graphicData uri="http://schemas.microsoft.com/office/word/2010/wordprocessingShape">
                    <wps:wsp>
                      <wps:cNvSpPr/>
                      <wps:spPr>
                        <a:xfrm>
                          <a:off x="0" y="0"/>
                          <a:ext cx="2375640" cy="0"/>
                        </a:xfrm>
                        <a:prstGeom prst="line">
                          <a:avLst/>
                        </a:prstGeom>
                        <a:ln w="3960">
                          <a:solidFill>
                            <a:srgbClr val="a2948f"/>
                          </a:solidFill>
                          <a:miter/>
                        </a:ln>
                      </wps:spPr>
                      <wps:style>
                        <a:lnRef idx="0"/>
                        <a:fillRef idx="0"/>
                        <a:effectRef idx="0"/>
                        <a:fontRef idx="minor"/>
                      </wps:style>
                      <wps:bodyPr/>
                    </wps:wsp>
                  </a:graphicData>
                </a:graphic>
              </wp:anchor>
            </w:drawing>
          </mc:Choice>
          <mc:Fallback>
            <w:pict>
              <v:line id="shape_0" from="0pt,13.4pt" to="187pt,13.4pt" stroked="t" o:allowincell="f" style="position:absolute">
                <v:stroke color="#a2948f" weight="3960" joinstyle="miter" endcap="flat"/>
                <v:fill o:detectmouseclick="t" on="false"/>
                <w10:wrap type="none"/>
              </v:line>
            </w:pict>
          </mc:Fallback>
        </mc:AlternateContent>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66" w:leader="none"/>
        </w:tabs>
        <w:spacing w:lineRule="auto" w:line="324"/>
        <w:ind w:hanging="166" w:start="166" w:end="20"/>
        <w:rPr>
          <w:rFonts w:ascii="Arial" w:hAnsi="Arial" w:eastAsia="Arial" w:cs="Arial"/>
          <w:sz w:val="12"/>
        </w:rPr>
      </w:pPr>
      <w:r>
        <w:rPr>
          <w:rFonts w:eastAsia="Arial" w:cs="Arial" w:ascii="Arial" w:hAnsi="Arial"/>
          <w:sz w:val="12"/>
        </w:rPr>
        <w:t>Higher-density building approvals include apartments as well as semi-detached houses, but apartments have been the main driver of the increase in approvals in recent years (Shoory 2016).</w:t>
      </w:r>
    </w:p>
    <w:p>
      <w:pPr>
        <w:pStyle w:val="Normal"/>
        <w:spacing w:lineRule="atLeast" w:line="0"/>
        <w:ind w:end="440"/>
        <w:jc w:val="end"/>
        <w:rPr>
          <w:rFonts w:ascii="Arial" w:hAnsi="Arial" w:eastAsia="Arial" w:cs="Arial"/>
          <w:color w:val="005766"/>
          <w:sz w:val="14"/>
        </w:rPr>
      </w:pPr>
      <w:r>
        <w:br w:type="column"/>
      </w:r>
      <w:r>
        <w:rPr>
          <w:rFonts w:eastAsia="Arial" w:cs="Arial" w:ascii="Arial" w:hAnsi="Arial"/>
          <w:color w:val="005766"/>
          <w:sz w:val="14"/>
        </w:rPr>
        <w:t>HOUSING MARKET TURNOVER</w:t>
      </w:r>
    </w:p>
    <w:p>
      <w:pPr>
        <w:pStyle w:val="Normal"/>
        <w:spacing w:lineRule="exact" w:line="376"/>
        <w:rPr>
          <w:rFonts w:ascii="Times New Roman" w:hAnsi="Times New Roman" w:eastAsia="Times New Roman" w:cs="Times New Roman"/>
          <w:color w:val="005766"/>
          <w:sz w:val="14"/>
        </w:rPr>
      </w:pPr>
      <w:r>
        <w:rPr>
          <w:rFonts w:eastAsia="Times New Roman" w:cs="Times New Roman" w:ascii="Times New Roman" w:hAnsi="Times New Roman"/>
          <w:color w:val="005766"/>
          <w:sz w:val="14"/>
        </w:rPr>
      </w:r>
    </w:p>
    <w:p>
      <w:pPr>
        <w:pStyle w:val="Normal"/>
        <w:spacing w:lineRule="atLeast" w:line="0"/>
        <w:ind w:end="240"/>
        <w:jc w:val="center"/>
        <w:rPr>
          <w:rFonts w:ascii="Arial" w:hAnsi="Arial" w:eastAsia="Arial" w:cs="Arial"/>
          <w:b/>
        </w:rPr>
      </w:pPr>
      <w:r>
        <w:rPr>
          <w:rFonts w:eastAsia="Arial" w:cs="Arial" w:ascii="Arial" w:hAnsi="Arial"/>
          <w:b/>
        </w:rPr>
        <w:t>Graph 5</w:t>
      </w:r>
    </w:p>
    <w:p>
      <w:pPr>
        <w:pStyle w:val="Normal"/>
        <w:spacing w:lineRule="exact" w:line="2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end="260"/>
        <w:jc w:val="center"/>
        <w:rPr>
          <w:rFonts w:ascii="Arial" w:hAnsi="Arial" w:eastAsia="Arial" w:cs="Arial"/>
          <w:b/>
          <w:sz w:val="18"/>
        </w:rPr>
      </w:pPr>
      <w:r>
        <w:rPr>
          <w:rFonts w:eastAsia="Arial" w:cs="Arial" w:ascii="Arial" w:hAnsi="Arial"/>
          <w:b/>
          <w:sz w:val="18"/>
        </w:rPr>
        <w:t>Apartment Turnover Rate and</w:t>
      </w:r>
    </w:p>
    <w:p>
      <w:pPr>
        <w:pStyle w:val="Normal"/>
        <w:spacing w:lineRule="exact" w:line="1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end="260"/>
        <w:jc w:val="center"/>
        <w:rPr>
          <w:rFonts w:ascii="Arial" w:hAnsi="Arial" w:eastAsia="Arial" w:cs="Arial"/>
          <w:b/>
          <w:sz w:val="18"/>
        </w:rPr>
      </w:pPr>
      <w:r>
        <w:rPr>
          <w:rFonts w:eastAsia="Arial" w:cs="Arial" w:ascii="Arial" w:hAnsi="Arial"/>
          <w:b/>
          <w:sz w:val="18"/>
        </w:rPr>
        <w:t>Building Approvals</w:t>
      </w:r>
    </w:p>
    <w:p>
      <w:pPr>
        <w:pStyle w:val="Normal"/>
        <w:spacing w:lineRule="exact" w:line="2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360" w:end="0"/>
        <w:rPr>
          <w:rFonts w:ascii="Arial" w:hAnsi="Arial" w:eastAsia="Arial" w:cs="Arial"/>
          <w:sz w:val="13"/>
        </w:rPr>
      </w:pPr>
      <w:r>
        <w:rPr>
          <w:rFonts w:eastAsia="Arial" w:cs="Arial" w:ascii="Arial" w:hAnsi="Arial"/>
          <w:sz w:val="13"/>
        </w:rPr>
        <w:t>Annualised share of housing stock, seasonally adjusted</w:t>
      </w:r>
    </w:p>
    <w:p>
      <w:pPr>
        <w:pStyle w:val="Normal"/>
        <w:spacing w:lineRule="exact" w:line="9"/>
        <w:rPr>
          <w:rFonts w:ascii="Times New Roman" w:hAnsi="Times New Roman" w:eastAsia="Times New Roman" w:cs="Times New Roman"/>
          <w:sz w:val="13"/>
        </w:rPr>
      </w:pPr>
      <w:r>
        <w:rPr>
          <w:rFonts w:eastAsia="Times New Roman" w:cs="Times New Roman" w:ascii="Times New Roman" w:hAnsi="Times New Roman"/>
          <w:sz w:val="13"/>
        </w:rPr>
      </w:r>
    </w:p>
    <w:tbl>
      <w:tblPr>
        <w:tblW w:w="3900" w:type="dxa"/>
        <w:jc w:val="start"/>
        <w:tblInd w:w="0" w:type="dxa"/>
        <w:tblLayout w:type="fixed"/>
        <w:tblCellMar>
          <w:top w:w="0" w:type="dxa"/>
          <w:start w:w="0" w:type="dxa"/>
          <w:bottom w:w="0" w:type="dxa"/>
          <w:end w:w="0" w:type="dxa"/>
        </w:tblCellMar>
      </w:tblPr>
      <w:tblGrid>
        <w:gridCol w:w="240"/>
        <w:gridCol w:w="420"/>
        <w:gridCol w:w="620"/>
        <w:gridCol w:w="740"/>
        <w:gridCol w:w="560"/>
        <w:gridCol w:w="760"/>
        <w:gridCol w:w="560"/>
      </w:tblGrid>
      <w:tr>
        <w:trPr>
          <w:trHeight w:val="175" w:hRule="atLeast"/>
        </w:trPr>
        <w:tc>
          <w:tcPr>
            <w:tcW w:w="240" w:type="dxa"/>
            <w:tcBorders/>
          </w:tcPr>
          <w:p>
            <w:pPr>
              <w:pStyle w:val="Normal"/>
              <w:spacing w:lineRule="atLeast" w:line="0"/>
              <w:jc w:val="end"/>
              <w:rPr>
                <w:rFonts w:ascii="Arial" w:hAnsi="Arial" w:eastAsia="Arial" w:cs="Arial"/>
                <w:sz w:val="13"/>
              </w:rPr>
            </w:pPr>
            <w:r>
              <w:rPr>
                <w:rFonts w:eastAsia="Arial" w:cs="Arial" w:ascii="Arial" w:hAnsi="Arial"/>
                <w:sz w:val="13"/>
              </w:rPr>
              <w:t>%</w:t>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pacing w:lineRule="atLeast" w:line="0"/>
              <w:jc w:val="end"/>
              <w:rPr>
                <w:rFonts w:ascii="Arial" w:hAnsi="Arial" w:eastAsia="Arial" w:cs="Arial"/>
                <w:sz w:val="13"/>
              </w:rPr>
            </w:pPr>
            <w:r>
              <w:rPr>
                <w:rFonts w:eastAsia="Arial" w:cs="Arial" w:ascii="Arial" w:hAnsi="Arial"/>
                <w:sz w:val="13"/>
              </w:rPr>
              <w:t>%</w:t>
            </w:r>
          </w:p>
        </w:tc>
      </w:tr>
      <w:tr>
        <w:trPr>
          <w:trHeight w:val="600" w:hRule="atLeast"/>
        </w:trPr>
        <w:tc>
          <w:tcPr>
            <w:tcW w:w="240" w:type="dxa"/>
            <w:tcBorders/>
          </w:tcPr>
          <w:p>
            <w:pPr>
              <w:pStyle w:val="Normal"/>
              <w:spacing w:lineRule="atLeast" w:line="0"/>
              <w:jc w:val="end"/>
              <w:rPr>
                <w:rFonts w:ascii="Arial" w:hAnsi="Arial" w:eastAsia="Arial" w:cs="Arial"/>
                <w:w w:val="88"/>
                <w:sz w:val="13"/>
              </w:rPr>
            </w:pPr>
            <w:r>
              <w:rPr>
                <w:rFonts w:eastAsia="Arial" w:cs="Arial" w:ascii="Arial" w:hAnsi="Arial"/>
                <w:w w:val="88"/>
                <w:sz w:val="13"/>
              </w:rPr>
              <w:t>1.2</w:t>
            </w:r>
          </w:p>
        </w:tc>
        <w:tc>
          <w:tcPr>
            <w:tcW w:w="420" w:type="dxa"/>
            <w:tcBorders/>
          </w:tcPr>
          <w:p>
            <w:pPr>
              <w:pStyle w:val="Normal"/>
              <w:snapToGrid w:val="false"/>
              <w:spacing w:lineRule="atLeast" w:line="0"/>
              <w:rPr>
                <w:rFonts w:ascii="Times New Roman" w:hAnsi="Times New Roman" w:eastAsia="Times New Roman" w:cs="Times New Roman"/>
                <w:w w:val="88"/>
                <w:sz w:val="24"/>
              </w:rPr>
            </w:pPr>
            <w:r>
              <w:rPr>
                <w:rFonts w:eastAsia="Times New Roman" w:cs="Times New Roman" w:ascii="Times New Roman" w:hAnsi="Times New Roman"/>
                <w:w w:val="88"/>
                <w:sz w:val="24"/>
              </w:rPr>
            </w:r>
          </w:p>
        </w:tc>
        <w:tc>
          <w:tcPr>
            <w:tcW w:w="1920" w:type="dxa"/>
            <w:gridSpan w:val="3"/>
            <w:vMerge w:val="restart"/>
            <w:tcBorders/>
          </w:tcPr>
          <w:p>
            <w:pPr>
              <w:pStyle w:val="Normal"/>
              <w:spacing w:lineRule="atLeast" w:line="0"/>
              <w:jc w:val="end"/>
              <w:rPr>
                <w:rFonts w:ascii="Arial" w:hAnsi="Arial" w:eastAsia="Arial" w:cs="Arial"/>
                <w:color w:val="5CB343"/>
                <w:sz w:val="13"/>
              </w:rPr>
            </w:pPr>
            <w:r>
              <w:rPr>
                <w:rFonts w:eastAsia="Arial" w:cs="Arial" w:ascii="Arial" w:hAnsi="Arial"/>
                <w:color w:val="5CB343"/>
                <w:sz w:val="13"/>
              </w:rPr>
              <w:t>Apartment turnover rate</w:t>
            </w:r>
          </w:p>
        </w:tc>
        <w:tc>
          <w:tcPr>
            <w:tcW w:w="760" w:type="dxa"/>
            <w:tcBorders/>
          </w:tcPr>
          <w:p>
            <w:pPr>
              <w:pStyle w:val="Normal"/>
              <w:snapToGrid w:val="false"/>
              <w:spacing w:lineRule="atLeast" w:line="0"/>
              <w:rPr>
                <w:rFonts w:ascii="Times New Roman" w:hAnsi="Times New Roman" w:eastAsia="Times New Roman" w:cs="Times New Roman"/>
                <w:color w:val="5CB343"/>
                <w:sz w:val="24"/>
              </w:rPr>
            </w:pPr>
            <w:r>
              <w:rPr>
                <w:rFonts w:eastAsia="Times New Roman" w:cs="Times New Roman" w:ascii="Times New Roman" w:hAnsi="Times New Roman"/>
                <w:color w:val="5CB343"/>
                <w:sz w:val="24"/>
              </w:rPr>
            </w:r>
          </w:p>
        </w:tc>
        <w:tc>
          <w:tcPr>
            <w:tcW w:w="560" w:type="dxa"/>
            <w:tcBorders/>
          </w:tcPr>
          <w:p>
            <w:pPr>
              <w:pStyle w:val="Normal"/>
              <w:spacing w:lineRule="atLeast" w:line="0"/>
              <w:jc w:val="end"/>
              <w:rPr>
                <w:rFonts w:ascii="Arial" w:hAnsi="Arial" w:eastAsia="Arial" w:cs="Arial"/>
                <w:sz w:val="13"/>
              </w:rPr>
            </w:pPr>
            <w:r>
              <w:rPr>
                <w:rFonts w:eastAsia="Arial" w:cs="Arial" w:ascii="Arial" w:hAnsi="Arial"/>
                <w:sz w:val="13"/>
              </w:rPr>
              <w:t>3</w:t>
            </w:r>
          </w:p>
        </w:tc>
      </w:tr>
      <w:tr>
        <w:trPr>
          <w:trHeight w:val="87" w:hRule="atLeast"/>
        </w:trPr>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2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58" w:hRule="atLeast"/>
        </w:trPr>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00" w:type="dxa"/>
            <w:gridSpan w:val="2"/>
            <w:tcBorders/>
          </w:tcPr>
          <w:p>
            <w:pPr>
              <w:pStyle w:val="Normal"/>
              <w:spacing w:lineRule="atLeast" w:line="0"/>
              <w:ind w:end="174"/>
              <w:jc w:val="end"/>
              <w:rPr>
                <w:rFonts w:ascii="Arial" w:hAnsi="Arial" w:eastAsia="Arial" w:cs="Arial"/>
                <w:color w:val="5CB343"/>
                <w:sz w:val="12"/>
              </w:rPr>
            </w:pPr>
            <w:r>
              <w:rPr>
                <w:rFonts w:eastAsia="Arial" w:cs="Arial" w:ascii="Arial" w:hAnsi="Arial"/>
                <w:color w:val="5CB343"/>
                <w:sz w:val="12"/>
              </w:rPr>
              <w:t>(CoreLogic, RHS)</w:t>
            </w:r>
          </w:p>
        </w:tc>
        <w:tc>
          <w:tcPr>
            <w:tcW w:w="760" w:type="dxa"/>
            <w:tcBorders/>
          </w:tcPr>
          <w:p>
            <w:pPr>
              <w:pStyle w:val="Normal"/>
              <w:snapToGrid w:val="false"/>
              <w:spacing w:lineRule="atLeast" w:line="0"/>
              <w:rPr>
                <w:rFonts w:ascii="Times New Roman" w:hAnsi="Times New Roman" w:eastAsia="Times New Roman" w:cs="Times New Roman"/>
                <w:color w:val="5CB343"/>
                <w:sz w:val="13"/>
              </w:rPr>
            </w:pPr>
            <w:r>
              <w:rPr>
                <w:rFonts w:eastAsia="Times New Roman" w:cs="Times New Roman" w:ascii="Times New Roman" w:hAnsi="Times New Roman"/>
                <w:color w:val="5CB343"/>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412" w:hRule="atLeast"/>
        </w:trPr>
        <w:tc>
          <w:tcPr>
            <w:tcW w:w="240" w:type="dxa"/>
            <w:tcBorders/>
          </w:tcPr>
          <w:p>
            <w:pPr>
              <w:pStyle w:val="Normal"/>
              <w:spacing w:lineRule="atLeast" w:line="0"/>
              <w:jc w:val="end"/>
              <w:rPr>
                <w:rFonts w:ascii="Arial" w:hAnsi="Arial" w:eastAsia="Arial" w:cs="Arial"/>
                <w:w w:val="88"/>
                <w:sz w:val="13"/>
              </w:rPr>
            </w:pPr>
            <w:r>
              <w:rPr>
                <w:rFonts w:eastAsia="Arial" w:cs="Arial" w:ascii="Arial" w:hAnsi="Arial"/>
                <w:w w:val="88"/>
                <w:sz w:val="13"/>
              </w:rPr>
              <w:t>0.8</w:t>
            </w:r>
          </w:p>
        </w:tc>
        <w:tc>
          <w:tcPr>
            <w:tcW w:w="420" w:type="dxa"/>
            <w:tcBorders/>
          </w:tcPr>
          <w:p>
            <w:pPr>
              <w:pStyle w:val="Normal"/>
              <w:snapToGrid w:val="false"/>
              <w:spacing w:lineRule="atLeast" w:line="0"/>
              <w:rPr>
                <w:rFonts w:ascii="Times New Roman" w:hAnsi="Times New Roman" w:eastAsia="Times New Roman" w:cs="Times New Roman"/>
                <w:w w:val="88"/>
                <w:sz w:val="24"/>
              </w:rPr>
            </w:pPr>
            <w:r>
              <w:rPr>
                <w:rFonts w:eastAsia="Times New Roman" w:cs="Times New Roman" w:ascii="Times New Roman" w:hAnsi="Times New Roman"/>
                <w:w w:val="88"/>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pacing w:lineRule="atLeast" w:line="0"/>
              <w:jc w:val="end"/>
              <w:rPr>
                <w:rFonts w:ascii="Arial" w:hAnsi="Arial" w:eastAsia="Arial" w:cs="Arial"/>
                <w:sz w:val="13"/>
              </w:rPr>
            </w:pPr>
            <w:r>
              <w:rPr>
                <w:rFonts w:eastAsia="Arial" w:cs="Arial" w:ascii="Arial" w:hAnsi="Arial"/>
                <w:sz w:val="13"/>
              </w:rPr>
              <w:t>2</w:t>
            </w:r>
          </w:p>
        </w:tc>
      </w:tr>
      <w:tr>
        <w:trPr>
          <w:trHeight w:val="657" w:hRule="atLeast"/>
        </w:trPr>
        <w:tc>
          <w:tcPr>
            <w:tcW w:w="240" w:type="dxa"/>
            <w:tcBorders/>
          </w:tcPr>
          <w:p>
            <w:pPr>
              <w:pStyle w:val="Normal"/>
              <w:spacing w:lineRule="atLeast" w:line="0"/>
              <w:jc w:val="end"/>
              <w:rPr>
                <w:rFonts w:ascii="Arial" w:hAnsi="Arial" w:eastAsia="Arial" w:cs="Arial"/>
                <w:w w:val="88"/>
                <w:sz w:val="13"/>
              </w:rPr>
            </w:pPr>
            <w:r>
              <w:rPr>
                <w:rFonts w:eastAsia="Arial" w:cs="Arial" w:ascii="Arial" w:hAnsi="Arial"/>
                <w:w w:val="88"/>
                <w:sz w:val="13"/>
              </w:rPr>
              <w:t>0.4</w:t>
            </w:r>
          </w:p>
        </w:tc>
        <w:tc>
          <w:tcPr>
            <w:tcW w:w="1780" w:type="dxa"/>
            <w:gridSpan w:val="3"/>
            <w:vMerge w:val="restart"/>
            <w:tcBorders/>
          </w:tcPr>
          <w:p>
            <w:pPr>
              <w:pStyle w:val="Normal"/>
              <w:spacing w:lineRule="atLeast" w:line="0"/>
              <w:ind w:start="160" w:end="0"/>
              <w:rPr>
                <w:rFonts w:ascii="Arial" w:hAnsi="Arial" w:eastAsia="Arial" w:cs="Arial"/>
                <w:color w:val="000002"/>
                <w:sz w:val="13"/>
              </w:rPr>
            </w:pPr>
            <w:r>
              <w:rPr>
                <w:rFonts w:eastAsia="Arial" w:cs="Arial" w:ascii="Arial" w:hAnsi="Arial"/>
                <w:color w:val="000002"/>
                <w:sz w:val="13"/>
              </w:rPr>
              <w:t>Building approvals*</w:t>
            </w:r>
          </w:p>
        </w:tc>
        <w:tc>
          <w:tcPr>
            <w:tcW w:w="560" w:type="dxa"/>
            <w:tcBorders/>
          </w:tcPr>
          <w:p>
            <w:pPr>
              <w:pStyle w:val="Normal"/>
              <w:snapToGrid w:val="false"/>
              <w:spacing w:lineRule="atLeast" w:line="0"/>
              <w:rPr>
                <w:rFonts w:ascii="Times New Roman" w:hAnsi="Times New Roman" w:eastAsia="Times New Roman" w:cs="Times New Roman"/>
                <w:color w:val="000002"/>
                <w:sz w:val="24"/>
              </w:rPr>
            </w:pPr>
            <w:r>
              <w:rPr>
                <w:rFonts w:eastAsia="Times New Roman" w:cs="Times New Roman" w:ascii="Times New Roman" w:hAnsi="Times New Roman"/>
                <w:color w:val="000002"/>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pacing w:lineRule="atLeast" w:line="0"/>
              <w:jc w:val="end"/>
              <w:rPr>
                <w:rFonts w:ascii="Arial" w:hAnsi="Arial" w:eastAsia="Arial" w:cs="Arial"/>
                <w:sz w:val="13"/>
              </w:rPr>
            </w:pPr>
            <w:r>
              <w:rPr>
                <w:rFonts w:eastAsia="Arial" w:cs="Arial" w:ascii="Arial" w:hAnsi="Arial"/>
                <w:sz w:val="13"/>
              </w:rPr>
              <w:t>1</w:t>
            </w:r>
          </w:p>
        </w:tc>
      </w:tr>
      <w:tr>
        <w:trPr>
          <w:trHeight w:val="110" w:hRule="atLeast"/>
        </w:trPr>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8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80" w:type="dxa"/>
            <w:gridSpan w:val="3"/>
            <w:vMerge w:val="restart"/>
            <w:tcBorders/>
          </w:tcPr>
          <w:p>
            <w:pPr>
              <w:pStyle w:val="Normal"/>
              <w:spacing w:lineRule="atLeast" w:line="0"/>
              <w:ind w:end="234"/>
              <w:jc w:val="end"/>
              <w:rPr>
                <w:rFonts w:ascii="Arial" w:hAnsi="Arial" w:eastAsia="Arial" w:cs="Arial"/>
                <w:color w:val="4E2290"/>
                <w:sz w:val="13"/>
              </w:rPr>
            </w:pPr>
            <w:r>
              <w:rPr>
                <w:rFonts w:eastAsia="Arial" w:cs="Arial" w:ascii="Arial" w:hAnsi="Arial"/>
                <w:color w:val="4E2290"/>
                <w:sz w:val="13"/>
              </w:rPr>
              <w:t>Apartment turnover rate</w:t>
            </w:r>
          </w:p>
        </w:tc>
      </w:tr>
      <w:tr>
        <w:trPr>
          <w:trHeight w:val="112" w:hRule="atLeast"/>
        </w:trPr>
        <w:tc>
          <w:tcPr>
            <w:tcW w:w="240" w:type="dxa"/>
            <w:tcBorders/>
          </w:tcPr>
          <w:p>
            <w:pPr>
              <w:pStyle w:val="Normal"/>
              <w:snapToGrid w:val="false"/>
              <w:spacing w:lineRule="atLeast" w:line="0"/>
              <w:rPr>
                <w:rFonts w:ascii="Times New Roman" w:hAnsi="Times New Roman" w:eastAsia="Times New Roman" w:cs="Times New Roman"/>
                <w:color w:val="4E2290"/>
                <w:sz w:val="9"/>
              </w:rPr>
            </w:pPr>
            <w:r>
              <w:rPr>
                <w:rFonts w:eastAsia="Times New Roman" w:cs="Times New Roman" w:ascii="Times New Roman" w:hAnsi="Times New Roman"/>
                <w:color w:val="4E2290"/>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tcPr>
          <w:p>
            <w:pPr>
              <w:pStyle w:val="Normal"/>
              <w:spacing w:lineRule="exact" w:line="112"/>
              <w:ind w:end="116"/>
              <w:jc w:val="end"/>
              <w:rPr>
                <w:rFonts w:ascii="Arial" w:hAnsi="Arial" w:eastAsia="Arial" w:cs="Arial"/>
                <w:color w:val="000002"/>
                <w:sz w:val="12"/>
              </w:rPr>
            </w:pPr>
            <w:r>
              <w:rPr>
                <w:rFonts w:eastAsia="Arial" w:cs="Arial" w:ascii="Arial" w:hAnsi="Arial"/>
                <w:color w:val="000002"/>
                <w:sz w:val="12"/>
              </w:rPr>
              <w:t>(LHS)</w:t>
            </w:r>
          </w:p>
        </w:tc>
        <w:tc>
          <w:tcPr>
            <w:tcW w:w="740" w:type="dxa"/>
            <w:tcBorders/>
          </w:tcPr>
          <w:p>
            <w:pPr>
              <w:pStyle w:val="Normal"/>
              <w:snapToGrid w:val="false"/>
              <w:spacing w:lineRule="atLeast" w:line="0"/>
              <w:rPr>
                <w:rFonts w:ascii="Times New Roman" w:hAnsi="Times New Roman" w:eastAsia="Times New Roman" w:cs="Times New Roman"/>
                <w:color w:val="000002"/>
                <w:sz w:val="9"/>
              </w:rPr>
            </w:pPr>
            <w:r>
              <w:rPr>
                <w:rFonts w:eastAsia="Times New Roman" w:cs="Times New Roman" w:ascii="Times New Roman" w:hAnsi="Times New Roman"/>
                <w:color w:val="000002"/>
                <w:sz w:val="9"/>
              </w:rPr>
            </w:r>
          </w:p>
        </w:tc>
        <w:tc>
          <w:tcPr>
            <w:tcW w:w="188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58" w:hRule="atLeast"/>
        </w:trPr>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60" w:type="dxa"/>
            <w:tcBorders/>
          </w:tcPr>
          <w:p>
            <w:pPr>
              <w:pStyle w:val="Normal"/>
              <w:spacing w:lineRule="atLeast" w:line="0"/>
              <w:jc w:val="center"/>
              <w:rPr>
                <w:rFonts w:ascii="Arial" w:hAnsi="Arial" w:eastAsia="Arial" w:cs="Arial"/>
                <w:color w:val="4D2190"/>
                <w:w w:val="99"/>
                <w:sz w:val="12"/>
              </w:rPr>
            </w:pPr>
            <w:r>
              <w:rPr>
                <w:rFonts w:eastAsia="Arial" w:cs="Arial" w:ascii="Arial" w:hAnsi="Arial"/>
                <w:color w:val="4D2190"/>
                <w:w w:val="99"/>
                <w:sz w:val="12"/>
              </w:rPr>
              <w:t>(ABS, RHS)</w:t>
            </w:r>
          </w:p>
        </w:tc>
        <w:tc>
          <w:tcPr>
            <w:tcW w:w="560" w:type="dxa"/>
            <w:tcBorders/>
          </w:tcPr>
          <w:p>
            <w:pPr>
              <w:pStyle w:val="Normal"/>
              <w:snapToGrid w:val="false"/>
              <w:spacing w:lineRule="atLeast" w:line="0"/>
              <w:rPr>
                <w:rFonts w:ascii="Times New Roman" w:hAnsi="Times New Roman" w:eastAsia="Times New Roman" w:cs="Times New Roman"/>
                <w:color w:val="4D2190"/>
                <w:w w:val="99"/>
                <w:sz w:val="13"/>
              </w:rPr>
            </w:pPr>
            <w:r>
              <w:rPr>
                <w:rFonts w:eastAsia="Times New Roman" w:cs="Times New Roman" w:ascii="Times New Roman" w:hAnsi="Times New Roman"/>
                <w:color w:val="4D2190"/>
                <w:w w:val="99"/>
                <w:sz w:val="13"/>
              </w:rPr>
            </w:r>
          </w:p>
        </w:tc>
      </w:tr>
      <w:tr>
        <w:trPr>
          <w:trHeight w:val="364" w:hRule="atLeast"/>
        </w:trPr>
        <w:tc>
          <w:tcPr>
            <w:tcW w:w="240" w:type="dxa"/>
            <w:tcBorders/>
          </w:tcPr>
          <w:p>
            <w:pPr>
              <w:pStyle w:val="Normal"/>
              <w:spacing w:lineRule="atLeast" w:line="0"/>
              <w:jc w:val="end"/>
              <w:rPr>
                <w:rFonts w:ascii="Arial" w:hAnsi="Arial" w:eastAsia="Arial" w:cs="Arial"/>
                <w:w w:val="88"/>
                <w:sz w:val="13"/>
              </w:rPr>
            </w:pPr>
            <w:r>
              <w:rPr>
                <w:rFonts w:eastAsia="Arial" w:cs="Arial" w:ascii="Arial" w:hAnsi="Arial"/>
                <w:w w:val="88"/>
                <w:sz w:val="13"/>
              </w:rPr>
              <w:t>0.0</w:t>
            </w:r>
          </w:p>
        </w:tc>
        <w:tc>
          <w:tcPr>
            <w:tcW w:w="420" w:type="dxa"/>
            <w:tcBorders/>
          </w:tcPr>
          <w:p>
            <w:pPr>
              <w:pStyle w:val="Normal"/>
              <w:spacing w:lineRule="atLeast" w:line="0"/>
              <w:ind w:end="58"/>
              <w:jc w:val="end"/>
              <w:rPr>
                <w:rFonts w:ascii="Arial" w:hAnsi="Arial" w:eastAsia="Arial" w:cs="Arial"/>
                <w:w w:val="96"/>
                <w:sz w:val="13"/>
              </w:rPr>
            </w:pPr>
            <w:r>
              <w:rPr>
                <w:rFonts w:eastAsia="Arial" w:cs="Arial" w:ascii="Arial" w:hAnsi="Arial"/>
                <w:w w:val="96"/>
                <w:sz w:val="13"/>
              </w:rPr>
              <w:t>1991</w:t>
            </w:r>
          </w:p>
        </w:tc>
        <w:tc>
          <w:tcPr>
            <w:tcW w:w="620" w:type="dxa"/>
            <w:tcBorders/>
          </w:tcPr>
          <w:p>
            <w:pPr>
              <w:pStyle w:val="Normal"/>
              <w:spacing w:lineRule="atLeast" w:line="0"/>
              <w:ind w:end="56"/>
              <w:jc w:val="end"/>
              <w:rPr>
                <w:rFonts w:ascii="Arial" w:hAnsi="Arial" w:eastAsia="Arial" w:cs="Arial"/>
                <w:sz w:val="13"/>
              </w:rPr>
            </w:pPr>
            <w:r>
              <w:rPr>
                <w:rFonts w:eastAsia="Arial" w:cs="Arial" w:ascii="Arial" w:hAnsi="Arial"/>
                <w:sz w:val="13"/>
              </w:rPr>
              <w:t>1996</w:t>
            </w:r>
          </w:p>
        </w:tc>
        <w:tc>
          <w:tcPr>
            <w:tcW w:w="740" w:type="dxa"/>
            <w:tcBorders/>
          </w:tcPr>
          <w:p>
            <w:pPr>
              <w:pStyle w:val="Normal"/>
              <w:spacing w:lineRule="atLeast" w:line="0"/>
              <w:ind w:end="157"/>
              <w:jc w:val="end"/>
              <w:rPr>
                <w:rFonts w:ascii="Arial" w:hAnsi="Arial" w:eastAsia="Arial" w:cs="Arial"/>
                <w:sz w:val="13"/>
              </w:rPr>
            </w:pPr>
            <w:r>
              <w:rPr>
                <w:rFonts w:eastAsia="Arial" w:cs="Arial" w:ascii="Arial" w:hAnsi="Arial"/>
                <w:sz w:val="13"/>
              </w:rPr>
              <w:t>2001</w:t>
            </w:r>
          </w:p>
        </w:tc>
        <w:tc>
          <w:tcPr>
            <w:tcW w:w="560" w:type="dxa"/>
            <w:tcBorders/>
          </w:tcPr>
          <w:p>
            <w:pPr>
              <w:pStyle w:val="Normal"/>
              <w:spacing w:lineRule="atLeast" w:line="0"/>
              <w:ind w:end="74"/>
              <w:jc w:val="end"/>
              <w:rPr>
                <w:rFonts w:ascii="Arial" w:hAnsi="Arial" w:eastAsia="Arial" w:cs="Arial"/>
                <w:sz w:val="13"/>
              </w:rPr>
            </w:pPr>
            <w:r>
              <w:rPr>
                <w:rFonts w:eastAsia="Arial" w:cs="Arial" w:ascii="Arial" w:hAnsi="Arial"/>
                <w:sz w:val="13"/>
              </w:rPr>
              <w:t>2006</w:t>
            </w:r>
          </w:p>
        </w:tc>
        <w:tc>
          <w:tcPr>
            <w:tcW w:w="760" w:type="dxa"/>
            <w:tcBorders/>
          </w:tcPr>
          <w:p>
            <w:pPr>
              <w:pStyle w:val="Normal"/>
              <w:spacing w:lineRule="atLeast" w:line="0"/>
              <w:ind w:end="197"/>
              <w:jc w:val="end"/>
              <w:rPr>
                <w:rFonts w:ascii="Arial" w:hAnsi="Arial" w:eastAsia="Arial" w:cs="Arial"/>
                <w:sz w:val="13"/>
              </w:rPr>
            </w:pPr>
            <w:r>
              <w:rPr>
                <w:rFonts w:eastAsia="Arial" w:cs="Arial" w:ascii="Arial" w:hAnsi="Arial"/>
                <w:sz w:val="13"/>
              </w:rPr>
              <w:t>2011</w:t>
            </w:r>
          </w:p>
        </w:tc>
        <w:tc>
          <w:tcPr>
            <w:tcW w:w="560" w:type="dxa"/>
            <w:tcBorders/>
          </w:tcPr>
          <w:p>
            <w:pPr>
              <w:pStyle w:val="Normal"/>
              <w:spacing w:lineRule="atLeast" w:line="0"/>
              <w:jc w:val="end"/>
              <w:rPr/>
            </w:pPr>
            <w:r>
              <w:rPr>
                <w:rFonts w:eastAsia="Arial" w:cs="Arial" w:ascii="Arial" w:hAnsi="Arial"/>
                <w:sz w:val="13"/>
              </w:rPr>
              <w:t>2016</w:t>
            </w:r>
            <w:r>
              <w:rPr>
                <w:rFonts w:eastAsia="Arial" w:cs="Arial" w:ascii="Arial" w:hAnsi="Arial"/>
                <w:sz w:val="26"/>
              </w:rPr>
              <w:t xml:space="preserve"> </w:t>
            </w:r>
            <w:r>
              <w:rPr>
                <w:rFonts w:eastAsia="Arial" w:cs="Arial" w:ascii="Arial" w:hAnsi="Arial"/>
                <w:sz w:val="26"/>
                <w:vertAlign w:val="superscript"/>
              </w:rPr>
              <w:t>0</w:t>
            </w:r>
          </w:p>
        </w:tc>
      </w:tr>
      <w:tr>
        <w:trPr>
          <w:trHeight w:val="255" w:hRule="atLeast"/>
        </w:trPr>
        <w:tc>
          <w:tcPr>
            <w:tcW w:w="240" w:type="dxa"/>
            <w:tcBorders/>
          </w:tcPr>
          <w:p>
            <w:pPr>
              <w:pStyle w:val="Normal"/>
              <w:spacing w:lineRule="atLeast" w:line="0"/>
              <w:ind w:start="180" w:end="0"/>
              <w:rPr>
                <w:rFonts w:ascii="Arial" w:hAnsi="Arial" w:eastAsia="Arial" w:cs="Arial"/>
                <w:w w:val="92"/>
                <w:sz w:val="11"/>
              </w:rPr>
            </w:pPr>
            <w:r>
              <w:rPr>
                <w:rFonts w:eastAsia="Arial" w:cs="Arial" w:ascii="Arial" w:hAnsi="Arial"/>
                <w:w w:val="92"/>
                <w:sz w:val="11"/>
              </w:rPr>
              <w:t>*</w:t>
            </w:r>
          </w:p>
        </w:tc>
        <w:tc>
          <w:tcPr>
            <w:tcW w:w="1780" w:type="dxa"/>
            <w:gridSpan w:val="3"/>
            <w:tcBorders/>
          </w:tcPr>
          <w:p>
            <w:pPr>
              <w:pStyle w:val="Normal"/>
              <w:spacing w:lineRule="atLeast" w:line="0"/>
              <w:ind w:start="160" w:end="0"/>
              <w:rPr>
                <w:rFonts w:ascii="Arial" w:hAnsi="Arial" w:eastAsia="Arial" w:cs="Arial"/>
                <w:sz w:val="11"/>
              </w:rPr>
            </w:pPr>
            <w:r>
              <w:rPr>
                <w:rFonts w:eastAsia="Arial" w:cs="Arial" w:ascii="Arial" w:hAnsi="Arial"/>
                <w:sz w:val="11"/>
              </w:rPr>
              <w:t>Includes semi-detached houses</w:t>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40" w:hRule="atLeast"/>
        </w:trPr>
        <w:tc>
          <w:tcPr>
            <w:tcW w:w="2020" w:type="dxa"/>
            <w:gridSpan w:val="4"/>
            <w:tcBorders/>
          </w:tcPr>
          <w:p>
            <w:pPr>
              <w:pStyle w:val="Normal"/>
              <w:spacing w:lineRule="atLeast" w:line="0"/>
              <w:ind w:start="180" w:end="0"/>
              <w:rPr>
                <w:rFonts w:ascii="Arial" w:hAnsi="Arial" w:eastAsia="Arial" w:cs="Arial"/>
                <w:sz w:val="11"/>
              </w:rPr>
            </w:pPr>
            <w:r>
              <w:rPr>
                <w:rFonts w:eastAsia="Arial" w:cs="Arial" w:ascii="Arial" w:hAnsi="Arial"/>
                <w:sz w:val="11"/>
              </w:rPr>
              <w:t>Sources: ABS; CoreLogic; RBA</w:t>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w:drawing>
          <wp:anchor behindDoc="1" distT="0" distB="0" distL="114935" distR="114935" simplePos="0" locked="0" layoutInCell="1" allowOverlap="1" relativeHeight="73">
            <wp:simplePos x="0" y="0"/>
            <wp:positionH relativeFrom="column">
              <wp:posOffset>120650</wp:posOffset>
            </wp:positionH>
            <wp:positionV relativeFrom="paragraph">
              <wp:posOffset>-2033270</wp:posOffset>
            </wp:positionV>
            <wp:extent cx="2266950" cy="1671320"/>
            <wp:effectExtent l="0" t="0" r="0" b="0"/>
            <wp:wrapNone/>
            <wp:docPr id="71"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5" descr="" title=""/>
                    <pic:cNvPicPr>
                      <a:picLocks noChangeAspect="1" noChangeArrowheads="1"/>
                    </pic:cNvPicPr>
                  </pic:nvPicPr>
                  <pic:blipFill>
                    <a:blip r:embed="rId6"/>
                    <a:srcRect l="-8" t="-11" r="-8" b="-11"/>
                    <a:stretch>
                      <a:fillRect/>
                    </a:stretch>
                  </pic:blipFill>
                  <pic:spPr bwMode="auto">
                    <a:xfrm>
                      <a:off x="0" y="0"/>
                      <a:ext cx="2266950" cy="1671320"/>
                    </a:xfrm>
                    <a:prstGeom prst="rect">
                      <a:avLst/>
                    </a:prstGeom>
                  </pic:spPr>
                </pic:pic>
              </a:graphicData>
            </a:graphic>
          </wp:anchor>
        </w:drawing>
      </w:r>
    </w:p>
    <w:p>
      <w:pPr>
        <w:pStyle w:val="Normal"/>
        <w:spacing w:lineRule="exact" w:line="1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3"/>
        <w:ind w:start="20" w:end="520"/>
        <w:rPr>
          <w:rFonts w:ascii="Arial" w:hAnsi="Arial" w:eastAsia="Arial" w:cs="Arial"/>
          <w:sz w:val="17"/>
        </w:rPr>
      </w:pPr>
      <w:r>
        <w:rPr>
          <w:rFonts w:eastAsia="Arial" w:cs="Arial" w:ascii="Arial" w:hAnsi="Arial"/>
          <w:sz w:val="17"/>
        </w:rPr>
        <w:t>apartment turnover separately but are not able to disaggregate turnover by new and existing housing. We use the number of higher-density building approvals as a proxy for new apartment turnover and estimate the turnover of existing apartments as a residual. In doing so, we assume that the approval and contract dates are equivalent and that all approved construction is completed. This seems to be a reasonable proxy for new apartment turnover given that a large proportion of new apartments are sold before being built and housing turnover is measured at the contract date of the sale.</w:t>
      </w:r>
    </w:p>
    <w:p>
      <w:pPr>
        <w:pStyle w:val="Normal"/>
        <w:spacing w:lineRule="exact" w:line="59"/>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55"/>
        <w:ind w:start="20" w:end="460"/>
        <w:rPr/>
      </w:pPr>
      <w:r>
        <w:rPr>
          <w:rFonts w:eastAsia="Arial" w:cs="Arial" w:ascii="Arial" w:hAnsi="Arial"/>
          <w:sz w:val="16"/>
        </w:rPr>
        <w:t>The recent sharp increase in higher-density building approvals seems to imply that turnover of existing apartments has fallen significantly since 2014 to around zero (when estimated as the ABS measure of total apartment turnover minus higher-density building approvals). This seems unlikely, suggesting that total apartment turnover is understated. We can estimate the effect of the understatement by adjusting existing apartments’ share of turnover to more reasonable levels. For example, keeping the share constant from the June quarter 2014 (at around 18 per cent) and scaling up the volume of total</w:t>
      </w:r>
    </w:p>
    <w:p>
      <w:pPr>
        <w:sectPr>
          <w:type w:val="nextPage"/>
          <w:pgSz w:w="9978" w:h="14173"/>
          <w:pgMar w:left="1134" w:right="578" w:gutter="0" w:header="0" w:top="822" w:footer="0" w:bottom="0"/>
          <w:pgNumType w:fmt="decimal"/>
          <w:cols w:num="2" w:equalWidth="false" w:sep="false">
            <w:col w:w="3746" w:space="320"/>
            <w:col w:w="42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026" w:leader="none"/>
        </w:tabs>
        <w:spacing w:lineRule="atLeast" w:line="0"/>
        <w:ind w:start="5306" w:end="0"/>
        <w:rPr/>
      </w:pPr>
      <w:r>
        <w:rPr>
          <w:rFonts w:eastAsia="Arial" w:cs="Arial" w:ascii="Arial" w:hAnsi="Arial"/>
          <w:color w:val="005766"/>
          <w:sz w:val="14"/>
        </w:rPr>
        <w:t xml:space="preserve">BULLETIN </w:t>
      </w:r>
      <w:r>
        <w:rPr>
          <w:rFonts w:eastAsia="Arial" w:cs="Arial" w:ascii="Arial" w:hAnsi="Arial"/>
          <w:b/>
          <w:color w:val="005766"/>
          <w:sz w:val="14"/>
        </w:rPr>
        <w:t>|</w:t>
      </w:r>
      <w:r>
        <w:rPr>
          <w:rFonts w:eastAsia="Arial" w:cs="Arial" w:ascii="Arial" w:hAnsi="Arial"/>
          <w:b/>
          <w:color w:val="000000"/>
          <w:sz w:val="14"/>
        </w:rPr>
        <w:t xml:space="preserve"> MARCH QUARTER 2017</w:t>
      </w:r>
      <w:r>
        <w:rPr>
          <w:rFonts w:eastAsia="Times New Roman" w:cs="Times New Roman" w:ascii="Times New Roman" w:hAnsi="Times New Roman"/>
        </w:rPr>
        <w:tab/>
      </w:r>
      <w:r>
        <w:rPr>
          <w:rFonts w:eastAsia="Arial" w:cs="Arial" w:ascii="Arial" w:hAnsi="Arial"/>
          <w:b/>
          <w:sz w:val="15"/>
        </w:rPr>
        <w:t>2 5</w:t>
      </w:r>
    </w:p>
    <w:p>
      <w:pPr>
        <w:sectPr>
          <w:type w:val="continuous"/>
          <w:pgSz w:w="9978" w:h="14173"/>
          <w:pgMar w:left="1134" w:right="578" w:gutter="0" w:header="0" w:top="822" w:footer="0" w:bottom="0"/>
          <w:formProt w:val="false"/>
          <w:textDirection w:val="lrTb"/>
          <w:docGrid w:type="default" w:linePitch="360" w:charSpace="0"/>
        </w:sectPr>
      </w:pPr>
    </w:p>
    <w:p>
      <w:pPr>
        <w:pStyle w:val="Normal"/>
        <w:spacing w:lineRule="atLeast" w:line="0"/>
        <w:ind w:start="420" w:end="0"/>
        <w:rPr>
          <w:rFonts w:ascii="Arial" w:hAnsi="Arial" w:eastAsia="Arial" w:cs="Arial"/>
          <w:color w:val="005766"/>
          <w:sz w:val="14"/>
        </w:rPr>
      </w:pPr>
      <w:bookmarkStart w:id="8" w:name="page6"/>
      <w:bookmarkEnd w:id="8"/>
      <w:r>
        <w:rPr>
          <w:rFonts w:eastAsia="Arial" w:cs="Arial" w:ascii="Arial" w:hAnsi="Arial"/>
          <w:color w:val="005766"/>
          <w:sz w:val="14"/>
        </w:rPr>
        <w:t>HOUSING MARKET TURNOVER</w:t>
      </w:r>
    </w:p>
    <w:p>
      <w:pPr>
        <w:pStyle w:val="Normal"/>
        <w:spacing w:lineRule="exact" w:line="399"/>
        <w:rPr>
          <w:rFonts w:ascii="Times New Roman" w:hAnsi="Times New Roman" w:eastAsia="Times New Roman" w:cs="Times New Roman"/>
          <w:color w:val="005766"/>
          <w:sz w:val="14"/>
        </w:rPr>
      </w:pPr>
      <w:r>
        <w:rPr>
          <w:rFonts w:eastAsia="Times New Roman" w:cs="Times New Roman" w:ascii="Times New Roman" w:hAnsi="Times New Roman"/>
          <w:color w:val="005766"/>
          <w:sz w:val="14"/>
        </w:rPr>
      </w:r>
    </w:p>
    <w:p>
      <w:pPr>
        <w:pStyle w:val="Normal"/>
        <w:spacing w:lineRule="auto" w:line="333"/>
        <w:ind w:start="420" w:end="20"/>
        <w:rPr/>
      </w:pPr>
      <w:r>
        <w:rPr>
          <w:rFonts w:eastAsia="Arial" w:cs="Arial" w:ascii="Arial" w:hAnsi="Arial"/>
          <w:sz w:val="17"/>
        </w:rPr>
        <w:t>turnover implies that the actual apartment turnover rate may be around ½–¾ percentage point higher than reported over this period (Graph 6).</w:t>
      </w:r>
      <w:r>
        <w:rPr>
          <w:rFonts w:eastAsia="Arial" w:cs="Arial" w:ascii="Arial" w:hAnsi="Arial"/>
          <w:sz w:val="10"/>
        </w:rPr>
        <w:t>9</w:t>
      </w:r>
      <w:r>
        <w:rPr>
          <w:rFonts w:eastAsia="Arial" w:cs="Arial" w:ascii="Arial" w:hAnsi="Arial"/>
          <w:sz w:val="17"/>
        </w:rPr>
        <w:t xml:space="preserve"> Under these assumptions, apartment turnover appears to have increased sharply through the second half of 2014 and early 2015, before declining to around 2 per cent of the housing stock. The aggregate housing turnover rate would have also increased through late 2014 and early 2015 under these assumptions, before declining to be below its decade average rate.</w:t>
      </w:r>
      <w:r>
        <w:rPr>
          <w:rFonts w:eastAsia="Arial" w:cs="Arial" w:ascii="Arial" w:hAnsi="Arial"/>
          <w:sz w:val="10"/>
        </w:rPr>
        <w:t>10</w:t>
      </w:r>
    </w:p>
    <w:p>
      <w:pPr>
        <w:pStyle w:val="Normal"/>
        <w:spacing w:lineRule="exact" w:line="63"/>
        <w:rPr>
          <w:rFonts w:ascii="Times New Roman" w:hAnsi="Times New Roman" w:eastAsia="Times New Roman" w:cs="Times New Roman"/>
          <w:sz w:val="10"/>
        </w:rPr>
      </w:pPr>
      <w:r>
        <w:rPr>
          <w:rFonts w:eastAsia="Times New Roman" w:cs="Times New Roman" w:ascii="Times New Roman" w:hAnsi="Times New Roman"/>
          <w:sz w:val="10"/>
        </w:rPr>
      </w:r>
    </w:p>
    <w:p>
      <w:pPr>
        <w:pStyle w:val="Normal"/>
        <w:spacing w:lineRule="auto" w:line="355"/>
        <w:ind w:start="420" w:end="0"/>
        <w:rPr/>
      </w:pPr>
      <w:r>
        <w:rPr>
          <w:rFonts w:eastAsia="Arial" w:cs="Arial" w:ascii="Arial" w:hAnsi="Arial"/>
          <w:sz w:val="16"/>
        </w:rPr>
        <w:t>Although CoreLogic publishes modelled estimates of housing turnover, the pattern of revisions to these data over recent years suggests that the estimates have not been fully adjusted for the increased share of off-the-plan sales. For example, upward revisions to apartment turnover have been substantial for several years after the data were first released. By contrast, revisions to house turnover tend to be limited after a few months. Scaling up reported apartment sales from mid 2014 onwards by CoreLogic’s average</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200" w:end="0"/>
        <w:jc w:val="center"/>
        <w:rPr>
          <w:rFonts w:ascii="Arial" w:hAnsi="Arial" w:eastAsia="Arial" w:cs="Arial"/>
          <w:b/>
        </w:rPr>
      </w:pPr>
      <w:r>
        <w:rPr>
          <w:rFonts w:eastAsia="Arial" w:cs="Arial" w:ascii="Arial" w:hAnsi="Arial"/>
          <w:b/>
        </w:rPr>
        <w:t>Graph 6</w:t>
      </w:r>
    </w:p>
    <w:p>
      <w:pPr>
        <w:pStyle w:val="Normal"/>
        <w:spacing w:lineRule="exact" w:line="3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240" w:end="0"/>
        <w:jc w:val="center"/>
        <w:rPr/>
      </w:pPr>
      <w:r>
        <w:rPr/>
        <w:t>Housing Turnover Rates*</w:t>
      </w:r>
    </w:p>
    <w:tbl>
      <w:tblPr>
        <w:tblW w:w="3900" w:type="dxa"/>
        <w:jc w:val="start"/>
        <w:tblInd w:w="220" w:type="dxa"/>
        <w:tblLayout w:type="fixed"/>
        <w:tblCellMar>
          <w:top w:w="0" w:type="dxa"/>
          <w:start w:w="0" w:type="dxa"/>
          <w:bottom w:w="0" w:type="dxa"/>
          <w:end w:w="0" w:type="dxa"/>
        </w:tblCellMar>
      </w:tblPr>
      <w:tblGrid>
        <w:gridCol w:w="300"/>
        <w:gridCol w:w="620"/>
        <w:gridCol w:w="620"/>
        <w:gridCol w:w="560"/>
        <w:gridCol w:w="480"/>
        <w:gridCol w:w="1000"/>
        <w:gridCol w:w="320"/>
      </w:tblGrid>
      <w:tr>
        <w:trPr>
          <w:trHeight w:val="160" w:hRule="atLeast"/>
        </w:trPr>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0" w:type="dxa"/>
            <w:gridSpan w:val="6"/>
            <w:tcBorders/>
          </w:tcPr>
          <w:p>
            <w:pPr>
              <w:pStyle w:val="Normal"/>
              <w:spacing w:lineRule="atLeast" w:line="0"/>
              <w:ind w:end="234"/>
              <w:jc w:val="end"/>
              <w:rPr>
                <w:rFonts w:ascii="Arial" w:hAnsi="Arial" w:eastAsia="Arial" w:cs="Arial"/>
                <w:sz w:val="13"/>
              </w:rPr>
            </w:pPr>
            <w:r>
              <w:rPr>
                <w:rFonts w:eastAsia="Arial" w:cs="Arial" w:ascii="Arial" w:hAnsi="Arial"/>
                <w:sz w:val="13"/>
              </w:rPr>
              <w:t>Annualised share of housing stock, seasonally adjusted</w:t>
            </w:r>
          </w:p>
        </w:tc>
      </w:tr>
      <w:tr>
        <w:trPr>
          <w:trHeight w:val="175" w:hRule="atLeast"/>
        </w:trPr>
        <w:tc>
          <w:tcPr>
            <w:tcW w:w="300" w:type="dxa"/>
            <w:tcBorders/>
          </w:tcPr>
          <w:p>
            <w:pPr>
              <w:pStyle w:val="Normal"/>
              <w:spacing w:lineRule="atLeast" w:line="0"/>
              <w:ind w:end="56"/>
              <w:jc w:val="end"/>
              <w:rPr>
                <w:rFonts w:ascii="Arial" w:hAnsi="Arial" w:eastAsia="Arial" w:cs="Arial"/>
                <w:sz w:val="13"/>
              </w:rPr>
            </w:pPr>
            <w:r>
              <w:rPr>
                <w:rFonts w:eastAsia="Arial" w:cs="Arial" w:ascii="Arial" w:hAnsi="Arial"/>
                <w:sz w:val="13"/>
              </w:rPr>
              <w:t>%</w:t>
            </w:r>
          </w:p>
        </w:tc>
        <w:tc>
          <w:tcPr>
            <w:tcW w:w="1240" w:type="dxa"/>
            <w:gridSpan w:val="2"/>
            <w:vMerge w:val="restart"/>
            <w:tcBorders/>
          </w:tcPr>
          <w:p>
            <w:pPr>
              <w:pStyle w:val="Normal"/>
              <w:spacing w:lineRule="atLeast" w:line="0"/>
              <w:ind w:end="54"/>
              <w:jc w:val="end"/>
              <w:rPr>
                <w:rFonts w:ascii="Arial" w:hAnsi="Arial" w:eastAsia="Arial" w:cs="Arial"/>
                <w:sz w:val="13"/>
              </w:rPr>
            </w:pPr>
            <w:r>
              <w:rPr>
                <w:rFonts w:eastAsia="Arial" w:cs="Arial" w:ascii="Arial" w:hAnsi="Arial"/>
                <w:sz w:val="13"/>
              </w:rPr>
              <w:t>Apartments</w:t>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vMerge w:val="restart"/>
            <w:tcBorders/>
          </w:tcPr>
          <w:p>
            <w:pPr>
              <w:pStyle w:val="Normal"/>
              <w:spacing w:lineRule="atLeast" w:line="0"/>
              <w:ind w:end="494"/>
              <w:jc w:val="end"/>
              <w:rPr>
                <w:rFonts w:ascii="Arial" w:hAnsi="Arial" w:eastAsia="Arial" w:cs="Arial"/>
                <w:sz w:val="13"/>
              </w:rPr>
            </w:pPr>
            <w:r>
              <w:rPr>
                <w:rFonts w:eastAsia="Arial" w:cs="Arial" w:ascii="Arial" w:hAnsi="Arial"/>
                <w:sz w:val="13"/>
              </w:rPr>
              <w:t>Total</w:t>
            </w:r>
          </w:p>
        </w:tc>
        <w:tc>
          <w:tcPr>
            <w:tcW w:w="320" w:type="dxa"/>
            <w:tcBorders/>
          </w:tcPr>
          <w:p>
            <w:pPr>
              <w:pStyle w:val="Normal"/>
              <w:spacing w:lineRule="atLeast" w:line="0"/>
              <w:ind w:start="200" w:end="0"/>
              <w:rPr>
                <w:rFonts w:ascii="Arial" w:hAnsi="Arial" w:eastAsia="Arial" w:cs="Arial"/>
                <w:w w:val="86"/>
                <w:sz w:val="13"/>
              </w:rPr>
            </w:pPr>
            <w:r>
              <w:rPr>
                <w:rFonts w:eastAsia="Arial" w:cs="Arial" w:ascii="Arial" w:hAnsi="Arial"/>
                <w:w w:val="86"/>
                <w:sz w:val="13"/>
              </w:rPr>
              <w:t>%</w:t>
            </w:r>
          </w:p>
        </w:tc>
      </w:tr>
      <w:tr>
        <w:trPr>
          <w:trHeight w:val="76" w:hRule="atLeast"/>
        </w:trPr>
        <w:tc>
          <w:tcPr>
            <w:tcW w:w="300" w:type="dxa"/>
            <w:tcBorders/>
          </w:tcPr>
          <w:p>
            <w:pPr>
              <w:pStyle w:val="Normal"/>
              <w:snapToGrid w:val="false"/>
              <w:spacing w:lineRule="atLeast" w:line="0"/>
              <w:rPr>
                <w:rFonts w:ascii="Times New Roman" w:hAnsi="Times New Roman" w:eastAsia="Times New Roman" w:cs="Times New Roman"/>
                <w:w w:val="86"/>
                <w:sz w:val="6"/>
              </w:rPr>
            </w:pPr>
            <w:r>
              <w:rPr>
                <w:rFonts w:eastAsia="Times New Roman" w:cs="Times New Roman" w:ascii="Times New Roman" w:hAnsi="Times New Roman"/>
                <w:w w:val="86"/>
                <w:sz w:val="6"/>
              </w:rPr>
            </w:r>
          </w:p>
        </w:tc>
        <w:tc>
          <w:tcPr>
            <w:tcW w:w="124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06" w:hRule="atLeast"/>
        </w:trPr>
        <w:tc>
          <w:tcPr>
            <w:tcW w:w="300" w:type="dxa"/>
            <w:tcBorders/>
          </w:tcPr>
          <w:p>
            <w:pPr>
              <w:pStyle w:val="Normal"/>
              <w:spacing w:lineRule="atLeast" w:line="0"/>
              <w:ind w:end="56"/>
              <w:jc w:val="end"/>
              <w:rPr>
                <w:rFonts w:ascii="Arial" w:hAnsi="Arial" w:eastAsia="Arial" w:cs="Arial"/>
                <w:w w:val="88"/>
                <w:sz w:val="13"/>
              </w:rPr>
            </w:pPr>
            <w:r>
              <w:rPr>
                <w:rFonts w:eastAsia="Arial" w:cs="Arial" w:ascii="Arial" w:hAnsi="Arial"/>
                <w:w w:val="88"/>
                <w:sz w:val="13"/>
              </w:rPr>
              <w:t>2.4</w:t>
            </w:r>
          </w:p>
        </w:tc>
        <w:tc>
          <w:tcPr>
            <w:tcW w:w="620" w:type="dxa"/>
            <w:tcBorders/>
          </w:tcPr>
          <w:p>
            <w:pPr>
              <w:pStyle w:val="Normal"/>
              <w:snapToGrid w:val="false"/>
              <w:spacing w:lineRule="atLeast" w:line="0"/>
              <w:rPr>
                <w:rFonts w:ascii="Times New Roman" w:hAnsi="Times New Roman" w:eastAsia="Times New Roman" w:cs="Times New Roman"/>
                <w:w w:val="88"/>
                <w:sz w:val="24"/>
              </w:rPr>
            </w:pPr>
            <w:r>
              <w:rPr>
                <w:rFonts w:eastAsia="Times New Roman" w:cs="Times New Roman" w:ascii="Times New Roman" w:hAnsi="Times New Roman"/>
                <w:w w:val="88"/>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pacing w:lineRule="atLeast" w:line="0"/>
              <w:ind w:start="200" w:end="0"/>
              <w:rPr>
                <w:rFonts w:ascii="Arial" w:hAnsi="Arial" w:eastAsia="Arial" w:cs="Arial"/>
                <w:sz w:val="13"/>
              </w:rPr>
            </w:pPr>
            <w:r>
              <w:rPr>
                <w:rFonts w:eastAsia="Arial" w:cs="Arial" w:ascii="Arial" w:hAnsi="Arial"/>
                <w:sz w:val="13"/>
              </w:rPr>
              <w:t>8</w:t>
            </w:r>
          </w:p>
        </w:tc>
      </w:tr>
      <w:tr>
        <w:trPr>
          <w:trHeight w:val="396" w:hRule="atLeast"/>
        </w:trPr>
        <w:tc>
          <w:tcPr>
            <w:tcW w:w="300" w:type="dxa"/>
            <w:tcBorders/>
          </w:tcPr>
          <w:p>
            <w:pPr>
              <w:pStyle w:val="Normal"/>
              <w:spacing w:lineRule="atLeast" w:line="0"/>
              <w:ind w:end="56"/>
              <w:jc w:val="end"/>
              <w:rPr>
                <w:rFonts w:ascii="Arial" w:hAnsi="Arial" w:eastAsia="Arial" w:cs="Arial"/>
                <w:w w:val="88"/>
                <w:sz w:val="13"/>
              </w:rPr>
            </w:pPr>
            <w:r>
              <w:rPr>
                <w:rFonts w:eastAsia="Arial" w:cs="Arial" w:ascii="Arial" w:hAnsi="Arial"/>
                <w:w w:val="88"/>
                <w:sz w:val="13"/>
              </w:rPr>
              <w:t>2.1</w:t>
            </w:r>
          </w:p>
        </w:tc>
        <w:tc>
          <w:tcPr>
            <w:tcW w:w="620" w:type="dxa"/>
            <w:tcBorders/>
          </w:tcPr>
          <w:p>
            <w:pPr>
              <w:pStyle w:val="Normal"/>
              <w:snapToGrid w:val="false"/>
              <w:spacing w:lineRule="atLeast" w:line="0"/>
              <w:rPr>
                <w:rFonts w:ascii="Times New Roman" w:hAnsi="Times New Roman" w:eastAsia="Times New Roman" w:cs="Times New Roman"/>
                <w:w w:val="88"/>
                <w:sz w:val="24"/>
              </w:rPr>
            </w:pPr>
            <w:r>
              <w:rPr>
                <w:rFonts w:eastAsia="Times New Roman" w:cs="Times New Roman" w:ascii="Times New Roman" w:hAnsi="Times New Roman"/>
                <w:w w:val="88"/>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pacing w:lineRule="atLeast" w:line="0"/>
              <w:ind w:start="200" w:end="0"/>
              <w:rPr>
                <w:rFonts w:ascii="Arial" w:hAnsi="Arial" w:eastAsia="Arial" w:cs="Arial"/>
                <w:sz w:val="13"/>
              </w:rPr>
            </w:pPr>
            <w:r>
              <w:rPr>
                <w:rFonts w:eastAsia="Arial" w:cs="Arial" w:ascii="Arial" w:hAnsi="Arial"/>
                <w:sz w:val="13"/>
              </w:rPr>
              <w:t>7</w:t>
            </w:r>
          </w:p>
        </w:tc>
      </w:tr>
      <w:tr>
        <w:trPr>
          <w:trHeight w:val="175" w:hRule="atLeast"/>
        </w:trPr>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20" w:type="dxa"/>
            <w:gridSpan w:val="2"/>
            <w:tcBorders/>
          </w:tcPr>
          <w:p>
            <w:pPr>
              <w:pStyle w:val="Normal"/>
              <w:spacing w:lineRule="atLeast" w:line="0"/>
              <w:ind w:end="234"/>
              <w:jc w:val="end"/>
              <w:rPr>
                <w:rFonts w:ascii="Arial" w:hAnsi="Arial" w:eastAsia="Arial" w:cs="Arial"/>
                <w:sz w:val="13"/>
              </w:rPr>
            </w:pPr>
            <w:r>
              <w:rPr>
                <w:rFonts w:eastAsia="Arial" w:cs="Arial" w:ascii="Arial" w:hAnsi="Arial"/>
                <w:sz w:val="13"/>
              </w:rPr>
              <w:t>Decade average</w:t>
            </w:r>
          </w:p>
        </w:tc>
      </w:tr>
      <w:tr>
        <w:trPr>
          <w:trHeight w:val="305" w:hRule="atLeast"/>
        </w:trPr>
        <w:tc>
          <w:tcPr>
            <w:tcW w:w="300" w:type="dxa"/>
            <w:tcBorders/>
          </w:tcPr>
          <w:p>
            <w:pPr>
              <w:pStyle w:val="Normal"/>
              <w:spacing w:lineRule="atLeast" w:line="0"/>
              <w:ind w:end="56"/>
              <w:jc w:val="end"/>
              <w:rPr>
                <w:rFonts w:ascii="Arial" w:hAnsi="Arial" w:eastAsia="Arial" w:cs="Arial"/>
                <w:w w:val="88"/>
                <w:sz w:val="13"/>
              </w:rPr>
            </w:pPr>
            <w:r>
              <w:rPr>
                <w:rFonts w:eastAsia="Arial" w:cs="Arial" w:ascii="Arial" w:hAnsi="Arial"/>
                <w:w w:val="88"/>
                <w:sz w:val="13"/>
              </w:rPr>
              <w:t>1.8</w:t>
            </w:r>
          </w:p>
        </w:tc>
        <w:tc>
          <w:tcPr>
            <w:tcW w:w="620" w:type="dxa"/>
            <w:tcBorders/>
          </w:tcPr>
          <w:p>
            <w:pPr>
              <w:pStyle w:val="Normal"/>
              <w:snapToGrid w:val="false"/>
              <w:spacing w:lineRule="atLeast" w:line="0"/>
              <w:rPr>
                <w:rFonts w:ascii="Times New Roman" w:hAnsi="Times New Roman" w:eastAsia="Times New Roman" w:cs="Times New Roman"/>
                <w:w w:val="88"/>
                <w:sz w:val="24"/>
              </w:rPr>
            </w:pPr>
            <w:r>
              <w:rPr>
                <w:rFonts w:eastAsia="Times New Roman" w:cs="Times New Roman" w:ascii="Times New Roman" w:hAnsi="Times New Roman"/>
                <w:w w:val="88"/>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pacing w:lineRule="atLeast" w:line="0"/>
              <w:ind w:start="200" w:end="0"/>
              <w:rPr>
                <w:rFonts w:ascii="Arial" w:hAnsi="Arial" w:eastAsia="Arial" w:cs="Arial"/>
                <w:sz w:val="13"/>
              </w:rPr>
            </w:pPr>
            <w:r>
              <w:rPr>
                <w:rFonts w:eastAsia="Arial" w:cs="Arial" w:ascii="Arial" w:hAnsi="Arial"/>
                <w:sz w:val="13"/>
              </w:rPr>
              <w:t>6</w:t>
            </w:r>
          </w:p>
        </w:tc>
      </w:tr>
      <w:tr>
        <w:trPr>
          <w:trHeight w:val="438" w:hRule="atLeast"/>
        </w:trPr>
        <w:tc>
          <w:tcPr>
            <w:tcW w:w="300" w:type="dxa"/>
            <w:tcBorders/>
          </w:tcPr>
          <w:p>
            <w:pPr>
              <w:pStyle w:val="Normal"/>
              <w:spacing w:lineRule="atLeast" w:line="0"/>
              <w:ind w:end="56"/>
              <w:jc w:val="end"/>
              <w:rPr>
                <w:rFonts w:ascii="Arial" w:hAnsi="Arial" w:eastAsia="Arial" w:cs="Arial"/>
                <w:w w:val="88"/>
                <w:sz w:val="13"/>
              </w:rPr>
            </w:pPr>
            <w:r>
              <w:rPr>
                <w:rFonts w:eastAsia="Arial" w:cs="Arial" w:ascii="Arial" w:hAnsi="Arial"/>
                <w:w w:val="88"/>
                <w:sz w:val="13"/>
              </w:rPr>
              <w:t>1.5</w:t>
            </w:r>
          </w:p>
        </w:tc>
        <w:tc>
          <w:tcPr>
            <w:tcW w:w="620" w:type="dxa"/>
            <w:tcBorders/>
          </w:tcPr>
          <w:p>
            <w:pPr>
              <w:pStyle w:val="Normal"/>
              <w:snapToGrid w:val="false"/>
              <w:spacing w:lineRule="atLeast" w:line="0"/>
              <w:rPr>
                <w:rFonts w:ascii="Times New Roman" w:hAnsi="Times New Roman" w:eastAsia="Times New Roman" w:cs="Times New Roman"/>
                <w:w w:val="88"/>
                <w:sz w:val="24"/>
              </w:rPr>
            </w:pPr>
            <w:r>
              <w:rPr>
                <w:rFonts w:eastAsia="Times New Roman" w:cs="Times New Roman" w:ascii="Times New Roman" w:hAnsi="Times New Roman"/>
                <w:w w:val="88"/>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pacing w:lineRule="atLeast" w:line="0"/>
              <w:ind w:start="200" w:end="0"/>
              <w:rPr>
                <w:rFonts w:ascii="Arial" w:hAnsi="Arial" w:eastAsia="Arial" w:cs="Arial"/>
                <w:sz w:val="13"/>
              </w:rPr>
            </w:pPr>
            <w:r>
              <w:rPr>
                <w:rFonts w:eastAsia="Arial" w:cs="Arial" w:ascii="Arial" w:hAnsi="Arial"/>
                <w:sz w:val="13"/>
              </w:rPr>
              <w:t>5</w:t>
            </w:r>
          </w:p>
        </w:tc>
      </w:tr>
      <w:tr>
        <w:trPr>
          <w:trHeight w:val="438" w:hRule="atLeast"/>
        </w:trPr>
        <w:tc>
          <w:tcPr>
            <w:tcW w:w="300" w:type="dxa"/>
            <w:tcBorders/>
          </w:tcPr>
          <w:p>
            <w:pPr>
              <w:pStyle w:val="Normal"/>
              <w:spacing w:lineRule="atLeast" w:line="0"/>
              <w:ind w:end="56"/>
              <w:jc w:val="end"/>
              <w:rPr>
                <w:rFonts w:ascii="Arial" w:hAnsi="Arial" w:eastAsia="Arial" w:cs="Arial"/>
                <w:w w:val="88"/>
                <w:sz w:val="13"/>
              </w:rPr>
            </w:pPr>
            <w:r>
              <w:rPr>
                <w:rFonts w:eastAsia="Arial" w:cs="Arial" w:ascii="Arial" w:hAnsi="Arial"/>
                <w:w w:val="88"/>
                <w:sz w:val="13"/>
              </w:rPr>
              <w:t>1.2</w:t>
            </w:r>
          </w:p>
        </w:tc>
        <w:tc>
          <w:tcPr>
            <w:tcW w:w="620" w:type="dxa"/>
            <w:tcBorders/>
          </w:tcPr>
          <w:p>
            <w:pPr>
              <w:pStyle w:val="Normal"/>
              <w:snapToGrid w:val="false"/>
              <w:spacing w:lineRule="atLeast" w:line="0"/>
              <w:rPr>
                <w:rFonts w:ascii="Times New Roman" w:hAnsi="Times New Roman" w:eastAsia="Times New Roman" w:cs="Times New Roman"/>
                <w:w w:val="88"/>
                <w:sz w:val="24"/>
              </w:rPr>
            </w:pPr>
            <w:r>
              <w:rPr>
                <w:rFonts w:eastAsia="Times New Roman" w:cs="Times New Roman" w:ascii="Times New Roman" w:hAnsi="Times New Roman"/>
                <w:w w:val="88"/>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pacing w:lineRule="atLeast" w:line="0"/>
              <w:ind w:start="200" w:end="0"/>
              <w:rPr>
                <w:rFonts w:ascii="Arial" w:hAnsi="Arial" w:eastAsia="Arial" w:cs="Arial"/>
                <w:sz w:val="13"/>
              </w:rPr>
            </w:pPr>
            <w:r>
              <w:rPr>
                <w:rFonts w:eastAsia="Arial" w:cs="Arial" w:ascii="Arial" w:hAnsi="Arial"/>
                <w:sz w:val="13"/>
              </w:rPr>
              <w:t>4</w:t>
            </w:r>
          </w:p>
        </w:tc>
      </w:tr>
      <w:tr>
        <w:trPr>
          <w:trHeight w:val="438" w:hRule="atLeast"/>
        </w:trPr>
        <w:tc>
          <w:tcPr>
            <w:tcW w:w="300" w:type="dxa"/>
            <w:tcBorders/>
          </w:tcPr>
          <w:p>
            <w:pPr>
              <w:pStyle w:val="Normal"/>
              <w:spacing w:lineRule="atLeast" w:line="0"/>
              <w:ind w:end="56"/>
              <w:jc w:val="end"/>
              <w:rPr>
                <w:rFonts w:ascii="Arial" w:hAnsi="Arial" w:eastAsia="Arial" w:cs="Arial"/>
                <w:w w:val="88"/>
                <w:sz w:val="13"/>
              </w:rPr>
            </w:pPr>
            <w:r>
              <w:rPr>
                <w:rFonts w:eastAsia="Arial" w:cs="Arial" w:ascii="Arial" w:hAnsi="Arial"/>
                <w:w w:val="88"/>
                <w:sz w:val="13"/>
              </w:rPr>
              <w:t>0.9</w:t>
            </w:r>
          </w:p>
        </w:tc>
        <w:tc>
          <w:tcPr>
            <w:tcW w:w="620" w:type="dxa"/>
            <w:tcBorders/>
          </w:tcPr>
          <w:p>
            <w:pPr>
              <w:pStyle w:val="Normal"/>
              <w:snapToGrid w:val="false"/>
              <w:spacing w:lineRule="atLeast" w:line="0"/>
              <w:rPr>
                <w:rFonts w:ascii="Times New Roman" w:hAnsi="Times New Roman" w:eastAsia="Times New Roman" w:cs="Times New Roman"/>
                <w:w w:val="88"/>
                <w:sz w:val="24"/>
              </w:rPr>
            </w:pPr>
            <w:r>
              <w:rPr>
                <w:rFonts w:eastAsia="Times New Roman" w:cs="Times New Roman" w:ascii="Times New Roman" w:hAnsi="Times New Roman"/>
                <w:w w:val="88"/>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pacing w:lineRule="atLeast" w:line="0"/>
              <w:ind w:start="200" w:end="0"/>
              <w:rPr>
                <w:rFonts w:ascii="Arial" w:hAnsi="Arial" w:eastAsia="Arial" w:cs="Arial"/>
                <w:sz w:val="13"/>
              </w:rPr>
            </w:pPr>
            <w:r>
              <w:rPr>
                <w:rFonts w:eastAsia="Arial" w:cs="Arial" w:ascii="Arial" w:hAnsi="Arial"/>
                <w:sz w:val="13"/>
              </w:rPr>
              <w:t>3</w:t>
            </w:r>
          </w:p>
        </w:tc>
      </w:tr>
      <w:tr>
        <w:trPr>
          <w:trHeight w:val="129" w:hRule="atLeast"/>
        </w:trPr>
        <w:tc>
          <w:tcPr>
            <w:tcW w:w="300" w:type="dxa"/>
            <w:vMerge w:val="restart"/>
            <w:tcBorders/>
          </w:tcPr>
          <w:p>
            <w:pPr>
              <w:pStyle w:val="Normal"/>
              <w:spacing w:lineRule="atLeast" w:line="0"/>
              <w:jc w:val="end"/>
              <w:rPr>
                <w:rFonts w:ascii="Arial" w:hAnsi="Arial" w:eastAsia="Arial" w:cs="Arial"/>
                <w:sz w:val="11"/>
              </w:rPr>
            </w:pPr>
            <w:r>
              <w:rPr>
                <w:rFonts w:eastAsia="Arial" w:cs="Arial" w:ascii="Arial" w:hAnsi="Arial"/>
                <w:sz w:val="11"/>
              </w:rPr>
              <w:t>*</w:t>
            </w:r>
          </w:p>
        </w:tc>
        <w:tc>
          <w:tcPr>
            <w:tcW w:w="620" w:type="dxa"/>
            <w:tcBorders/>
          </w:tcPr>
          <w:p>
            <w:pPr>
              <w:pStyle w:val="Normal"/>
              <w:spacing w:lineRule="exact" w:line="129"/>
              <w:ind w:end="97"/>
              <w:jc w:val="end"/>
              <w:rPr>
                <w:rFonts w:ascii="Arial" w:hAnsi="Arial" w:eastAsia="Arial" w:cs="Arial"/>
                <w:sz w:val="13"/>
              </w:rPr>
            </w:pPr>
            <w:r>
              <w:rPr>
                <w:rFonts w:eastAsia="Arial" w:cs="Arial" w:ascii="Arial" w:hAnsi="Arial"/>
                <w:sz w:val="13"/>
              </w:rPr>
              <w:t>2006</w:t>
            </w:r>
          </w:p>
        </w:tc>
        <w:tc>
          <w:tcPr>
            <w:tcW w:w="620" w:type="dxa"/>
            <w:tcBorders/>
          </w:tcPr>
          <w:p>
            <w:pPr>
              <w:pStyle w:val="Normal"/>
              <w:spacing w:lineRule="exact" w:line="129"/>
              <w:ind w:end="114"/>
              <w:jc w:val="end"/>
              <w:rPr>
                <w:rFonts w:ascii="Arial" w:hAnsi="Arial" w:eastAsia="Arial" w:cs="Arial"/>
                <w:sz w:val="13"/>
              </w:rPr>
            </w:pPr>
            <w:r>
              <w:rPr>
                <w:rFonts w:eastAsia="Arial" w:cs="Arial" w:ascii="Arial" w:hAnsi="Arial"/>
                <w:sz w:val="13"/>
              </w:rPr>
              <w:t>2011</w:t>
            </w:r>
          </w:p>
        </w:tc>
        <w:tc>
          <w:tcPr>
            <w:tcW w:w="560" w:type="dxa"/>
            <w:tcBorders/>
          </w:tcPr>
          <w:p>
            <w:pPr>
              <w:pStyle w:val="Normal"/>
              <w:spacing w:lineRule="exact" w:line="129"/>
              <w:ind w:end="74"/>
              <w:jc w:val="end"/>
              <w:rPr>
                <w:rFonts w:ascii="Arial" w:hAnsi="Arial" w:eastAsia="Arial" w:cs="Arial"/>
                <w:sz w:val="13"/>
              </w:rPr>
            </w:pPr>
            <w:r>
              <w:rPr>
                <w:rFonts w:eastAsia="Arial" w:cs="Arial" w:ascii="Arial" w:hAnsi="Arial"/>
                <w:sz w:val="13"/>
              </w:rPr>
              <w:t>2016</w:t>
            </w:r>
          </w:p>
        </w:tc>
        <w:tc>
          <w:tcPr>
            <w:tcW w:w="480" w:type="dxa"/>
            <w:tcBorders/>
          </w:tcPr>
          <w:p>
            <w:pPr>
              <w:pStyle w:val="Normal"/>
              <w:spacing w:lineRule="exact" w:line="129"/>
              <w:jc w:val="end"/>
              <w:rPr>
                <w:rFonts w:ascii="Arial" w:hAnsi="Arial" w:eastAsia="Arial" w:cs="Arial"/>
                <w:sz w:val="13"/>
              </w:rPr>
            </w:pPr>
            <w:r>
              <w:rPr>
                <w:rFonts w:eastAsia="Arial" w:cs="Arial" w:ascii="Arial" w:hAnsi="Arial"/>
                <w:sz w:val="13"/>
              </w:rPr>
              <w:t>2006</w:t>
            </w:r>
          </w:p>
        </w:tc>
        <w:tc>
          <w:tcPr>
            <w:tcW w:w="1000" w:type="dxa"/>
            <w:tcBorders/>
          </w:tcPr>
          <w:p>
            <w:pPr>
              <w:pStyle w:val="Normal"/>
              <w:spacing w:lineRule="exact" w:line="129"/>
              <w:ind w:end="374"/>
              <w:jc w:val="end"/>
              <w:rPr>
                <w:rFonts w:ascii="Arial" w:hAnsi="Arial" w:eastAsia="Arial" w:cs="Arial"/>
                <w:sz w:val="13"/>
              </w:rPr>
            </w:pPr>
            <w:r>
              <w:rPr>
                <w:rFonts w:eastAsia="Arial" w:cs="Arial" w:ascii="Arial" w:hAnsi="Arial"/>
                <w:sz w:val="13"/>
              </w:rPr>
              <w:t>2011</w:t>
            </w:r>
          </w:p>
        </w:tc>
        <w:tc>
          <w:tcPr>
            <w:tcW w:w="320" w:type="dxa"/>
            <w:tcBorders/>
          </w:tcPr>
          <w:p>
            <w:pPr>
              <w:pStyle w:val="Normal"/>
              <w:spacing w:lineRule="exact" w:line="129"/>
              <w:rPr>
                <w:rFonts w:ascii="Arial" w:hAnsi="Arial" w:eastAsia="Arial" w:cs="Arial"/>
                <w:sz w:val="13"/>
              </w:rPr>
            </w:pPr>
            <w:r>
              <w:rPr>
                <w:rFonts w:eastAsia="Arial" w:cs="Arial" w:ascii="Arial" w:hAnsi="Arial"/>
                <w:sz w:val="13"/>
              </w:rPr>
              <w:t>2016</w:t>
            </w:r>
          </w:p>
        </w:tc>
      </w:tr>
      <w:tr>
        <w:trPr>
          <w:trHeight w:val="177" w:hRule="atLeast"/>
        </w:trPr>
        <w:tc>
          <w:tcPr>
            <w:tcW w:w="3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80" w:type="dxa"/>
            <w:gridSpan w:val="5"/>
            <w:tcBorders/>
          </w:tcPr>
          <w:p>
            <w:pPr>
              <w:pStyle w:val="Normal"/>
              <w:spacing w:lineRule="atLeast" w:line="0"/>
              <w:jc w:val="end"/>
              <w:rPr>
                <w:rFonts w:ascii="Arial" w:hAnsi="Arial" w:eastAsia="Arial" w:cs="Arial"/>
                <w:w w:val="99"/>
                <w:sz w:val="11"/>
              </w:rPr>
            </w:pPr>
            <w:r>
              <w:rPr>
                <w:rFonts w:eastAsia="Arial" w:cs="Arial" w:ascii="Arial" w:hAnsi="Arial"/>
                <w:w w:val="99"/>
                <w:sz w:val="11"/>
              </w:rPr>
              <w:t>Dashed lines are estimates holding the share of turnover of existing</w:t>
            </w:r>
          </w:p>
        </w:tc>
        <w:tc>
          <w:tcPr>
            <w:tcW w:w="320" w:type="dxa"/>
            <w:tcBorders/>
          </w:tcPr>
          <w:p>
            <w:pPr>
              <w:pStyle w:val="Normal"/>
              <w:snapToGrid w:val="false"/>
              <w:spacing w:lineRule="atLeast" w:line="0"/>
              <w:rPr>
                <w:rFonts w:ascii="Times New Roman" w:hAnsi="Times New Roman" w:eastAsia="Times New Roman" w:cs="Times New Roman"/>
                <w:w w:val="99"/>
                <w:sz w:val="15"/>
              </w:rPr>
            </w:pPr>
            <w:r>
              <w:rPr>
                <w:rFonts w:eastAsia="Times New Roman" w:cs="Times New Roman" w:ascii="Times New Roman" w:hAnsi="Times New Roman"/>
                <w:w w:val="99"/>
                <w:sz w:val="15"/>
              </w:rPr>
            </w:r>
          </w:p>
        </w:tc>
      </w:tr>
    </w:tbl>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74">
            <wp:simplePos x="0" y="0"/>
            <wp:positionH relativeFrom="column">
              <wp:posOffset>264795</wp:posOffset>
            </wp:positionH>
            <wp:positionV relativeFrom="paragraph">
              <wp:posOffset>-1920875</wp:posOffset>
            </wp:positionV>
            <wp:extent cx="2266950" cy="1671320"/>
            <wp:effectExtent l="0" t="0" r="0" b="0"/>
            <wp:wrapNone/>
            <wp:docPr id="72"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 descr="" title=""/>
                    <pic:cNvPicPr>
                      <a:picLocks noChangeAspect="1" noChangeArrowheads="1"/>
                    </pic:cNvPicPr>
                  </pic:nvPicPr>
                  <pic:blipFill>
                    <a:blip r:embed="rId7"/>
                    <a:srcRect l="-8" t="-11" r="-8" b="-11"/>
                    <a:stretch>
                      <a:fillRect/>
                    </a:stretch>
                  </pic:blipFill>
                  <pic:spPr bwMode="auto">
                    <a:xfrm>
                      <a:off x="0" y="0"/>
                      <a:ext cx="2266950" cy="1671320"/>
                    </a:xfrm>
                    <a:prstGeom prst="rect">
                      <a:avLst/>
                    </a:prstGeom>
                  </pic:spPr>
                </pic:pic>
              </a:graphicData>
            </a:graphic>
          </wp:anchor>
        </w:drawing>
      </w:r>
    </w:p>
    <w:p>
      <w:pPr>
        <w:pStyle w:val="Normal"/>
        <w:spacing w:lineRule="auto" w:line="314"/>
        <w:ind w:firstLine="232" w:start="420" w:end="1440"/>
        <w:rPr>
          <w:rFonts w:ascii="Arial" w:hAnsi="Arial" w:eastAsia="Arial" w:cs="Arial"/>
          <w:sz w:val="11"/>
        </w:rPr>
      </w:pPr>
      <w:r>
        <w:rPr>
          <w:rFonts w:eastAsia="Arial" w:cs="Arial" w:ascii="Arial" w:hAnsi="Arial"/>
          <w:sz w:val="11"/>
        </w:rPr>
        <w:t>apartments constant from June quarter 2014 Sources: ABS; RBA</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75">
                <wp:simplePos x="0" y="0"/>
                <wp:positionH relativeFrom="column">
                  <wp:posOffset>266700</wp:posOffset>
                </wp:positionH>
                <wp:positionV relativeFrom="paragraph">
                  <wp:posOffset>140970</wp:posOffset>
                </wp:positionV>
                <wp:extent cx="2376170" cy="0"/>
                <wp:effectExtent l="0" t="1905" r="0" b="1905"/>
                <wp:wrapNone/>
                <wp:docPr id="73" name=""/>
                <a:graphic xmlns:a="http://schemas.openxmlformats.org/drawingml/2006/main">
                  <a:graphicData uri="http://schemas.microsoft.com/office/word/2010/wordprocessingShape">
                    <wps:wsp>
                      <wps:cNvSpPr/>
                      <wps:spPr>
                        <a:xfrm>
                          <a:off x="0" y="0"/>
                          <a:ext cx="2376000" cy="0"/>
                        </a:xfrm>
                        <a:prstGeom prst="line">
                          <a:avLst/>
                        </a:prstGeom>
                        <a:ln w="3960">
                          <a:solidFill>
                            <a:srgbClr val="a2948f"/>
                          </a:solidFill>
                          <a:miter/>
                        </a:ln>
                      </wps:spPr>
                      <wps:style>
                        <a:lnRef idx="0"/>
                        <a:fillRef idx="0"/>
                        <a:effectRef idx="0"/>
                        <a:fontRef idx="minor"/>
                      </wps:style>
                      <wps:bodyPr/>
                    </wps:wsp>
                  </a:graphicData>
                </a:graphic>
              </wp:anchor>
            </w:drawing>
          </mc:Choice>
          <mc:Fallback>
            <w:pict>
              <v:line id="shape_0" from="21pt,11.1pt" to="208.05pt,11.1pt" stroked="t" o:allowincell="f" style="position:absolute">
                <v:stroke color="#a2948f" weight="3960" joinstyle="miter" endcap="flat"/>
                <v:fill o:detectmouseclick="t" on="false"/>
                <w10:wrap type="none"/>
              </v:line>
            </w:pict>
          </mc:Fallback>
        </mc:AlternateContent>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600" w:leader="none"/>
        </w:tabs>
        <w:spacing w:lineRule="auto" w:line="321"/>
        <w:ind w:hanging="180" w:start="600" w:end="100"/>
        <w:rPr>
          <w:rFonts w:ascii="Arial" w:hAnsi="Arial" w:eastAsia="Arial" w:cs="Arial"/>
          <w:sz w:val="12"/>
        </w:rPr>
      </w:pPr>
      <w:r>
        <w:rPr>
          <w:rFonts w:eastAsia="Arial" w:cs="Arial" w:ascii="Arial" w:hAnsi="Arial"/>
          <w:sz w:val="12"/>
        </w:rPr>
        <w:t>While the volume of turnover attributed to existing houses, new houses and new apartments does not change in this scenario, their share of total turnover is reduced proportionate to the increase in the share of existing apartments.</w:t>
      </w:r>
    </w:p>
    <w:p>
      <w:pPr>
        <w:pStyle w:val="Normal"/>
        <w:spacing w:lineRule="exact" w:line="36"/>
        <w:rPr>
          <w:rFonts w:ascii="Arial" w:hAnsi="Arial" w:eastAsia="Arial" w:cs="Arial"/>
          <w:sz w:val="12"/>
        </w:rPr>
      </w:pPr>
      <w:r>
        <w:rPr>
          <w:rFonts w:eastAsia="Arial" w:cs="Arial" w:ascii="Arial" w:hAnsi="Arial"/>
          <w:sz w:val="12"/>
        </w:rPr>
      </w:r>
    </w:p>
    <w:p>
      <w:pPr>
        <w:pStyle w:val="Normal"/>
        <w:numPr>
          <w:ilvl w:val="0"/>
          <w:numId w:val="9"/>
        </w:numPr>
        <w:tabs>
          <w:tab w:val="clear" w:pos="720"/>
          <w:tab w:val="left" w:pos="600" w:leader="none"/>
        </w:tabs>
        <w:spacing w:lineRule="atLeast" w:line="0"/>
        <w:ind w:hanging="180" w:start="600" w:end="0"/>
        <w:rPr>
          <w:rFonts w:ascii="Arial" w:hAnsi="Arial" w:eastAsia="Arial" w:cs="Arial"/>
          <w:sz w:val="11"/>
        </w:rPr>
      </w:pPr>
      <w:r>
        <w:rPr>
          <w:rFonts w:eastAsia="Arial" w:cs="Arial" w:ascii="Arial" w:hAnsi="Arial"/>
          <w:sz w:val="11"/>
        </w:rPr>
        <w:t>We achieved comparable results using turnover data from CoreLogic.</w:t>
      </w:r>
    </w:p>
    <w:p>
      <w:pPr>
        <w:pStyle w:val="Normal"/>
        <w:spacing w:lineRule="exact" w:line="200"/>
        <w:rPr>
          <w:rFonts w:ascii="Times New Roman" w:hAnsi="Times New Roman" w:eastAsia="Times New Roman" w:cs="Times New Roman"/>
          <w:sz w:val="11"/>
        </w:rPr>
      </w:pPr>
      <w:r>
        <w:br w:type="column"/>
      </w:r>
      <w:r>
        <w:rPr>
          <w:rFonts w:eastAsia="Times New Roman" w:cs="Times New Roman" w:ascii="Times New Roman" w:hAnsi="Times New Roman"/>
          <w:sz w:val="11"/>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0"/>
        <w:ind w:end="60"/>
        <w:rPr>
          <w:rFonts w:ascii="Arial" w:hAnsi="Arial" w:eastAsia="Arial" w:cs="Arial"/>
          <w:sz w:val="19"/>
        </w:rPr>
      </w:pPr>
      <w:r>
        <w:rPr>
          <w:rFonts w:eastAsia="Arial" w:cs="Arial" w:ascii="Arial" w:hAnsi="Arial"/>
          <w:sz w:val="19"/>
        </w:rPr>
        <w:t>two-year revision rate produces similar estimates to the above exercise.</w:t>
      </w:r>
    </w:p>
    <w:p>
      <w:pPr>
        <w:pStyle w:val="Normal"/>
        <w:spacing w:lineRule="exact" w:line="20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color w:val="005766"/>
          <w:sz w:val="25"/>
        </w:rPr>
      </w:pPr>
      <w:r>
        <w:rPr>
          <w:rFonts w:eastAsia="Arial" w:cs="Arial" w:ascii="Arial" w:hAnsi="Arial"/>
          <w:color w:val="005766"/>
          <w:sz w:val="25"/>
        </w:rPr>
        <w:t>Implications for Economic Activity</w:t>
      </w:r>
    </w:p>
    <w:p>
      <w:pPr>
        <w:pStyle w:val="Normal"/>
        <w:spacing w:lineRule="exact" w:line="137"/>
        <w:rPr>
          <w:rFonts w:ascii="Times New Roman" w:hAnsi="Times New Roman" w:eastAsia="Times New Roman" w:cs="Times New Roman"/>
          <w:color w:val="005766"/>
          <w:sz w:val="25"/>
        </w:rPr>
      </w:pPr>
      <w:r>
        <w:rPr>
          <w:rFonts w:eastAsia="Times New Roman" w:cs="Times New Roman" w:ascii="Times New Roman" w:hAnsi="Times New Roman"/>
          <w:color w:val="005766"/>
          <w:sz w:val="25"/>
        </w:rPr>
      </w:r>
    </w:p>
    <w:p>
      <w:pPr>
        <w:pStyle w:val="Normal"/>
        <w:spacing w:lineRule="auto" w:line="328"/>
        <w:rPr>
          <w:rFonts w:ascii="Arial" w:hAnsi="Arial" w:eastAsia="Arial" w:cs="Arial"/>
          <w:sz w:val="17"/>
        </w:rPr>
      </w:pPr>
      <w:r>
        <w:rPr>
          <w:rFonts w:eastAsia="Arial" w:cs="Arial" w:ascii="Arial" w:hAnsi="Arial"/>
          <w:sz w:val="17"/>
        </w:rPr>
        <w:t>Developments in the rate of housing market turnover can affect broader economic activity through several channels. A number of occupations are involved in housing transactions; these include real estate agents, lawyers and finance professionals. A decline in the rate</w:t>
      </w:r>
    </w:p>
    <w:p>
      <w:pPr>
        <w:pStyle w:val="Normal"/>
        <w:spacing w:lineRule="exact" w:line="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21"/>
        <w:ind w:end="160"/>
        <w:rPr>
          <w:rFonts w:ascii="Arial" w:hAnsi="Arial" w:eastAsia="Arial" w:cs="Arial"/>
          <w:sz w:val="18"/>
        </w:rPr>
      </w:pPr>
      <w:r>
        <w:rPr>
          <w:rFonts w:eastAsia="Arial" w:cs="Arial" w:ascii="Arial" w:hAnsi="Arial"/>
          <w:sz w:val="18"/>
        </w:rPr>
        <w:t>of housing turnover would be expected to generate less employment and income growth for these professions at the margin.</w:t>
      </w:r>
    </w:p>
    <w:p>
      <w:pPr>
        <w:pStyle w:val="Normal"/>
        <w:spacing w:lineRule="exact" w:line="6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31"/>
        <w:ind w:end="80"/>
        <w:rPr/>
      </w:pPr>
      <w:r>
        <w:rPr>
          <w:rFonts w:eastAsia="Arial" w:cs="Arial" w:ascii="Arial" w:hAnsi="Arial"/>
          <w:sz w:val="17"/>
        </w:rPr>
        <w:t>Housing turnover also affects property tax revenue, which accounted for about 40 per cent of total state tax revenue in 2014/15.</w:t>
      </w:r>
      <w:r>
        <w:rPr>
          <w:rFonts w:eastAsia="Arial" w:cs="Arial" w:ascii="Arial" w:hAnsi="Arial"/>
          <w:sz w:val="10"/>
        </w:rPr>
        <w:t>11</w:t>
      </w:r>
      <w:r>
        <w:rPr>
          <w:rFonts w:eastAsia="Arial" w:cs="Arial" w:ascii="Arial" w:hAnsi="Arial"/>
          <w:sz w:val="17"/>
        </w:rPr>
        <w:t xml:space="preserve"> More than half of property tax revenue is typically derived from tax paid on the transfer of property ownership (stamp duty). All else being equal, a decline in the number of housing transactions would be expected to reduce stamp duty revenue. However, given that stamp duty is calculated as a proportion of the sale price of the property, strong growth in national housing prices can more than offset a decline in turnover, as occurred in 2014/15 (Graph 7). The interaction between housing turnover and price growth, as well as state differences in the rate of property taxation, concessions and surcharges, can therefore affect government spending and budget outcomes.</w:t>
      </w:r>
    </w:p>
    <w:p>
      <w:pPr>
        <w:pStyle w:val="Normal"/>
        <w:spacing w:lineRule="exact" w:line="6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28"/>
        <w:ind w:end="100"/>
        <w:rPr>
          <w:rFonts w:ascii="Arial" w:hAnsi="Arial" w:eastAsia="Arial" w:cs="Arial"/>
          <w:sz w:val="17"/>
        </w:rPr>
      </w:pPr>
      <w:r>
        <w:rPr>
          <w:rFonts w:eastAsia="Arial" w:cs="Arial" w:ascii="Arial" w:hAnsi="Arial"/>
          <w:sz w:val="17"/>
        </w:rPr>
        <w:t>Housing turnover can have a number of indirect effects on household spending. For example, housing turnover is positively correlated</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64"/>
        <w:ind w:end="80"/>
        <w:rPr>
          <w:rFonts w:ascii="Arial" w:hAnsi="Arial" w:eastAsia="Arial" w:cs="Arial"/>
          <w:sz w:val="16"/>
        </w:rPr>
      </w:pPr>
      <w:r>
        <w:rPr>
          <w:rFonts w:eastAsia="Arial" w:cs="Arial" w:ascii="Arial" w:hAnsi="Arial"/>
          <w:sz w:val="16"/>
        </w:rPr>
        <w:t>with household retail spending, particularly on durable goods such as furniture, home appliances and electrical or electronic devices (Graph 8). Renovation activity is another channel through which housing turnover can indirectly</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76">
                <wp:simplePos x="0" y="0"/>
                <wp:positionH relativeFrom="column">
                  <wp:posOffset>1270</wp:posOffset>
                </wp:positionH>
                <wp:positionV relativeFrom="paragraph">
                  <wp:posOffset>108585</wp:posOffset>
                </wp:positionV>
                <wp:extent cx="2376170" cy="0"/>
                <wp:effectExtent l="0" t="1905" r="0" b="1905"/>
                <wp:wrapNone/>
                <wp:docPr id="74" name=""/>
                <a:graphic xmlns:a="http://schemas.openxmlformats.org/drawingml/2006/main">
                  <a:graphicData uri="http://schemas.microsoft.com/office/word/2010/wordprocessingShape">
                    <wps:wsp>
                      <wps:cNvSpPr/>
                      <wps:spPr>
                        <a:xfrm>
                          <a:off x="0" y="0"/>
                          <a:ext cx="2376000" cy="0"/>
                        </a:xfrm>
                        <a:prstGeom prst="line">
                          <a:avLst/>
                        </a:prstGeom>
                        <a:ln w="3960">
                          <a:solidFill>
                            <a:srgbClr val="a2948f"/>
                          </a:solidFill>
                          <a:miter/>
                        </a:ln>
                      </wps:spPr>
                      <wps:style>
                        <a:lnRef idx="0"/>
                        <a:fillRef idx="0"/>
                        <a:effectRef idx="0"/>
                        <a:fontRef idx="minor"/>
                      </wps:style>
                      <wps:bodyPr/>
                    </wps:wsp>
                  </a:graphicData>
                </a:graphic>
              </wp:anchor>
            </w:drawing>
          </mc:Choice>
          <mc:Fallback>
            <w:pict>
              <v:line id="shape_0" from="0.1pt,8.55pt" to="187.15pt,8.55pt" stroked="t" o:allowincell="f" style="position:absolute">
                <v:stroke color="#a2948f" weight="3960" joinstyle="miter" endcap="flat"/>
                <v:fill o:detectmouseclick="t" on="false"/>
                <w10:wrap type="none"/>
              </v:line>
            </w:pict>
          </mc:Fallback>
        </mc:AlternateContent>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80" w:leader="none"/>
        </w:tabs>
        <w:spacing w:lineRule="auto" w:line="292"/>
        <w:ind w:hanging="178" w:start="180" w:end="60"/>
        <w:rPr>
          <w:rFonts w:ascii="Arial" w:hAnsi="Arial" w:eastAsia="Arial" w:cs="Arial"/>
          <w:sz w:val="13"/>
        </w:rPr>
      </w:pPr>
      <w:r>
        <w:rPr>
          <w:rFonts w:eastAsia="Arial" w:cs="Arial" w:ascii="Arial" w:hAnsi="Arial"/>
          <w:sz w:val="13"/>
        </w:rPr>
        <w:t>This excludes revenue from the transfer of goods and services tax to the states.</w:t>
      </w:r>
    </w:p>
    <w:p>
      <w:pPr>
        <w:sectPr>
          <w:type w:val="nextPage"/>
          <w:pgSz w:w="9978" w:h="14173"/>
          <w:pgMar w:left="600" w:right="1138" w:gutter="0" w:header="0" w:top="822" w:footer="0" w:bottom="0"/>
          <w:pgNumType w:fmt="decimal"/>
          <w:cols w:num="2" w:equalWidth="false" w:sep="false">
            <w:col w:w="4160" w:space="340"/>
            <w:col w:w="37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00" w:leader="none"/>
        </w:tabs>
        <w:spacing w:lineRule="atLeast" w:line="0"/>
        <w:rPr/>
      </w:pPr>
      <w:r>
        <w:rPr>
          <w:rFonts w:eastAsia="Arial" w:cs="Arial" w:ascii="Arial" w:hAnsi="Arial"/>
          <w:b/>
          <w:sz w:val="16"/>
        </w:rPr>
        <w:t>2 6</w:t>
      </w:r>
      <w:r>
        <w:rPr>
          <w:rFonts w:eastAsia="Times New Roman" w:cs="Times New Roman" w:ascii="Times New Roman" w:hAnsi="Times New Roman"/>
        </w:rPr>
        <w:tab/>
      </w:r>
      <w:r>
        <w:rPr>
          <w:rFonts w:eastAsia="Arial" w:cs="Arial" w:ascii="Arial" w:hAnsi="Arial"/>
          <w:sz w:val="14"/>
        </w:rPr>
        <w:t>RESERVE BANK OF AUSTRALIA</w:t>
      </w:r>
    </w:p>
    <w:p>
      <w:pPr>
        <w:sectPr>
          <w:type w:val="continuous"/>
          <w:pgSz w:w="9978" w:h="14173"/>
          <w:pgMar w:left="600" w:right="1138" w:gutter="0" w:header="0" w:top="822" w:footer="0" w:bottom="0"/>
          <w:formProt w:val="false"/>
          <w:textDirection w:val="lrTb"/>
          <w:docGrid w:type="default" w:linePitch="360" w:charSpace="0"/>
        </w:sectPr>
      </w:pPr>
    </w:p>
    <w:p>
      <w:pPr>
        <w:pStyle w:val="Normal"/>
        <w:spacing w:lineRule="atLeast" w:line="0"/>
        <w:ind w:start="5920" w:end="0"/>
        <w:rPr>
          <w:rFonts w:ascii="Arial" w:hAnsi="Arial" w:eastAsia="Arial" w:cs="Arial"/>
          <w:color w:val="005766"/>
          <w:sz w:val="14"/>
        </w:rPr>
      </w:pPr>
      <w:r>
        <w:rPr>
          <w:rFonts w:eastAsia="Arial" w:cs="Arial" w:ascii="Arial" w:hAnsi="Arial"/>
          <w:color w:val="005766"/>
          <w:sz w:val="14"/>
        </w:rPr>
        <w:t>HOUSING MARKET TURNOVER</w:t>
      </w:r>
      <w:r>
        <mc:AlternateContent>
          <mc:Choice Requires="wps">
            <w:drawing>
              <wp:anchor behindDoc="0" distT="0" distB="0" distL="0" distR="0" simplePos="0" locked="0" layoutInCell="0" allowOverlap="1" relativeHeight="2">
                <wp:simplePos x="0" y="0"/>
                <wp:positionH relativeFrom="page">
                  <wp:posOffset>648335</wp:posOffset>
                </wp:positionH>
                <wp:positionV relativeFrom="page">
                  <wp:posOffset>1023620</wp:posOffset>
                </wp:positionV>
                <wp:extent cx="2400300" cy="113665"/>
                <wp:effectExtent l="0" t="0" r="0" b="0"/>
                <wp:wrapSquare wrapText="bothSides"/>
                <wp:docPr id="75" name="Frame1"/>
                <a:graphic xmlns:a="http://schemas.openxmlformats.org/drawingml/2006/main">
                  <a:graphicData uri="http://schemas.microsoft.com/office/word/2010/wordprocessingShape">
                    <wps:wsp>
                      <wps:cNvSpPr txBox="1"/>
                      <wps:spPr>
                        <a:xfrm>
                          <a:off x="0" y="0"/>
                          <a:ext cx="2400300" cy="113665"/>
                        </a:xfrm>
                        <a:prstGeom prst="rect"/>
                        <a:solidFill>
                          <a:srgbClr val="FFFFFF">
                            <a:alpha val="0"/>
                          </a:srgbClr>
                        </a:solidFill>
                      </wps:spPr>
                      <wps:txbx>
                        <w:txbxContent>
                          <w:p>
                            <w:pPr>
                              <w:pStyle w:val="Normal"/>
                              <w:tabs>
                                <w:tab w:val="clear" w:pos="720"/>
                                <w:tab w:val="left" w:pos="400" w:leader="none"/>
                              </w:tabs>
                              <w:spacing w:lineRule="auto" w:line="206"/>
                              <w:rPr>
                                <w:rFonts w:ascii="Arial" w:hAnsi="Arial" w:eastAsia="Arial" w:cs="Arial"/>
                                <w:b/>
                                <w:sz w:val="18"/>
                              </w:rPr>
                            </w:pPr>
                            <w:bookmarkStart w:id="9" w:name="page7"/>
                            <w:bookmarkEnd w:id="9"/>
                            <w:r>
                              <w:rPr>
                                <w:rFonts w:eastAsia="Arial" w:cs="Arial" w:ascii="Arial" w:hAnsi="Arial"/>
                                <w:b/>
                                <w:sz w:val="18"/>
                              </w:rPr>
                              <w:t>Housing Turnover, Prices and Stamp Duty</w:t>
                            </w:r>
                          </w:p>
                        </w:txbxContent>
                      </wps:txbx>
                      <wps:bodyPr anchor="t" lIns="0" tIns="0" rIns="0" bIns="0">
                        <a:noAutofit/>
                      </wps:bodyPr>
                    </wps:wsp>
                  </a:graphicData>
                </a:graphic>
              </wp:anchor>
            </w:drawing>
          </mc:Choice>
          <mc:Fallback>
            <w:pict>
              <v:rect fillcolor="#FFFFFF" style="position:absolute;rotation:-0;width:189pt;height:8.95pt;mso-wrap-distance-left:0pt;mso-wrap-distance-right:0pt;mso-wrap-distance-top:0pt;mso-wrap-distance-bottom:0pt;margin-top:80.6pt;mso-position-vertical-relative:page;margin-left:51.05pt;mso-position-horizontal-relative:page">
                <v:fill opacity="0f"/>
                <v:textbox inset="0in,0in,0in,0in">
                  <w:txbxContent>
                    <w:p>
                      <w:pPr>
                        <w:pStyle w:val="Normal"/>
                        <w:tabs>
                          <w:tab w:val="clear" w:pos="720"/>
                          <w:tab w:val="left" w:pos="400" w:leader="none"/>
                        </w:tabs>
                        <w:spacing w:lineRule="auto" w:line="206"/>
                        <w:rPr>
                          <w:rFonts w:ascii="Arial" w:hAnsi="Arial" w:eastAsia="Arial" w:cs="Arial"/>
                          <w:b/>
                          <w:sz w:val="18"/>
                        </w:rPr>
                      </w:pPr>
                      <w:bookmarkStart w:id="10" w:name="page7"/>
                      <w:bookmarkEnd w:id="10"/>
                      <w:r>
                        <w:rPr>
                          <w:rFonts w:eastAsia="Arial" w:cs="Arial" w:ascii="Arial" w:hAnsi="Arial"/>
                          <w:b/>
                          <w:sz w:val="18"/>
                        </w:rPr>
                        <w:t>Housing Turnover, Prices and Stamp Duty</w:t>
                      </w:r>
                    </w:p>
                  </w:txbxContent>
                </v:textbox>
                <w10:wrap type="square"/>
              </v:rect>
            </w:pict>
          </mc:Fallback>
        </mc:AlternateContent>
      </w:r>
    </w:p>
    <w:p>
      <w:pPr>
        <w:sectPr>
          <w:type w:val="nextPage"/>
          <w:pgSz w:w="9978" w:h="14173"/>
          <w:pgMar w:left="920" w:right="578" w:gutter="0" w:header="0" w:top="822" w:footer="0" w:bottom="0"/>
          <w:pgNumType w:fmt="decimal"/>
          <w:formProt w:val="false"/>
          <w:textDirection w:val="lrTb"/>
          <w:docGrid w:type="default" w:linePitch="360" w:charSpace="0"/>
        </w:sectPr>
      </w:pPr>
    </w:p>
    <w:p>
      <w:pPr>
        <w:pStyle w:val="Normal"/>
        <w:spacing w:lineRule="exact" w:line="200"/>
        <w:rPr>
          <w:rFonts w:ascii="Arial" w:hAnsi="Arial" w:eastAsia="Arial" w:cs="Arial"/>
          <w:b/>
          <w:color w:val="005766"/>
          <w:sz w:val="18"/>
        </w:rPr>
      </w:pPr>
      <w:r>
        <w:rPr>
          <w:rFonts w:eastAsia="Arial" w:cs="Arial" w:ascii="Arial" w:hAnsi="Arial"/>
          <w:b/>
          <w:color w:val="005766"/>
          <w:sz w:val="18"/>
        </w:rPr>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07"/>
        <w:rPr>
          <w:rFonts w:ascii="Arial" w:hAnsi="Arial" w:eastAsia="Arial" w:cs="Arial"/>
          <w:b/>
          <w:sz w:val="18"/>
        </w:rPr>
      </w:pPr>
      <w:r>
        <w:rPr>
          <w:rFonts w:eastAsia="Arial" w:cs="Arial" w:ascii="Arial" w:hAnsi="Arial"/>
          <w:b/>
          <w:sz w:val="18"/>
        </w:rPr>
      </w:r>
    </w:p>
    <w:p>
      <w:pPr>
        <w:pStyle w:val="Normal"/>
        <w:spacing w:lineRule="atLeast" w:line="0"/>
        <w:jc w:val="end"/>
        <w:rPr>
          <w:rFonts w:ascii="Arial" w:hAnsi="Arial" w:eastAsia="Arial" w:cs="Arial"/>
          <w:sz w:val="13"/>
        </w:rPr>
      </w:pPr>
      <w:r>
        <w:rPr>
          <w:rFonts w:eastAsia="Arial" w:cs="Arial" w:ascii="Arial" w:hAnsi="Arial"/>
          <w:sz w:val="13"/>
        </w:rPr>
        <w:t>%</w:t>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51"/>
        <w:rPr>
          <w:rFonts w:ascii="Arial" w:hAnsi="Arial" w:eastAsia="Arial" w:cs="Arial"/>
          <w:b/>
          <w:sz w:val="18"/>
        </w:rPr>
      </w:pPr>
      <w:r>
        <w:rPr>
          <w:rFonts w:eastAsia="Arial" w:cs="Arial" w:ascii="Arial" w:hAnsi="Arial"/>
          <w:b/>
          <w:sz w:val="18"/>
        </w:rPr>
      </w:r>
    </w:p>
    <w:p>
      <w:pPr>
        <w:pStyle w:val="Normal"/>
        <w:spacing w:lineRule="atLeast" w:line="0"/>
        <w:jc w:val="end"/>
        <w:rPr>
          <w:rFonts w:ascii="Arial" w:hAnsi="Arial" w:eastAsia="Arial" w:cs="Arial"/>
          <w:sz w:val="13"/>
        </w:rPr>
      </w:pPr>
      <w:r>
        <w:rPr>
          <w:rFonts w:eastAsia="Arial" w:cs="Arial" w:ascii="Arial" w:hAnsi="Arial"/>
          <w:sz w:val="13"/>
        </w:rPr>
        <w:t>20</w:t>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307"/>
        <w:rPr>
          <w:rFonts w:ascii="Arial" w:hAnsi="Arial" w:eastAsia="Arial" w:cs="Arial"/>
          <w:b/>
          <w:sz w:val="18"/>
        </w:rPr>
      </w:pPr>
      <w:r>
        <w:rPr>
          <w:rFonts w:eastAsia="Arial" w:cs="Arial" w:ascii="Arial" w:hAnsi="Arial"/>
          <w:b/>
          <w:sz w:val="18"/>
        </w:rPr>
      </w:r>
    </w:p>
    <w:p>
      <w:pPr>
        <w:pStyle w:val="Normal"/>
        <w:spacing w:lineRule="atLeast" w:line="0"/>
        <w:jc w:val="end"/>
        <w:rPr>
          <w:rFonts w:ascii="Arial" w:hAnsi="Arial" w:eastAsia="Arial" w:cs="Arial"/>
          <w:sz w:val="13"/>
        </w:rPr>
      </w:pPr>
      <w:r>
        <w:rPr>
          <w:rFonts w:eastAsia="Arial" w:cs="Arial" w:ascii="Arial" w:hAnsi="Arial"/>
          <w:sz w:val="13"/>
        </w:rPr>
        <w:t>0</w:t>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307"/>
        <w:rPr>
          <w:rFonts w:ascii="Arial" w:hAnsi="Arial" w:eastAsia="Arial" w:cs="Arial"/>
          <w:b/>
          <w:sz w:val="18"/>
        </w:rPr>
      </w:pPr>
      <w:r>
        <w:rPr>
          <w:rFonts w:eastAsia="Arial" w:cs="Arial" w:ascii="Arial" w:hAnsi="Arial"/>
          <w:b/>
          <w:sz w:val="18"/>
        </w:rPr>
      </w:r>
    </w:p>
    <w:p>
      <w:pPr>
        <w:pStyle w:val="Normal"/>
        <w:spacing w:lineRule="atLeast" w:line="0"/>
        <w:rPr>
          <w:rFonts w:ascii="Arial" w:hAnsi="Arial" w:eastAsia="Arial" w:cs="Arial"/>
          <w:sz w:val="13"/>
        </w:rPr>
      </w:pPr>
      <w:r>
        <w:rPr>
          <w:rFonts w:eastAsia="Arial" w:cs="Arial" w:ascii="Arial" w:hAnsi="Arial"/>
          <w:sz w:val="13"/>
        </w:rPr>
        <w:t>-20</w:t>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307"/>
        <w:rPr>
          <w:rFonts w:ascii="Arial" w:hAnsi="Arial" w:eastAsia="Arial" w:cs="Arial"/>
          <w:b/>
          <w:sz w:val="18"/>
        </w:rPr>
      </w:pPr>
      <w:r>
        <w:rPr>
          <w:rFonts w:eastAsia="Arial" w:cs="Arial" w:ascii="Arial" w:hAnsi="Arial"/>
          <w:b/>
          <w:sz w:val="18"/>
        </w:rPr>
      </w:r>
    </w:p>
    <w:p>
      <w:pPr>
        <w:pStyle w:val="Normal"/>
        <w:spacing w:lineRule="atLeast" w:line="0"/>
        <w:rPr>
          <w:rFonts w:ascii="Arial" w:hAnsi="Arial" w:eastAsia="Arial" w:cs="Arial"/>
          <w:sz w:val="13"/>
        </w:rPr>
      </w:pPr>
      <w:r>
        <w:rPr>
          <w:rFonts w:eastAsia="Arial" w:cs="Arial" w:ascii="Arial" w:hAnsi="Arial"/>
          <w:sz w:val="13"/>
        </w:rPr>
        <w:t>-40</w:t>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16"/>
        <w:rPr>
          <w:rFonts w:ascii="Arial" w:hAnsi="Arial" w:eastAsia="Arial" w:cs="Arial"/>
          <w:b/>
          <w:sz w:val="18"/>
        </w:rPr>
      </w:pPr>
      <w:r>
        <w:rPr>
          <w:rFonts w:eastAsia="Arial" w:cs="Arial" w:ascii="Arial" w:hAnsi="Arial"/>
          <w:b/>
          <w:sz w:val="18"/>
        </w:rPr>
      </w:r>
    </w:p>
    <w:p>
      <w:pPr>
        <w:pStyle w:val="Normal"/>
        <w:spacing w:lineRule="atLeast" w:line="0"/>
        <w:ind w:start="80" w:end="0"/>
        <w:rPr>
          <w:rFonts w:ascii="Arial" w:hAnsi="Arial" w:eastAsia="Arial" w:cs="Arial"/>
          <w:sz w:val="13"/>
        </w:rPr>
      </w:pPr>
      <w:r>
        <w:rPr>
          <w:rFonts w:eastAsia="Arial" w:cs="Arial" w:ascii="Arial" w:hAnsi="Arial"/>
          <w:sz w:val="13"/>
        </w:rPr>
        <w:t>%</w:t>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51"/>
        <w:rPr>
          <w:rFonts w:ascii="Arial" w:hAnsi="Arial" w:eastAsia="Arial" w:cs="Arial"/>
          <w:b/>
          <w:sz w:val="18"/>
        </w:rPr>
      </w:pPr>
      <w:r>
        <w:rPr>
          <w:rFonts w:eastAsia="Arial" w:cs="Arial" w:ascii="Arial" w:hAnsi="Arial"/>
          <w:b/>
          <w:sz w:val="18"/>
        </w:rPr>
      </w:r>
    </w:p>
    <w:p>
      <w:pPr>
        <w:pStyle w:val="Normal"/>
        <w:spacing w:lineRule="atLeast" w:line="0"/>
        <w:ind w:start="40" w:end="0"/>
        <w:rPr>
          <w:rFonts w:ascii="Arial" w:hAnsi="Arial" w:eastAsia="Arial" w:cs="Arial"/>
          <w:sz w:val="13"/>
        </w:rPr>
      </w:pPr>
      <w:r>
        <w:rPr>
          <w:rFonts w:eastAsia="Arial" w:cs="Arial" w:ascii="Arial" w:hAnsi="Arial"/>
          <w:sz w:val="13"/>
        </w:rPr>
        <w:t>20</w:t>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307"/>
        <w:rPr>
          <w:rFonts w:ascii="Arial" w:hAnsi="Arial" w:eastAsia="Arial" w:cs="Arial"/>
          <w:b/>
          <w:sz w:val="18"/>
        </w:rPr>
      </w:pPr>
      <w:r>
        <w:rPr>
          <w:rFonts w:eastAsia="Arial" w:cs="Arial" w:ascii="Arial" w:hAnsi="Arial"/>
          <w:b/>
          <w:sz w:val="18"/>
        </w:rPr>
      </w:r>
    </w:p>
    <w:p>
      <w:pPr>
        <w:pStyle w:val="Normal"/>
        <w:spacing w:lineRule="atLeast" w:line="0"/>
        <w:ind w:start="40" w:end="0"/>
        <w:rPr>
          <w:rFonts w:ascii="Arial" w:hAnsi="Arial" w:eastAsia="Arial" w:cs="Arial"/>
          <w:sz w:val="13"/>
        </w:rPr>
      </w:pPr>
      <w:r>
        <w:rPr>
          <w:rFonts w:eastAsia="Arial" w:cs="Arial" w:ascii="Arial" w:hAnsi="Arial"/>
          <w:sz w:val="13"/>
        </w:rPr>
        <w:t>10</w:t>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307"/>
        <w:rPr>
          <w:rFonts w:ascii="Arial" w:hAnsi="Arial" w:eastAsia="Arial" w:cs="Arial"/>
          <w:b/>
          <w:sz w:val="18"/>
        </w:rPr>
      </w:pPr>
      <w:r>
        <w:rPr>
          <w:rFonts w:eastAsia="Arial" w:cs="Arial" w:ascii="Arial" w:hAnsi="Arial"/>
          <w:b/>
          <w:sz w:val="18"/>
        </w:rPr>
      </w:r>
    </w:p>
    <w:p>
      <w:pPr>
        <w:pStyle w:val="Normal"/>
        <w:spacing w:lineRule="atLeast" w:line="0"/>
        <w:ind w:start="120" w:end="0"/>
        <w:rPr>
          <w:rFonts w:ascii="Arial" w:hAnsi="Arial" w:eastAsia="Arial" w:cs="Arial"/>
          <w:sz w:val="13"/>
        </w:rPr>
      </w:pPr>
      <w:r>
        <w:rPr>
          <w:rFonts w:eastAsia="Arial" w:cs="Arial" w:ascii="Arial" w:hAnsi="Arial"/>
          <w:sz w:val="13"/>
        </w:rPr>
        <w:t>0</w:t>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307"/>
        <w:rPr>
          <w:rFonts w:ascii="Arial" w:hAnsi="Arial" w:eastAsia="Arial" w:cs="Arial"/>
          <w:b/>
          <w:sz w:val="18"/>
        </w:rPr>
      </w:pPr>
      <w:r>
        <w:rPr>
          <w:rFonts w:eastAsia="Arial" w:cs="Arial" w:ascii="Arial" w:hAnsi="Arial"/>
          <w:b/>
          <w:sz w:val="18"/>
        </w:rPr>
      </w:r>
    </w:p>
    <w:p>
      <w:pPr>
        <w:pStyle w:val="Normal"/>
        <w:spacing w:lineRule="atLeast" w:line="0"/>
        <w:rPr>
          <w:rFonts w:ascii="Arial" w:hAnsi="Arial" w:eastAsia="Arial" w:cs="Arial"/>
          <w:sz w:val="13"/>
        </w:rPr>
      </w:pPr>
      <w:r>
        <w:rPr>
          <w:rFonts w:eastAsia="Arial" w:cs="Arial" w:ascii="Arial" w:hAnsi="Arial"/>
          <w:sz w:val="13"/>
        </w:rPr>
        <w:t>-10</w:t>
      </w:r>
    </w:p>
    <w:p>
      <w:pPr>
        <w:pStyle w:val="Normal"/>
        <w:spacing w:lineRule="exact" w:line="376"/>
        <w:rPr>
          <w:rFonts w:ascii="Arial" w:hAnsi="Arial" w:eastAsia="Arial" w:cs="Arial"/>
          <w:b/>
          <w:sz w:val="18"/>
        </w:rPr>
      </w:pPr>
      <w:r>
        <w:br w:type="column"/>
      </w:r>
      <w:r>
        <w:rPr>
          <w:rFonts w:eastAsia="Arial" w:cs="Arial" w:ascii="Arial" w:hAnsi="Arial"/>
          <w:b/>
          <w:sz w:val="18"/>
        </w:rPr>
      </w:r>
    </w:p>
    <w:p>
      <w:pPr>
        <w:pStyle w:val="Normal"/>
        <w:spacing w:lineRule="exact" w:line="1"/>
        <w:rPr>
          <w:rFonts w:ascii="Arial" w:hAnsi="Arial" w:eastAsia="Arial" w:cs="Arial"/>
          <w:b/>
          <w:sz w:val="1"/>
        </w:rPr>
      </w:pPr>
      <w:r>
        <w:rPr>
          <w:rFonts w:eastAsia="Arial" w:cs="Arial" w:ascii="Arial" w:hAnsi="Arial"/>
          <w:b/>
          <w:sz w:val="1"/>
        </w:rPr>
      </w:r>
    </w:p>
    <w:tbl>
      <w:tblPr>
        <w:tblW w:w="7840" w:type="dxa"/>
        <w:jc w:val="start"/>
        <w:tblInd w:w="0" w:type="dxa"/>
        <w:tblLayout w:type="fixed"/>
        <w:tblCellMar>
          <w:top w:w="0" w:type="dxa"/>
          <w:start w:w="0" w:type="dxa"/>
          <w:bottom w:w="0" w:type="dxa"/>
          <w:end w:w="0" w:type="dxa"/>
        </w:tblCellMar>
      </w:tblPr>
      <w:tblGrid>
        <w:gridCol w:w="60"/>
        <w:gridCol w:w="100"/>
        <w:gridCol w:w="280"/>
        <w:gridCol w:w="660"/>
        <w:gridCol w:w="740"/>
        <w:gridCol w:w="540"/>
        <w:gridCol w:w="600"/>
        <w:gridCol w:w="640"/>
        <w:gridCol w:w="23"/>
        <w:gridCol w:w="457"/>
        <w:gridCol w:w="3740"/>
      </w:tblGrid>
      <w:tr>
        <w:trPr>
          <w:trHeight w:val="293" w:hRule="atLeast"/>
        </w:trPr>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gridSpan w:val="2"/>
            <w:tcBorders/>
          </w:tcPr>
          <w:p>
            <w:pPr>
              <w:pStyle w:val="Normal"/>
              <w:spacing w:lineRule="atLeast" w:line="0"/>
              <w:ind w:start="26" w:end="0"/>
              <w:jc w:val="center"/>
              <w:rPr>
                <w:rFonts w:ascii="Arial" w:hAnsi="Arial" w:eastAsia="Arial" w:cs="Arial"/>
                <w:b/>
                <w:w w:val="97"/>
              </w:rPr>
            </w:pPr>
            <w:r>
              <w:rPr>
                <w:rFonts w:eastAsia="Arial" w:cs="Arial" w:ascii="Arial" w:hAnsi="Arial"/>
                <w:b/>
                <w:w w:val="97"/>
              </w:rPr>
              <w:t>Graph 7</w:t>
            </w:r>
          </w:p>
        </w:tc>
        <w:tc>
          <w:tcPr>
            <w:tcW w:w="600" w:type="dxa"/>
            <w:tcBorders/>
          </w:tcPr>
          <w:p>
            <w:pPr>
              <w:pStyle w:val="Normal"/>
              <w:snapToGrid w:val="false"/>
              <w:spacing w:lineRule="atLeast" w:line="0"/>
              <w:rPr>
                <w:rFonts w:ascii="Times New Roman" w:hAnsi="Times New Roman" w:eastAsia="Times New Roman" w:cs="Times New Roman"/>
                <w:b/>
                <w:w w:val="97"/>
                <w:sz w:val="24"/>
              </w:rPr>
            </w:pPr>
            <w:r>
              <w:rPr>
                <w:rFonts w:eastAsia="Times New Roman" w:cs="Times New Roman" w:ascii="Times New Roman" w:hAnsi="Times New Roman"/>
                <w:b/>
                <w:w w:val="97"/>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40" w:type="dxa"/>
            <w:tcBorders/>
          </w:tcPr>
          <w:p>
            <w:pPr>
              <w:pStyle w:val="Normal"/>
              <w:spacing w:lineRule="atLeast" w:line="0"/>
              <w:rPr>
                <w:rFonts w:ascii="Arial" w:hAnsi="Arial" w:eastAsia="Arial" w:cs="Arial"/>
                <w:w w:val="97"/>
                <w:sz w:val="19"/>
              </w:rPr>
            </w:pPr>
            <w:r>
              <w:rPr>
                <w:rFonts w:eastAsia="Arial" w:cs="Arial" w:ascii="Arial" w:hAnsi="Arial"/>
                <w:w w:val="97"/>
                <w:sz w:val="19"/>
              </w:rPr>
              <w:t>correlation between housing price growth and</w:t>
            </w:r>
          </w:p>
        </w:tc>
      </w:tr>
      <w:tr>
        <w:trPr>
          <w:trHeight w:val="224" w:hRule="atLeast"/>
        </w:trPr>
        <w:tc>
          <w:tcPr>
            <w:tcW w:w="60" w:type="dxa"/>
            <w:tcBorders/>
          </w:tcPr>
          <w:p>
            <w:pPr>
              <w:pStyle w:val="Normal"/>
              <w:snapToGrid w:val="false"/>
              <w:spacing w:lineRule="atLeast" w:line="0"/>
              <w:rPr>
                <w:rFonts w:ascii="Times New Roman" w:hAnsi="Times New Roman" w:eastAsia="Times New Roman" w:cs="Times New Roman"/>
                <w:w w:val="97"/>
                <w:sz w:val="19"/>
              </w:rPr>
            </w:pPr>
            <w:r>
              <w:rPr>
                <w:rFonts w:eastAsia="Times New Roman" w:cs="Times New Roman" w:ascii="Times New Roman" w:hAnsi="Times New Roman"/>
                <w:w w:val="97"/>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80" w:type="dxa"/>
            <w:gridSpan w:val="2"/>
            <w:vMerge w:val="restart"/>
            <w:tcBorders/>
          </w:tcPr>
          <w:p>
            <w:pPr>
              <w:pStyle w:val="Normal"/>
              <w:spacing w:lineRule="atLeast" w:line="0"/>
              <w:ind w:start="46" w:end="0"/>
              <w:jc w:val="center"/>
              <w:rPr>
                <w:rFonts w:ascii="Arial" w:hAnsi="Arial" w:eastAsia="Arial" w:cs="Arial"/>
                <w:sz w:val="13"/>
              </w:rPr>
            </w:pPr>
            <w:r>
              <w:rPr>
                <w:rFonts w:eastAsia="Arial" w:cs="Arial" w:ascii="Arial" w:hAnsi="Arial"/>
                <w:sz w:val="13"/>
              </w:rPr>
              <w:t>Year-ended growth</w:t>
            </w:r>
          </w:p>
        </w:tc>
        <w:tc>
          <w:tcPr>
            <w:tcW w:w="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5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40" w:type="dxa"/>
            <w:tcBorders/>
          </w:tcPr>
          <w:p>
            <w:pPr>
              <w:pStyle w:val="Normal"/>
              <w:spacing w:lineRule="atLeast" w:line="0"/>
              <w:rPr>
                <w:rFonts w:ascii="Arial" w:hAnsi="Arial" w:eastAsia="Arial" w:cs="Arial"/>
                <w:sz w:val="19"/>
              </w:rPr>
            </w:pPr>
            <w:r>
              <w:rPr>
                <w:rFonts w:eastAsia="Arial" w:cs="Arial" w:ascii="Arial" w:hAnsi="Arial"/>
                <w:sz w:val="19"/>
              </w:rPr>
              <w:t>turnover. One strand of literature posits that</w:t>
            </w:r>
          </w:p>
        </w:tc>
      </w:tr>
      <w:tr>
        <w:trPr>
          <w:trHeight w:val="133" w:hRule="atLeast"/>
        </w:trPr>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57" w:type="dxa"/>
            <w:vMerge w:val="restart"/>
            <w:tcBorders/>
          </w:tcPr>
          <w:p>
            <w:pPr>
              <w:pStyle w:val="Normal"/>
              <w:spacing w:lineRule="atLeast" w:line="0"/>
              <w:rPr>
                <w:rFonts w:ascii="Arial" w:hAnsi="Arial" w:eastAsia="Arial" w:cs="Arial"/>
                <w:sz w:val="13"/>
              </w:rPr>
            </w:pPr>
            <w:r>
              <w:rPr>
                <w:rFonts w:eastAsia="Arial" w:cs="Arial" w:ascii="Arial" w:hAnsi="Arial"/>
                <w:sz w:val="13"/>
              </w:rPr>
              <w:t>%</w:t>
            </w:r>
          </w:p>
        </w:tc>
        <w:tc>
          <w:tcPr>
            <w:tcW w:w="3740" w:type="dxa"/>
            <w:vMerge w:val="restart"/>
            <w:tcBorders/>
          </w:tcPr>
          <w:p>
            <w:pPr>
              <w:pStyle w:val="Normal"/>
              <w:spacing w:lineRule="atLeast" w:line="0"/>
              <w:rPr>
                <w:rFonts w:ascii="Arial" w:hAnsi="Arial" w:eastAsia="Arial" w:cs="Arial"/>
                <w:w w:val="94"/>
                <w:sz w:val="19"/>
              </w:rPr>
            </w:pPr>
            <w:r>
              <w:rPr>
                <w:rFonts w:eastAsia="Arial" w:cs="Arial" w:ascii="Arial" w:hAnsi="Arial"/>
                <w:w w:val="94"/>
                <w:sz w:val="19"/>
              </w:rPr>
              <w:t>changes in housing turnover can lead changes</w:t>
            </w:r>
          </w:p>
        </w:tc>
      </w:tr>
      <w:tr>
        <w:trPr>
          <w:trHeight w:val="136"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w w:val="94"/>
                <w:sz w:val="11"/>
              </w:rPr>
            </w:pPr>
            <w:r>
              <w:rPr>
                <w:rFonts w:eastAsia="Times New Roman" w:cs="Times New Roman" w:ascii="Times New Roman" w:hAnsi="Times New Roman"/>
                <w:w w:val="94"/>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80" w:type="dxa"/>
            <w:gridSpan w:val="3"/>
            <w:vMerge w:val="restart"/>
            <w:tcBorders/>
          </w:tcPr>
          <w:p>
            <w:pPr>
              <w:pStyle w:val="Normal"/>
              <w:spacing w:lineRule="atLeast" w:line="0"/>
              <w:ind w:start="480" w:end="0"/>
              <w:rPr>
                <w:rFonts w:ascii="Arial" w:hAnsi="Arial" w:eastAsia="Arial" w:cs="Arial"/>
                <w:color w:val="2B0003"/>
                <w:sz w:val="13"/>
              </w:rPr>
            </w:pPr>
            <w:r>
              <w:rPr>
                <w:rFonts w:eastAsia="Arial" w:cs="Arial" w:ascii="Arial" w:hAnsi="Arial"/>
                <w:color w:val="2B0003"/>
                <w:sz w:val="13"/>
              </w:rPr>
              <w:t>Stamp duty revenue*</w:t>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color w:val="2B0003"/>
                <w:sz w:val="11"/>
              </w:rPr>
            </w:pPr>
            <w:r>
              <w:rPr>
                <w:rFonts w:eastAsia="Times New Roman" w:cs="Times New Roman" w:ascii="Times New Roman" w:hAnsi="Times New Roman"/>
                <w:color w:val="2B0003"/>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57"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7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51"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3"/>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5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40" w:type="dxa"/>
            <w:tcBorders/>
          </w:tcPr>
          <w:p>
            <w:pPr>
              <w:pStyle w:val="Normal"/>
              <w:spacing w:lineRule="atLeast" w:line="0"/>
              <w:rPr>
                <w:rFonts w:ascii="Arial" w:hAnsi="Arial" w:eastAsia="Arial" w:cs="Arial"/>
                <w:sz w:val="19"/>
              </w:rPr>
            </w:pPr>
            <w:r>
              <w:rPr>
                <w:rFonts w:eastAsia="Arial" w:cs="Arial" w:ascii="Arial" w:hAnsi="Arial"/>
                <w:sz w:val="19"/>
              </w:rPr>
              <w:t>in housing prices if buyers and sellers have</w:t>
            </w:r>
          </w:p>
        </w:tc>
      </w:tr>
      <w:tr>
        <w:trPr>
          <w:trHeight w:val="255" w:hRule="atLeast"/>
        </w:trPr>
        <w:tc>
          <w:tcPr>
            <w:tcW w:w="60" w:type="dxa"/>
            <w:tcBorders>
              <w:start w:val="single" w:sz="8" w:space="0" w:color="000000"/>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57" w:type="dxa"/>
            <w:vMerge w:val="restart"/>
            <w:tcBorders/>
          </w:tcPr>
          <w:p>
            <w:pPr>
              <w:pStyle w:val="Normal"/>
              <w:spacing w:lineRule="atLeast" w:line="0"/>
              <w:rPr>
                <w:rFonts w:ascii="Arial" w:hAnsi="Arial" w:eastAsia="Arial" w:cs="Arial"/>
                <w:sz w:val="13"/>
              </w:rPr>
            </w:pPr>
            <w:r>
              <w:rPr>
                <w:rFonts w:eastAsia="Arial" w:cs="Arial" w:ascii="Arial" w:hAnsi="Arial"/>
                <w:sz w:val="13"/>
              </w:rPr>
              <w:t>20</w:t>
            </w:r>
          </w:p>
        </w:tc>
        <w:tc>
          <w:tcPr>
            <w:tcW w:w="3740" w:type="dxa"/>
            <w:tcBorders/>
          </w:tcPr>
          <w:p>
            <w:pPr>
              <w:pStyle w:val="Normal"/>
              <w:spacing w:lineRule="atLeast" w:line="0"/>
              <w:rPr>
                <w:rFonts w:ascii="Arial" w:hAnsi="Arial" w:eastAsia="Arial" w:cs="Arial"/>
                <w:w w:val="93"/>
                <w:sz w:val="19"/>
              </w:rPr>
            </w:pPr>
            <w:r>
              <w:rPr>
                <w:rFonts w:eastAsia="Arial" w:cs="Arial" w:ascii="Arial" w:hAnsi="Arial"/>
                <w:w w:val="93"/>
                <w:sz w:val="19"/>
              </w:rPr>
              <w:t>incomplete information about market conditions</w:t>
            </w:r>
          </w:p>
        </w:tc>
      </w:tr>
      <w:tr>
        <w:trPr>
          <w:trHeight w:val="74"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w w:val="93"/>
                <w:sz w:val="6"/>
              </w:rPr>
            </w:pPr>
            <w:r>
              <w:rPr>
                <w:rFonts w:eastAsia="Times New Roman" w:cs="Times New Roman" w:ascii="Times New Roman" w:hAnsi="Times New Roman"/>
                <w:w w:val="93"/>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57"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40" w:type="dxa"/>
            <w:vMerge w:val="restart"/>
            <w:tcBorders/>
          </w:tcPr>
          <w:p>
            <w:pPr>
              <w:pStyle w:val="Normal"/>
              <w:spacing w:lineRule="atLeast" w:line="0"/>
              <w:rPr/>
            </w:pPr>
            <w:r>
              <w:rPr>
                <w:rFonts w:eastAsia="Arial" w:cs="Arial" w:ascii="Arial" w:hAnsi="Arial"/>
                <w:w w:val="97"/>
                <w:sz w:val="19"/>
              </w:rPr>
              <w:t>(Wheaton 1990).</w:t>
            </w:r>
            <w:r>
              <w:rPr>
                <w:rFonts w:eastAsia="Arial" w:cs="Arial" w:ascii="Arial" w:hAnsi="Arial"/>
                <w:w w:val="97"/>
                <w:sz w:val="11"/>
              </w:rPr>
              <w:t>12</w:t>
            </w:r>
            <w:r>
              <w:rPr>
                <w:rFonts w:eastAsia="Arial" w:cs="Arial" w:ascii="Arial" w:hAnsi="Arial"/>
                <w:w w:val="97"/>
                <w:sz w:val="19"/>
              </w:rPr>
              <w:t xml:space="preserve"> Changes in housing prices</w:t>
            </w:r>
          </w:p>
        </w:tc>
      </w:tr>
      <w:tr>
        <w:trPr>
          <w:trHeight w:val="190"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w w:val="97"/>
                <w:sz w:val="16"/>
              </w:rPr>
            </w:pPr>
            <w:r>
              <w:rPr>
                <w:rFonts w:eastAsia="Times New Roman" w:cs="Times New Roman" w:ascii="Times New Roman" w:hAnsi="Times New Roman"/>
                <w:w w:val="97"/>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5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45"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5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40" w:type="dxa"/>
            <w:tcBorders/>
          </w:tcPr>
          <w:p>
            <w:pPr>
              <w:pStyle w:val="Normal"/>
              <w:spacing w:lineRule="atLeast" w:line="0"/>
              <w:rPr>
                <w:rFonts w:ascii="Arial" w:hAnsi="Arial" w:eastAsia="Arial" w:cs="Arial"/>
                <w:w w:val="91"/>
                <w:sz w:val="19"/>
              </w:rPr>
            </w:pPr>
            <w:r>
              <w:rPr>
                <w:rFonts w:eastAsia="Arial" w:cs="Arial" w:ascii="Arial" w:hAnsi="Arial"/>
                <w:w w:val="91"/>
                <w:sz w:val="19"/>
              </w:rPr>
              <w:t>can subsequently affect household consumption</w:t>
            </w:r>
          </w:p>
        </w:tc>
      </w:tr>
      <w:tr>
        <w:trPr>
          <w:trHeight w:val="127" w:hRule="atLeast"/>
        </w:trPr>
        <w:tc>
          <w:tcPr>
            <w:tcW w:w="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1"/>
                <w:sz w:val="11"/>
              </w:rPr>
            </w:pPr>
            <w:r>
              <w:rPr>
                <w:rFonts w:eastAsia="Times New Roman" w:cs="Times New Roman" w:ascii="Times New Roman" w:hAnsi="Times New Roman"/>
                <w:w w:val="91"/>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0" w:type="dxa"/>
            <w:tcBorders>
              <w:bottom w:val="single" w:sz="8" w:space="0" w:color="000000"/>
              <w:end w:val="single" w:sz="8" w:space="0" w:color="808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57" w:type="dxa"/>
            <w:vMerge w:val="restart"/>
            <w:tcBorders/>
          </w:tcPr>
          <w:p>
            <w:pPr>
              <w:pStyle w:val="Normal"/>
              <w:spacing w:lineRule="atLeast" w:line="0"/>
              <w:rPr>
                <w:rFonts w:ascii="Arial" w:hAnsi="Arial" w:eastAsia="Arial" w:cs="Arial"/>
                <w:sz w:val="13"/>
              </w:rPr>
            </w:pPr>
            <w:r>
              <w:rPr>
                <w:rFonts w:eastAsia="Arial" w:cs="Arial" w:ascii="Arial" w:hAnsi="Arial"/>
                <w:sz w:val="13"/>
              </w:rPr>
              <w:t>0</w:t>
            </w:r>
          </w:p>
        </w:tc>
        <w:tc>
          <w:tcPr>
            <w:tcW w:w="3740" w:type="dxa"/>
            <w:vMerge w:val="restart"/>
            <w:tcBorders/>
          </w:tcPr>
          <w:p>
            <w:pPr>
              <w:pStyle w:val="Normal"/>
              <w:spacing w:lineRule="atLeast" w:line="0"/>
              <w:rPr>
                <w:rFonts w:ascii="Arial" w:hAnsi="Arial" w:eastAsia="Arial" w:cs="Arial"/>
                <w:w w:val="96"/>
                <w:sz w:val="19"/>
              </w:rPr>
            </w:pPr>
            <w:r>
              <w:rPr>
                <w:rFonts w:eastAsia="Arial" w:cs="Arial" w:ascii="Arial" w:hAnsi="Arial"/>
                <w:w w:val="96"/>
                <w:sz w:val="19"/>
              </w:rPr>
              <w:t>via the household wealth channel (Muellbauer</w:t>
            </w:r>
          </w:p>
        </w:tc>
      </w:tr>
      <w:tr>
        <w:trPr>
          <w:trHeight w:val="148"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w w:val="96"/>
                <w:sz w:val="12"/>
              </w:rPr>
            </w:pPr>
            <w:r>
              <w:rPr>
                <w:rFonts w:eastAsia="Times New Roman" w:cs="Times New Roman" w:ascii="Times New Roman" w:hAnsi="Times New Roman"/>
                <w:w w:val="96"/>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end w:val="single" w:sz="8" w:space="0" w:color="808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57"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15"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end w:val="single" w:sz="8" w:space="0" w:color="808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5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40" w:type="dxa"/>
            <w:vMerge w:val="restart"/>
            <w:tcBorders/>
          </w:tcPr>
          <w:p>
            <w:pPr>
              <w:pStyle w:val="Normal"/>
              <w:spacing w:lineRule="atLeast" w:line="0"/>
              <w:rPr>
                <w:rFonts w:ascii="Arial" w:hAnsi="Arial" w:eastAsia="Arial" w:cs="Arial"/>
                <w:w w:val="98"/>
                <w:sz w:val="19"/>
              </w:rPr>
            </w:pPr>
            <w:r>
              <w:rPr>
                <w:rFonts w:eastAsia="Arial" w:cs="Arial" w:ascii="Arial" w:hAnsi="Arial"/>
                <w:w w:val="98"/>
                <w:sz w:val="19"/>
              </w:rPr>
              <w:t>and Murphy 1990). Housing price growth can</w:t>
            </w:r>
          </w:p>
        </w:tc>
      </w:tr>
      <w:tr>
        <w:trPr>
          <w:trHeight w:val="144"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w w:val="98"/>
                <w:sz w:val="12"/>
              </w:rPr>
            </w:pPr>
            <w:r>
              <w:rPr>
                <w:rFonts w:eastAsia="Times New Roman" w:cs="Times New Roman" w:ascii="Times New Roman" w:hAnsi="Times New Roman"/>
                <w:w w:val="98"/>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0" w:type="dxa"/>
            <w:gridSpan w:val="2"/>
            <w:vMerge w:val="restart"/>
            <w:tcBorders/>
          </w:tcPr>
          <w:p>
            <w:pPr>
              <w:pStyle w:val="Normal"/>
              <w:spacing w:lineRule="atLeast" w:line="0"/>
              <w:ind w:start="80" w:end="0"/>
              <w:rPr>
                <w:rFonts w:ascii="Arial" w:hAnsi="Arial" w:eastAsia="Arial" w:cs="Arial"/>
                <w:color w:val="DB0E8F"/>
                <w:sz w:val="13"/>
              </w:rPr>
            </w:pPr>
            <w:r>
              <w:rPr>
                <w:rFonts w:eastAsia="Arial" w:cs="Arial" w:ascii="Arial" w:hAnsi="Arial"/>
                <w:color w:val="DB0E8F"/>
                <w:sz w:val="13"/>
              </w:rPr>
              <w:t>Housing turnover**</w:t>
            </w:r>
          </w:p>
        </w:tc>
        <w:tc>
          <w:tcPr>
            <w:tcW w:w="540" w:type="dxa"/>
            <w:tcBorders/>
          </w:tcPr>
          <w:p>
            <w:pPr>
              <w:pStyle w:val="Normal"/>
              <w:snapToGrid w:val="false"/>
              <w:spacing w:lineRule="atLeast" w:line="0"/>
              <w:rPr>
                <w:rFonts w:ascii="Times New Roman" w:hAnsi="Times New Roman" w:eastAsia="Times New Roman" w:cs="Times New Roman"/>
                <w:color w:val="DB0E8F"/>
                <w:sz w:val="12"/>
              </w:rPr>
            </w:pPr>
            <w:r>
              <w:rPr>
                <w:rFonts w:eastAsia="Times New Roman" w:cs="Times New Roman" w:ascii="Times New Roman" w:hAnsi="Times New Roman"/>
                <w:color w:val="DB0E8F"/>
                <w:sz w:val="12"/>
              </w:rPr>
            </w:r>
          </w:p>
        </w:tc>
        <w:tc>
          <w:tcPr>
            <w:tcW w:w="1240" w:type="dxa"/>
            <w:gridSpan w:val="2"/>
            <w:tcBorders>
              <w:end w:val="single" w:sz="8" w:space="0" w:color="000000"/>
            </w:tcBorders>
          </w:tcPr>
          <w:p>
            <w:pPr>
              <w:pStyle w:val="Normal"/>
              <w:spacing w:lineRule="exact" w:line="144"/>
              <w:ind w:end="54"/>
              <w:jc w:val="center"/>
              <w:rPr>
                <w:rFonts w:ascii="Arial" w:hAnsi="Arial" w:eastAsia="Arial" w:cs="Arial"/>
                <w:color w:val="FB7E31"/>
                <w:sz w:val="13"/>
              </w:rPr>
            </w:pPr>
            <w:r>
              <w:rPr>
                <w:rFonts w:eastAsia="Arial" w:cs="Arial" w:ascii="Arial" w:hAnsi="Arial"/>
                <w:color w:val="FB7E31"/>
                <w:sz w:val="13"/>
              </w:rPr>
              <w:t>Housing prices</w:t>
            </w:r>
          </w:p>
        </w:tc>
        <w:tc>
          <w:tcPr>
            <w:tcW w:w="23" w:type="dxa"/>
            <w:tcBorders/>
          </w:tcPr>
          <w:p>
            <w:pPr>
              <w:pStyle w:val="Normal"/>
              <w:snapToGrid w:val="false"/>
              <w:spacing w:lineRule="atLeast" w:line="0"/>
              <w:rPr>
                <w:rFonts w:ascii="Times New Roman" w:hAnsi="Times New Roman" w:eastAsia="Times New Roman" w:cs="Times New Roman"/>
                <w:color w:val="FB7E31"/>
                <w:sz w:val="12"/>
              </w:rPr>
            </w:pPr>
            <w:r>
              <w:rPr>
                <w:rFonts w:eastAsia="Times New Roman" w:cs="Times New Roman" w:ascii="Times New Roman" w:hAnsi="Times New Roman"/>
                <w:color w:val="FB7E31"/>
                <w:sz w:val="12"/>
              </w:rPr>
            </w:r>
          </w:p>
        </w:tc>
        <w:tc>
          <w:tcPr>
            <w:tcW w:w="45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75"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0" w:type="dxa"/>
            <w:gridSpan w:val="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gridSpan w:val="2"/>
            <w:tcBorders>
              <w:end w:val="single" w:sz="8" w:space="0" w:color="000000"/>
            </w:tcBorders>
          </w:tcPr>
          <w:p>
            <w:pPr>
              <w:pStyle w:val="Normal"/>
              <w:spacing w:lineRule="atLeast" w:line="0"/>
              <w:ind w:end="14"/>
              <w:jc w:val="center"/>
              <w:rPr>
                <w:rFonts w:ascii="Arial" w:hAnsi="Arial" w:eastAsia="Arial" w:cs="Arial"/>
                <w:color w:val="FB7E31"/>
                <w:w w:val="98"/>
                <w:sz w:val="12"/>
              </w:rPr>
            </w:pPr>
            <w:r>
              <w:rPr>
                <w:rFonts w:eastAsia="Arial" w:cs="Arial" w:ascii="Arial" w:hAnsi="Arial"/>
                <w:color w:val="FB7E31"/>
                <w:w w:val="98"/>
                <w:sz w:val="12"/>
              </w:rPr>
              <w:t>(raw mean)</w:t>
            </w:r>
          </w:p>
        </w:tc>
        <w:tc>
          <w:tcPr>
            <w:tcW w:w="23" w:type="dxa"/>
            <w:tcBorders/>
          </w:tcPr>
          <w:p>
            <w:pPr>
              <w:pStyle w:val="Normal"/>
              <w:snapToGrid w:val="false"/>
              <w:spacing w:lineRule="atLeast" w:line="0"/>
              <w:rPr>
                <w:rFonts w:ascii="Times New Roman" w:hAnsi="Times New Roman" w:eastAsia="Times New Roman" w:cs="Times New Roman"/>
                <w:color w:val="FB7E31"/>
                <w:w w:val="98"/>
                <w:sz w:val="15"/>
              </w:rPr>
            </w:pPr>
            <w:r>
              <w:rPr>
                <w:rFonts w:eastAsia="Times New Roman" w:cs="Times New Roman" w:ascii="Times New Roman" w:hAnsi="Times New Roman"/>
                <w:color w:val="FB7E31"/>
                <w:w w:val="98"/>
                <w:sz w:val="15"/>
              </w:rPr>
            </w:r>
          </w:p>
        </w:tc>
        <w:tc>
          <w:tcPr>
            <w:tcW w:w="457" w:type="dxa"/>
            <w:vMerge w:val="restart"/>
            <w:tcBorders/>
          </w:tcPr>
          <w:p>
            <w:pPr>
              <w:pStyle w:val="Normal"/>
              <w:spacing w:lineRule="atLeast" w:line="0"/>
              <w:rPr>
                <w:rFonts w:ascii="Arial" w:hAnsi="Arial" w:eastAsia="Arial" w:cs="Arial"/>
                <w:sz w:val="13"/>
              </w:rPr>
            </w:pPr>
            <w:r>
              <w:rPr>
                <w:rFonts w:eastAsia="Arial" w:cs="Arial" w:ascii="Arial" w:hAnsi="Arial"/>
                <w:sz w:val="13"/>
              </w:rPr>
              <w:t>-20</w:t>
            </w:r>
          </w:p>
        </w:tc>
        <w:tc>
          <w:tcPr>
            <w:tcW w:w="3740" w:type="dxa"/>
            <w:vMerge w:val="restart"/>
            <w:tcBorders/>
          </w:tcPr>
          <w:p>
            <w:pPr>
              <w:pStyle w:val="Normal"/>
              <w:spacing w:lineRule="atLeast" w:line="0"/>
              <w:rPr>
                <w:rFonts w:ascii="Arial" w:hAnsi="Arial" w:eastAsia="Arial" w:cs="Arial"/>
                <w:w w:val="97"/>
                <w:sz w:val="19"/>
              </w:rPr>
            </w:pPr>
            <w:r>
              <w:rPr>
                <w:rFonts w:eastAsia="Arial" w:cs="Arial" w:ascii="Arial" w:hAnsi="Arial"/>
                <w:w w:val="97"/>
                <w:sz w:val="19"/>
              </w:rPr>
              <w:t>also affect dwelling investment by altering the</w:t>
            </w:r>
          </w:p>
        </w:tc>
      </w:tr>
      <w:tr>
        <w:trPr>
          <w:trHeight w:val="55" w:hRule="atLeast"/>
        </w:trPr>
        <w:tc>
          <w:tcPr>
            <w:tcW w:w="60" w:type="dxa"/>
            <w:tcBorders>
              <w:start w:val="single" w:sz="8" w:space="0" w:color="000000"/>
              <w:bottom w:val="single" w:sz="8" w:space="0" w:color="808080"/>
            </w:tcBorders>
          </w:tcPr>
          <w:p>
            <w:pPr>
              <w:pStyle w:val="Normal"/>
              <w:snapToGrid w:val="false"/>
              <w:spacing w:lineRule="atLeast" w:line="0"/>
              <w:rPr>
                <w:rFonts w:ascii="Times New Roman" w:hAnsi="Times New Roman" w:eastAsia="Times New Roman" w:cs="Times New Roman"/>
                <w:w w:val="97"/>
                <w:sz w:val="4"/>
              </w:rPr>
            </w:pPr>
            <w:r>
              <w:rPr>
                <w:rFonts w:eastAsia="Times New Roman" w:cs="Times New Roman" w:ascii="Times New Roman" w:hAnsi="Times New Roman"/>
                <w:w w:val="97"/>
                <w:sz w:val="4"/>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bottom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40" w:type="dxa"/>
            <w:tcBorders>
              <w:bottom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tcBorders>
              <w:bottom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vMerge w:val="restart"/>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57"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4"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vMerge w:val="continue"/>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57"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7"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5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40" w:type="dxa"/>
            <w:tcBorders/>
          </w:tcPr>
          <w:p>
            <w:pPr>
              <w:pStyle w:val="Normal"/>
              <w:spacing w:lineRule="atLeast" w:line="0"/>
              <w:rPr>
                <w:rFonts w:ascii="Arial" w:hAnsi="Arial" w:eastAsia="Arial" w:cs="Arial"/>
                <w:sz w:val="19"/>
              </w:rPr>
            </w:pPr>
            <w:r>
              <w:rPr>
                <w:rFonts w:eastAsia="Arial" w:cs="Arial" w:ascii="Arial" w:hAnsi="Arial"/>
                <w:sz w:val="19"/>
              </w:rPr>
              <w:t>expected return on investment, with flow-on</w:t>
            </w:r>
          </w:p>
        </w:tc>
      </w:tr>
      <w:tr>
        <w:trPr>
          <w:trHeight w:val="270"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57" w:type="dxa"/>
            <w:vMerge w:val="restart"/>
            <w:tcBorders/>
          </w:tcPr>
          <w:p>
            <w:pPr>
              <w:pStyle w:val="Normal"/>
              <w:spacing w:lineRule="atLeast" w:line="0"/>
              <w:rPr>
                <w:rFonts w:ascii="Arial" w:hAnsi="Arial" w:eastAsia="Arial" w:cs="Arial"/>
                <w:sz w:val="13"/>
              </w:rPr>
            </w:pPr>
            <w:r>
              <w:rPr>
                <w:rFonts w:eastAsia="Arial" w:cs="Arial" w:ascii="Arial" w:hAnsi="Arial"/>
                <w:sz w:val="13"/>
              </w:rPr>
              <w:t>-40</w:t>
            </w:r>
          </w:p>
        </w:tc>
        <w:tc>
          <w:tcPr>
            <w:tcW w:w="3740" w:type="dxa"/>
            <w:tcBorders/>
          </w:tcPr>
          <w:p>
            <w:pPr>
              <w:pStyle w:val="Normal"/>
              <w:spacing w:lineRule="atLeast" w:line="0"/>
              <w:rPr>
                <w:rFonts w:ascii="Arial" w:hAnsi="Arial" w:eastAsia="Arial" w:cs="Arial"/>
                <w:w w:val="95"/>
                <w:sz w:val="19"/>
              </w:rPr>
            </w:pPr>
            <w:r>
              <w:rPr>
                <w:rFonts w:eastAsia="Arial" w:cs="Arial" w:ascii="Arial" w:hAnsi="Arial"/>
                <w:w w:val="95"/>
                <w:sz w:val="19"/>
              </w:rPr>
              <w:t>effects for incomes and employment in related</w:t>
            </w:r>
          </w:p>
        </w:tc>
      </w:tr>
      <w:tr>
        <w:trPr>
          <w:trHeight w:val="97" w:hRule="atLeast"/>
        </w:trPr>
        <w:tc>
          <w:tcPr>
            <w:tcW w:w="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5"/>
                <w:sz w:val="8"/>
              </w:rPr>
            </w:pPr>
            <w:r>
              <w:rPr>
                <w:rFonts w:eastAsia="Times New Roman" w:cs="Times New Roman" w:ascii="Times New Roman" w:hAnsi="Times New Roman"/>
                <w:w w:val="95"/>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57"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40" w:type="dxa"/>
            <w:vMerge w:val="restart"/>
            <w:tcBorders/>
          </w:tcPr>
          <w:p>
            <w:pPr>
              <w:pStyle w:val="Normal"/>
              <w:spacing w:lineRule="atLeast" w:line="0"/>
              <w:rPr>
                <w:rFonts w:ascii="Arial" w:hAnsi="Arial" w:eastAsia="Arial" w:cs="Arial"/>
                <w:sz w:val="19"/>
              </w:rPr>
            </w:pPr>
            <w:r>
              <w:rPr>
                <w:rFonts w:eastAsia="Arial" w:cs="Arial" w:ascii="Arial" w:hAnsi="Arial"/>
                <w:sz w:val="19"/>
              </w:rPr>
              <w:t>industries.</w:t>
            </w:r>
          </w:p>
        </w:tc>
      </w:tr>
      <w:tr>
        <w:trPr>
          <w:trHeight w:val="175" w:hRule="atLeast"/>
        </w:trPr>
        <w:tc>
          <w:tcPr>
            <w:tcW w:w="60" w:type="dxa"/>
            <w:vMerge w:val="restart"/>
            <w:tcBorders/>
          </w:tcPr>
          <w:p>
            <w:pPr>
              <w:pStyle w:val="Normal"/>
              <w:spacing w:lineRule="atLeast" w:line="0"/>
              <w:rPr>
                <w:rFonts w:ascii="Arial" w:hAnsi="Arial" w:eastAsia="Arial" w:cs="Arial"/>
                <w:w w:val="92"/>
                <w:sz w:val="11"/>
              </w:rPr>
            </w:pPr>
            <w:r>
              <w:rPr>
                <w:rFonts w:eastAsia="Arial" w:cs="Arial" w:ascii="Arial" w:hAnsi="Arial"/>
                <w:w w:val="92"/>
                <w:sz w:val="11"/>
              </w:rPr>
              <w:t>*</w:t>
            </w:r>
          </w:p>
        </w:tc>
        <w:tc>
          <w:tcPr>
            <w:tcW w:w="100" w:type="dxa"/>
            <w:tcBorders/>
          </w:tcPr>
          <w:p>
            <w:pPr>
              <w:pStyle w:val="Normal"/>
              <w:snapToGrid w:val="false"/>
              <w:spacing w:lineRule="atLeast" w:line="0"/>
              <w:rPr>
                <w:rFonts w:ascii="Times New Roman" w:hAnsi="Times New Roman" w:eastAsia="Times New Roman" w:cs="Times New Roman"/>
                <w:w w:val="92"/>
                <w:sz w:val="15"/>
              </w:rPr>
            </w:pPr>
            <w:r>
              <w:rPr>
                <w:rFonts w:eastAsia="Times New Roman" w:cs="Times New Roman" w:ascii="Times New Roman" w:hAnsi="Times New Roman"/>
                <w:w w:val="92"/>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tcPr>
          <w:p>
            <w:pPr>
              <w:pStyle w:val="Normal"/>
              <w:spacing w:lineRule="atLeast" w:line="0"/>
              <w:ind w:end="56"/>
              <w:jc w:val="end"/>
              <w:rPr>
                <w:rFonts w:ascii="Arial" w:hAnsi="Arial" w:eastAsia="Arial" w:cs="Arial"/>
                <w:sz w:val="13"/>
              </w:rPr>
            </w:pPr>
            <w:r>
              <w:rPr>
                <w:rFonts w:eastAsia="Arial" w:cs="Arial" w:ascii="Arial" w:hAnsi="Arial"/>
                <w:sz w:val="13"/>
              </w:rPr>
              <w:t>03/04</w:t>
            </w:r>
          </w:p>
        </w:tc>
        <w:tc>
          <w:tcPr>
            <w:tcW w:w="1280" w:type="dxa"/>
            <w:gridSpan w:val="2"/>
            <w:tcBorders/>
          </w:tcPr>
          <w:p>
            <w:pPr>
              <w:pStyle w:val="Normal"/>
              <w:spacing w:lineRule="atLeast" w:line="0"/>
              <w:ind w:end="437"/>
              <w:jc w:val="end"/>
              <w:rPr>
                <w:rFonts w:ascii="Arial" w:hAnsi="Arial" w:eastAsia="Arial" w:cs="Arial"/>
                <w:sz w:val="13"/>
              </w:rPr>
            </w:pPr>
            <w:r>
              <w:rPr>
                <w:rFonts w:eastAsia="Arial" w:cs="Arial" w:ascii="Arial" w:hAnsi="Arial"/>
                <w:sz w:val="13"/>
              </w:rPr>
              <w:t>07/08</w:t>
            </w:r>
          </w:p>
        </w:tc>
        <w:tc>
          <w:tcPr>
            <w:tcW w:w="600" w:type="dxa"/>
            <w:tcBorders/>
          </w:tcPr>
          <w:p>
            <w:pPr>
              <w:pStyle w:val="Normal"/>
              <w:spacing w:lineRule="atLeast" w:line="0"/>
              <w:ind w:end="156"/>
              <w:jc w:val="end"/>
              <w:rPr>
                <w:rFonts w:ascii="Arial" w:hAnsi="Arial" w:eastAsia="Arial" w:cs="Arial"/>
                <w:sz w:val="13"/>
              </w:rPr>
            </w:pPr>
            <w:r>
              <w:rPr>
                <w:rFonts w:eastAsia="Arial" w:cs="Arial" w:ascii="Arial" w:hAnsi="Arial"/>
                <w:sz w:val="13"/>
              </w:rPr>
              <w:t>11/12</w:t>
            </w:r>
          </w:p>
        </w:tc>
        <w:tc>
          <w:tcPr>
            <w:tcW w:w="1120" w:type="dxa"/>
            <w:gridSpan w:val="3"/>
            <w:tcBorders/>
          </w:tcPr>
          <w:p>
            <w:pPr>
              <w:pStyle w:val="Normal"/>
              <w:spacing w:lineRule="atLeast" w:line="0"/>
              <w:ind w:end="374"/>
              <w:jc w:val="end"/>
              <w:rPr>
                <w:rFonts w:ascii="Arial" w:hAnsi="Arial" w:eastAsia="Arial" w:cs="Arial"/>
                <w:sz w:val="13"/>
              </w:rPr>
            </w:pPr>
            <w:r>
              <w:rPr>
                <w:rFonts w:eastAsia="Arial" w:cs="Arial" w:ascii="Arial" w:hAnsi="Arial"/>
                <w:sz w:val="13"/>
              </w:rPr>
              <w:t>15/16</w:t>
            </w:r>
          </w:p>
        </w:tc>
        <w:tc>
          <w:tcPr>
            <w:tcW w:w="37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56" w:hRule="atLeast"/>
        </w:trPr>
        <w:tc>
          <w:tcPr>
            <w:tcW w:w="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940" w:type="dxa"/>
            <w:gridSpan w:val="8"/>
            <w:tcBorders/>
          </w:tcPr>
          <w:p>
            <w:pPr>
              <w:pStyle w:val="Normal"/>
              <w:spacing w:lineRule="atLeast" w:line="0"/>
              <w:ind w:start="80" w:end="0"/>
              <w:rPr>
                <w:rFonts w:ascii="Arial" w:hAnsi="Arial" w:eastAsia="Arial" w:cs="Arial"/>
                <w:sz w:val="11"/>
              </w:rPr>
            </w:pPr>
            <w:r>
              <w:rPr>
                <w:rFonts w:eastAsia="Arial" w:cs="Arial" w:ascii="Arial" w:hAnsi="Arial"/>
                <w:sz w:val="11"/>
              </w:rPr>
              <w:t>Annual sum across states; includes residential and non-residential</w:t>
            </w:r>
          </w:p>
        </w:tc>
        <w:tc>
          <w:tcPr>
            <w:tcW w:w="3740" w:type="dxa"/>
            <w:vMerge w:val="restart"/>
            <w:tcBorders/>
          </w:tcPr>
          <w:p>
            <w:pPr>
              <w:pStyle w:val="Normal"/>
              <w:spacing w:lineRule="atLeast" w:line="0"/>
              <w:rPr>
                <w:rFonts w:ascii="Arial" w:hAnsi="Arial" w:eastAsia="Arial" w:cs="Arial"/>
                <w:sz w:val="19"/>
              </w:rPr>
            </w:pPr>
            <w:r>
              <w:rPr>
                <w:rFonts w:eastAsia="Arial" w:cs="Arial" w:ascii="Arial" w:hAnsi="Arial"/>
                <w:sz w:val="19"/>
              </w:rPr>
              <w:t>Changes in the composition of housing</w:t>
            </w:r>
          </w:p>
        </w:tc>
      </w:tr>
      <w:tr>
        <w:trPr>
          <w:trHeight w:val="172" w:hRule="atLeast"/>
        </w:trPr>
        <w:tc>
          <w:tcPr>
            <w:tcW w:w="160" w:type="dxa"/>
            <w:gridSpan w:val="2"/>
            <w:vMerge w:val="restart"/>
            <w:tcBorders/>
          </w:tcPr>
          <w:p>
            <w:pPr>
              <w:pStyle w:val="Normal"/>
              <w:spacing w:lineRule="atLeast" w:line="0"/>
              <w:rPr>
                <w:rFonts w:ascii="Arial" w:hAnsi="Arial" w:eastAsia="Arial" w:cs="Arial"/>
                <w:sz w:val="11"/>
              </w:rPr>
            </w:pPr>
            <w:r>
              <w:rPr>
                <w:rFonts w:eastAsia="Arial" w:cs="Arial" w:ascii="Arial" w:hAnsi="Arial"/>
                <w:sz w:val="11"/>
              </w:rPr>
              <w:t>**</w:t>
            </w:r>
          </w:p>
        </w:tc>
        <w:tc>
          <w:tcPr>
            <w:tcW w:w="940" w:type="dxa"/>
            <w:gridSpan w:val="2"/>
            <w:tcBorders/>
          </w:tcPr>
          <w:p>
            <w:pPr>
              <w:pStyle w:val="Normal"/>
              <w:spacing w:lineRule="atLeast" w:line="0"/>
              <w:ind w:start="80" w:end="0"/>
              <w:rPr>
                <w:rFonts w:ascii="Arial" w:hAnsi="Arial" w:eastAsia="Arial" w:cs="Arial"/>
                <w:sz w:val="11"/>
              </w:rPr>
            </w:pPr>
            <w:r>
              <w:rPr>
                <w:rFonts w:eastAsia="Arial" w:cs="Arial" w:ascii="Arial" w:hAnsi="Arial"/>
                <w:sz w:val="11"/>
              </w:rPr>
              <w:t>properties</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5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7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58" w:hRule="atLeast"/>
        </w:trPr>
        <w:tc>
          <w:tcPr>
            <w:tcW w:w="16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20" w:type="dxa"/>
            <w:gridSpan w:val="5"/>
            <w:tcBorders/>
          </w:tcPr>
          <w:p>
            <w:pPr>
              <w:pStyle w:val="Normal"/>
              <w:spacing w:lineRule="atLeast" w:line="0"/>
              <w:ind w:start="80" w:end="0"/>
              <w:rPr>
                <w:rFonts w:ascii="Arial" w:hAnsi="Arial" w:eastAsia="Arial" w:cs="Arial"/>
                <w:sz w:val="11"/>
              </w:rPr>
            </w:pPr>
            <w:r>
              <w:rPr>
                <w:rFonts w:eastAsia="Arial" w:cs="Arial" w:ascii="Arial" w:hAnsi="Arial"/>
                <w:sz w:val="11"/>
              </w:rPr>
              <w:t>Annual rolling sum of number of housing sales</w:t>
            </w:r>
          </w:p>
        </w:tc>
        <w:tc>
          <w:tcPr>
            <w:tcW w:w="6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5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40" w:type="dxa"/>
            <w:vMerge w:val="restart"/>
            <w:tcBorders/>
          </w:tcPr>
          <w:p>
            <w:pPr>
              <w:pStyle w:val="Normal"/>
              <w:spacing w:lineRule="atLeast" w:line="0"/>
              <w:rPr>
                <w:rFonts w:ascii="Arial" w:hAnsi="Arial" w:eastAsia="Arial" w:cs="Arial"/>
                <w:w w:val="94"/>
                <w:sz w:val="19"/>
              </w:rPr>
            </w:pPr>
            <w:r>
              <w:rPr>
                <w:rFonts w:eastAsia="Arial" w:cs="Arial" w:ascii="Arial" w:hAnsi="Arial"/>
                <w:w w:val="94"/>
                <w:sz w:val="19"/>
              </w:rPr>
              <w:t>turnover, in particular the increase in the share</w:t>
            </w:r>
          </w:p>
        </w:tc>
      </w:tr>
      <w:tr>
        <w:trPr>
          <w:trHeight w:val="140" w:hRule="atLeast"/>
        </w:trPr>
        <w:tc>
          <w:tcPr>
            <w:tcW w:w="1840" w:type="dxa"/>
            <w:gridSpan w:val="5"/>
            <w:tcBorders/>
          </w:tcPr>
          <w:p>
            <w:pPr>
              <w:pStyle w:val="Normal"/>
              <w:spacing w:lineRule="atLeast" w:line="0"/>
              <w:rPr>
                <w:rFonts w:ascii="Arial" w:hAnsi="Arial" w:eastAsia="Arial" w:cs="Arial"/>
                <w:sz w:val="11"/>
              </w:rPr>
            </w:pPr>
            <w:r>
              <w:rPr>
                <w:rFonts w:eastAsia="Arial" w:cs="Arial" w:ascii="Arial" w:hAnsi="Arial"/>
                <w:sz w:val="11"/>
              </w:rPr>
              <w:t>Sources: ABS; CoreLogic; RBA</w:t>
            </w:r>
          </w:p>
        </w:tc>
        <w:tc>
          <w:tcPr>
            <w:tcW w:w="5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5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46" w:hRule="atLeast"/>
        </w:trPr>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80" w:type="dxa"/>
            <w:gridSpan w:val="2"/>
            <w:vMerge w:val="restart"/>
            <w:tcBorders/>
          </w:tcPr>
          <w:p>
            <w:pPr>
              <w:pStyle w:val="Normal"/>
              <w:spacing w:lineRule="atLeast" w:line="0"/>
              <w:ind w:start="46" w:end="0"/>
              <w:jc w:val="center"/>
              <w:rPr>
                <w:rFonts w:ascii="Arial" w:hAnsi="Arial" w:eastAsia="Arial" w:cs="Arial"/>
                <w:b/>
              </w:rPr>
            </w:pPr>
            <w:r>
              <w:rPr>
                <w:rFonts w:eastAsia="Arial" w:cs="Arial" w:ascii="Arial" w:hAnsi="Arial"/>
                <w:b/>
              </w:rPr>
              <w:t>Graph 8</w:t>
            </w:r>
          </w:p>
        </w:tc>
        <w:tc>
          <w:tcPr>
            <w:tcW w:w="6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5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40" w:type="dxa"/>
            <w:tcBorders/>
          </w:tcPr>
          <w:p>
            <w:pPr>
              <w:pStyle w:val="Normal"/>
              <w:spacing w:lineRule="atLeast" w:line="0"/>
              <w:rPr>
                <w:rFonts w:ascii="Arial" w:hAnsi="Arial" w:eastAsia="Arial" w:cs="Arial"/>
                <w:w w:val="97"/>
                <w:sz w:val="19"/>
              </w:rPr>
            </w:pPr>
            <w:r>
              <w:rPr>
                <w:rFonts w:eastAsia="Arial" w:cs="Arial" w:ascii="Arial" w:hAnsi="Arial"/>
                <w:w w:val="97"/>
                <w:sz w:val="19"/>
              </w:rPr>
              <w:t>of off-the-plan apartment sales, can affect the</w:t>
            </w:r>
          </w:p>
        </w:tc>
      </w:tr>
      <w:tr>
        <w:trPr>
          <w:trHeight w:val="224" w:hRule="atLeast"/>
        </w:trPr>
        <w:tc>
          <w:tcPr>
            <w:tcW w:w="60" w:type="dxa"/>
            <w:tcBorders/>
          </w:tcPr>
          <w:p>
            <w:pPr>
              <w:pStyle w:val="Normal"/>
              <w:snapToGrid w:val="false"/>
              <w:spacing w:lineRule="atLeast" w:line="0"/>
              <w:rPr>
                <w:rFonts w:ascii="Times New Roman" w:hAnsi="Times New Roman" w:eastAsia="Times New Roman" w:cs="Times New Roman"/>
                <w:w w:val="97"/>
                <w:sz w:val="19"/>
              </w:rPr>
            </w:pPr>
            <w:r>
              <w:rPr>
                <w:rFonts w:eastAsia="Times New Roman" w:cs="Times New Roman" w:ascii="Times New Roman" w:hAnsi="Times New Roman"/>
                <w:w w:val="97"/>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5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40" w:type="dxa"/>
            <w:tcBorders/>
          </w:tcPr>
          <w:p>
            <w:pPr>
              <w:pStyle w:val="Normal"/>
              <w:spacing w:lineRule="atLeast" w:line="0"/>
              <w:rPr>
                <w:rFonts w:ascii="Arial" w:hAnsi="Arial" w:eastAsia="Arial" w:cs="Arial"/>
                <w:sz w:val="19"/>
              </w:rPr>
            </w:pPr>
            <w:r>
              <w:rPr>
                <w:rFonts w:eastAsia="Arial" w:cs="Arial" w:ascii="Arial" w:hAnsi="Arial"/>
                <w:sz w:val="19"/>
              </w:rPr>
              <w:t>relationship between turnover, housing loan</w:t>
            </w:r>
          </w:p>
        </w:tc>
      </w:tr>
      <w:tr>
        <w:trPr>
          <w:trHeight w:val="199" w:hRule="atLeast"/>
        </w:trPr>
        <w:tc>
          <w:tcPr>
            <w:tcW w:w="4100" w:type="dxa"/>
            <w:gridSpan w:val="10"/>
            <w:tcBorders/>
          </w:tcPr>
          <w:p>
            <w:pPr>
              <w:pStyle w:val="Normal"/>
              <w:spacing w:lineRule="exact" w:line="199"/>
              <w:ind w:end="454"/>
              <w:jc w:val="center"/>
              <w:rPr>
                <w:rFonts w:ascii="Arial" w:hAnsi="Arial" w:eastAsia="Arial" w:cs="Arial"/>
                <w:b/>
                <w:sz w:val="18"/>
              </w:rPr>
            </w:pPr>
            <w:r>
              <w:rPr>
                <w:rFonts w:eastAsia="Arial" w:cs="Arial" w:ascii="Arial" w:hAnsi="Arial"/>
                <w:b/>
                <w:sz w:val="18"/>
              </w:rPr>
              <w:t>Housing Turnover Rate and Retail Sales</w:t>
            </w:r>
          </w:p>
        </w:tc>
        <w:tc>
          <w:tcPr>
            <w:tcW w:w="3740" w:type="dxa"/>
            <w:vMerge w:val="restart"/>
            <w:tcBorders/>
          </w:tcPr>
          <w:p>
            <w:pPr>
              <w:pStyle w:val="Normal"/>
              <w:spacing w:lineRule="atLeast" w:line="0"/>
              <w:rPr>
                <w:rFonts w:ascii="Arial" w:hAnsi="Arial" w:eastAsia="Arial" w:cs="Arial"/>
                <w:w w:val="99"/>
                <w:sz w:val="19"/>
              </w:rPr>
            </w:pPr>
            <w:r>
              <w:rPr>
                <w:rFonts w:eastAsia="Arial" w:cs="Arial" w:ascii="Arial" w:hAnsi="Arial"/>
                <w:w w:val="99"/>
                <w:sz w:val="19"/>
              </w:rPr>
              <w:t>approvals and credit. For a typical sale of an</w:t>
            </w:r>
          </w:p>
        </w:tc>
      </w:tr>
      <w:tr>
        <w:trPr>
          <w:trHeight w:val="117" w:hRule="atLeast"/>
        </w:trPr>
        <w:tc>
          <w:tcPr>
            <w:tcW w:w="60" w:type="dxa"/>
            <w:tcBorders/>
          </w:tcPr>
          <w:p>
            <w:pPr>
              <w:pStyle w:val="Normal"/>
              <w:snapToGrid w:val="false"/>
              <w:spacing w:lineRule="atLeast" w:line="0"/>
              <w:rPr>
                <w:rFonts w:ascii="Times New Roman" w:hAnsi="Times New Roman" w:eastAsia="Times New Roman" w:cs="Times New Roman"/>
                <w:w w:val="99"/>
                <w:sz w:val="10"/>
              </w:rPr>
            </w:pPr>
            <w:r>
              <w:rPr>
                <w:rFonts w:eastAsia="Times New Roman" w:cs="Times New Roman" w:ascii="Times New Roman" w:hAnsi="Times New Roman"/>
                <w:w w:val="99"/>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80" w:type="dxa"/>
            <w:gridSpan w:val="2"/>
            <w:vMerge w:val="restart"/>
            <w:tcBorders/>
          </w:tcPr>
          <w:p>
            <w:pPr>
              <w:pStyle w:val="Normal"/>
              <w:spacing w:lineRule="atLeast" w:line="0"/>
              <w:ind w:start="26" w:end="0"/>
              <w:jc w:val="center"/>
              <w:rPr>
                <w:rFonts w:ascii="Arial" w:hAnsi="Arial" w:eastAsia="Arial" w:cs="Arial"/>
                <w:sz w:val="13"/>
              </w:rPr>
            </w:pPr>
            <w:r>
              <w:rPr>
                <w:rFonts w:eastAsia="Arial" w:cs="Arial" w:ascii="Arial" w:hAnsi="Arial"/>
                <w:sz w:val="13"/>
              </w:rPr>
              <w:t>Seasonally adjusted</w:t>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5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7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64" w:hRule="atLeast"/>
        </w:trPr>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gridSpan w:val="2"/>
            <w:vMerge w:val="restart"/>
            <w:tcBorders/>
          </w:tcPr>
          <w:p>
            <w:pPr>
              <w:pStyle w:val="Normal"/>
              <w:spacing w:lineRule="atLeast" w:line="0"/>
              <w:rPr>
                <w:rFonts w:ascii="Arial" w:hAnsi="Arial" w:eastAsia="Arial" w:cs="Arial"/>
                <w:sz w:val="13"/>
              </w:rPr>
            </w:pPr>
            <w:r>
              <w:rPr>
                <w:rFonts w:eastAsia="Arial" w:cs="Arial" w:ascii="Arial" w:hAnsi="Arial"/>
                <w:sz w:val="13"/>
              </w:rPr>
              <w:t>%</w:t>
            </w:r>
          </w:p>
        </w:tc>
        <w:tc>
          <w:tcPr>
            <w:tcW w:w="3740" w:type="dxa"/>
            <w:vMerge w:val="restart"/>
            <w:tcBorders/>
          </w:tcPr>
          <w:p>
            <w:pPr>
              <w:pStyle w:val="Normal"/>
              <w:spacing w:lineRule="atLeast" w:line="0"/>
              <w:rPr>
                <w:rFonts w:ascii="Arial" w:hAnsi="Arial" w:eastAsia="Arial" w:cs="Arial"/>
                <w:w w:val="97"/>
                <w:sz w:val="19"/>
              </w:rPr>
            </w:pPr>
            <w:r>
              <w:rPr>
                <w:rFonts w:eastAsia="Arial" w:cs="Arial" w:ascii="Arial" w:hAnsi="Arial"/>
                <w:w w:val="97"/>
                <w:sz w:val="19"/>
              </w:rPr>
              <w:t>existing property financed by a mortgage, the</w:t>
            </w:r>
          </w:p>
        </w:tc>
      </w:tr>
      <w:tr>
        <w:trPr>
          <w:trHeight w:val="186"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w w:val="97"/>
                <w:sz w:val="16"/>
              </w:rPr>
            </w:pPr>
            <w:r>
              <w:rPr>
                <w:rFonts w:eastAsia="Times New Roman" w:cs="Times New Roman" w:ascii="Times New Roman" w:hAnsi="Times New Roman"/>
                <w:w w:val="97"/>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80" w:type="dxa"/>
            <w:gridSpan w:val="3"/>
            <w:vMerge w:val="restart"/>
            <w:tcBorders/>
          </w:tcPr>
          <w:p>
            <w:pPr>
              <w:pStyle w:val="Normal"/>
              <w:spacing w:lineRule="atLeast" w:line="0"/>
              <w:ind w:start="220" w:end="0"/>
              <w:rPr>
                <w:rFonts w:ascii="Arial" w:hAnsi="Arial" w:eastAsia="Arial" w:cs="Arial"/>
                <w:color w:val="DD0C8B"/>
                <w:sz w:val="13"/>
              </w:rPr>
            </w:pPr>
            <w:r>
              <w:rPr>
                <w:rFonts w:eastAsia="Arial" w:cs="Arial" w:ascii="Arial" w:hAnsi="Arial"/>
                <w:color w:val="DD0C8B"/>
                <w:sz w:val="13"/>
              </w:rPr>
              <w:t>Housing turnover rate*</w:t>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color w:val="DD0C8B"/>
                <w:sz w:val="16"/>
              </w:rPr>
            </w:pPr>
            <w:r>
              <w:rPr>
                <w:rFonts w:eastAsia="Times New Roman" w:cs="Times New Roman" w:ascii="Times New Roman" w:hAnsi="Times New Roman"/>
                <w:color w:val="DD0C8B"/>
                <w:sz w:val="16"/>
              </w:rPr>
            </w:r>
          </w:p>
        </w:tc>
        <w:tc>
          <w:tcPr>
            <w:tcW w:w="480" w:type="dxa"/>
            <w:gridSpan w:val="2"/>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4"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80" w:type="dxa"/>
            <w:gridSpan w:val="3"/>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5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40" w:type="dxa"/>
            <w:tcBorders/>
          </w:tcPr>
          <w:p>
            <w:pPr>
              <w:pStyle w:val="Normal"/>
              <w:spacing w:lineRule="atLeast" w:line="0"/>
              <w:rPr>
                <w:rFonts w:ascii="Arial" w:hAnsi="Arial" w:eastAsia="Arial" w:cs="Arial"/>
                <w:w w:val="95"/>
                <w:sz w:val="19"/>
              </w:rPr>
            </w:pPr>
            <w:r>
              <w:rPr>
                <w:rFonts w:eastAsia="Arial" w:cs="Arial" w:ascii="Arial" w:hAnsi="Arial"/>
                <w:w w:val="95"/>
                <w:sz w:val="19"/>
              </w:rPr>
              <w:t>time between the contract date and settlement</w:t>
            </w:r>
          </w:p>
        </w:tc>
      </w:tr>
      <w:tr>
        <w:trPr>
          <w:trHeight w:val="151"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w w:val="95"/>
                <w:sz w:val="13"/>
              </w:rPr>
            </w:pPr>
            <w:r>
              <w:rPr>
                <w:rFonts w:eastAsia="Times New Roman" w:cs="Times New Roman" w:ascii="Times New Roman" w:hAnsi="Times New Roman"/>
                <w:w w:val="95"/>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cPr>
          <w:p>
            <w:pPr>
              <w:pStyle w:val="Normal"/>
              <w:spacing w:lineRule="atLeast" w:line="0"/>
              <w:ind w:end="137"/>
              <w:jc w:val="end"/>
              <w:rPr>
                <w:rFonts w:ascii="Arial" w:hAnsi="Arial" w:eastAsia="Arial" w:cs="Arial"/>
                <w:color w:val="DD0C8B"/>
                <w:w w:val="95"/>
                <w:sz w:val="12"/>
              </w:rPr>
            </w:pPr>
            <w:r>
              <w:rPr>
                <w:rFonts w:eastAsia="Arial" w:cs="Arial" w:ascii="Arial" w:hAnsi="Arial"/>
                <w:color w:val="DD0C8B"/>
                <w:w w:val="95"/>
                <w:sz w:val="12"/>
              </w:rPr>
              <w:t>(RHS)</w:t>
            </w:r>
          </w:p>
        </w:tc>
        <w:tc>
          <w:tcPr>
            <w:tcW w:w="600" w:type="dxa"/>
            <w:tcBorders/>
          </w:tcPr>
          <w:p>
            <w:pPr>
              <w:pStyle w:val="Normal"/>
              <w:snapToGrid w:val="false"/>
              <w:spacing w:lineRule="atLeast" w:line="0"/>
              <w:rPr>
                <w:rFonts w:ascii="Times New Roman" w:hAnsi="Times New Roman" w:eastAsia="Times New Roman" w:cs="Times New Roman"/>
                <w:color w:val="DD0C8B"/>
                <w:w w:val="95"/>
                <w:sz w:val="13"/>
              </w:rPr>
            </w:pPr>
            <w:r>
              <w:rPr>
                <w:rFonts w:eastAsia="Times New Roman" w:cs="Times New Roman" w:ascii="Times New Roman" w:hAnsi="Times New Roman"/>
                <w:color w:val="DD0C8B"/>
                <w:w w:val="95"/>
                <w:sz w:val="13"/>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5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40" w:type="dxa"/>
            <w:vMerge w:val="restart"/>
            <w:tcBorders/>
          </w:tcPr>
          <w:p>
            <w:pPr>
              <w:pStyle w:val="Normal"/>
              <w:spacing w:lineRule="atLeast" w:line="0"/>
              <w:rPr>
                <w:rFonts w:ascii="Arial" w:hAnsi="Arial" w:eastAsia="Arial" w:cs="Arial"/>
                <w:w w:val="88"/>
                <w:sz w:val="19"/>
              </w:rPr>
            </w:pPr>
            <w:r>
              <w:rPr>
                <w:rFonts w:eastAsia="Arial" w:cs="Arial" w:ascii="Arial" w:hAnsi="Arial"/>
                <w:w w:val="88"/>
                <w:sz w:val="19"/>
              </w:rPr>
              <w:t>date is relatively short (around six to eight weeks).</w:t>
            </w:r>
          </w:p>
        </w:tc>
      </w:tr>
      <w:tr>
        <w:trPr>
          <w:trHeight w:val="81" w:hRule="atLeast"/>
        </w:trPr>
        <w:tc>
          <w:tcPr>
            <w:tcW w:w="60" w:type="dxa"/>
            <w:tcBorders>
              <w:start w:val="single" w:sz="8" w:space="0" w:color="000000"/>
              <w:bottom w:val="single" w:sz="8" w:space="0" w:color="808080"/>
            </w:tcBorders>
          </w:tcPr>
          <w:p>
            <w:pPr>
              <w:pStyle w:val="Normal"/>
              <w:snapToGrid w:val="false"/>
              <w:spacing w:lineRule="atLeast" w:line="0"/>
              <w:rPr>
                <w:rFonts w:ascii="Times New Roman" w:hAnsi="Times New Roman" w:eastAsia="Times New Roman" w:cs="Times New Roman"/>
                <w:w w:val="88"/>
                <w:sz w:val="7"/>
              </w:rPr>
            </w:pPr>
            <w:r>
              <w:rPr>
                <w:rFonts w:eastAsia="Times New Roman" w:cs="Times New Roman" w:ascii="Times New Roman" w:hAnsi="Times New Roman"/>
                <w:w w:val="88"/>
                <w:sz w:val="7"/>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80" w:type="dxa"/>
            <w:gridSpan w:val="2"/>
            <w:vMerge w:val="restart"/>
            <w:tcBorders/>
          </w:tcPr>
          <w:p>
            <w:pPr>
              <w:pStyle w:val="Normal"/>
              <w:spacing w:lineRule="atLeast" w:line="0"/>
              <w:rPr>
                <w:rFonts w:ascii="Arial" w:hAnsi="Arial" w:eastAsia="Arial" w:cs="Arial"/>
                <w:sz w:val="13"/>
              </w:rPr>
            </w:pPr>
            <w:r>
              <w:rPr>
                <w:rFonts w:eastAsia="Arial" w:cs="Arial" w:ascii="Arial" w:hAnsi="Arial"/>
                <w:sz w:val="13"/>
              </w:rPr>
              <w:t>8</w:t>
            </w:r>
          </w:p>
        </w:tc>
        <w:tc>
          <w:tcPr>
            <w:tcW w:w="37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74"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0"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5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40" w:type="dxa"/>
            <w:tcBorders/>
          </w:tcPr>
          <w:p>
            <w:pPr>
              <w:pStyle w:val="Normal"/>
              <w:spacing w:lineRule="atLeast" w:line="0"/>
              <w:rPr>
                <w:rFonts w:ascii="Arial" w:hAnsi="Arial" w:eastAsia="Arial" w:cs="Arial"/>
                <w:w w:val="91"/>
                <w:sz w:val="19"/>
              </w:rPr>
            </w:pPr>
            <w:r>
              <w:rPr>
                <w:rFonts w:eastAsia="Arial" w:cs="Arial" w:ascii="Arial" w:hAnsi="Arial"/>
                <w:w w:val="91"/>
                <w:sz w:val="19"/>
              </w:rPr>
              <w:t>As a housing loan approval usually occurs about</w:t>
            </w:r>
          </w:p>
        </w:tc>
      </w:tr>
      <w:tr>
        <w:trPr>
          <w:trHeight w:val="270"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w w:val="91"/>
                <w:sz w:val="23"/>
              </w:rPr>
            </w:pPr>
            <w:r>
              <w:rPr>
                <w:rFonts w:eastAsia="Times New Roman" w:cs="Times New Roman" w:ascii="Times New Roman" w:hAnsi="Times New Roman"/>
                <w:w w:val="91"/>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80" w:type="dxa"/>
            <w:gridSpan w:val="2"/>
            <w:vMerge w:val="restart"/>
            <w:tcBorders/>
          </w:tcPr>
          <w:p>
            <w:pPr>
              <w:pStyle w:val="Normal"/>
              <w:spacing w:lineRule="atLeast" w:line="0"/>
              <w:rPr>
                <w:rFonts w:ascii="Arial" w:hAnsi="Arial" w:eastAsia="Arial" w:cs="Arial"/>
                <w:sz w:val="13"/>
              </w:rPr>
            </w:pPr>
            <w:r>
              <w:rPr>
                <w:rFonts w:eastAsia="Arial" w:cs="Arial" w:ascii="Arial" w:hAnsi="Arial"/>
                <w:sz w:val="13"/>
              </w:rPr>
              <w:t>6</w:t>
            </w:r>
          </w:p>
        </w:tc>
        <w:tc>
          <w:tcPr>
            <w:tcW w:w="3740" w:type="dxa"/>
            <w:tcBorders/>
          </w:tcPr>
          <w:p>
            <w:pPr>
              <w:pStyle w:val="Normal"/>
              <w:spacing w:lineRule="atLeast" w:line="0"/>
              <w:rPr>
                <w:rFonts w:ascii="Arial" w:hAnsi="Arial" w:eastAsia="Arial" w:cs="Arial"/>
                <w:w w:val="94"/>
                <w:sz w:val="19"/>
              </w:rPr>
            </w:pPr>
            <w:r>
              <w:rPr>
                <w:rFonts w:eastAsia="Arial" w:cs="Arial" w:ascii="Arial" w:hAnsi="Arial"/>
                <w:w w:val="94"/>
                <w:sz w:val="19"/>
              </w:rPr>
              <w:t>five to six weeks before settlement, this implies</w:t>
            </w:r>
          </w:p>
        </w:tc>
      </w:tr>
      <w:tr>
        <w:trPr>
          <w:trHeight w:val="32" w:hRule="atLeast"/>
        </w:trPr>
        <w:tc>
          <w:tcPr>
            <w:tcW w:w="60" w:type="dxa"/>
            <w:tcBorders>
              <w:start w:val="single" w:sz="8" w:space="0" w:color="000000"/>
              <w:bottom w:val="single" w:sz="8" w:space="0" w:color="808080"/>
            </w:tcBorders>
          </w:tcPr>
          <w:p>
            <w:pPr>
              <w:pStyle w:val="Normal"/>
              <w:snapToGrid w:val="false"/>
              <w:spacing w:lineRule="atLeast" w:line="0"/>
              <w:rPr>
                <w:rFonts w:ascii="Times New Roman" w:hAnsi="Times New Roman" w:eastAsia="Times New Roman" w:cs="Times New Roman"/>
                <w:w w:val="94"/>
                <w:sz w:val="2"/>
              </w:rPr>
            </w:pPr>
            <w:r>
              <w:rPr>
                <w:rFonts w:eastAsia="Times New Roman" w:cs="Times New Roman" w:ascii="Times New Roman" w:hAnsi="Times New Roman"/>
                <w:w w:val="94"/>
                <w:sz w:val="2"/>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40" w:type="dxa"/>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4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40" w:type="dxa"/>
            <w:vMerge w:val="restart"/>
            <w:tcBorders/>
          </w:tcPr>
          <w:p>
            <w:pPr>
              <w:pStyle w:val="Normal"/>
              <w:spacing w:lineRule="atLeast" w:line="0"/>
              <w:rPr>
                <w:rFonts w:ascii="Arial" w:hAnsi="Arial" w:eastAsia="Arial" w:cs="Arial"/>
                <w:w w:val="93"/>
                <w:sz w:val="19"/>
              </w:rPr>
            </w:pPr>
            <w:r>
              <w:rPr>
                <w:rFonts w:eastAsia="Arial" w:cs="Arial" w:ascii="Arial" w:hAnsi="Arial"/>
                <w:w w:val="93"/>
                <w:sz w:val="19"/>
              </w:rPr>
              <w:t>a short lag between housing turnover (recorded</w:t>
            </w:r>
          </w:p>
        </w:tc>
      </w:tr>
      <w:tr>
        <w:trPr>
          <w:trHeight w:val="74"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w w:val="93"/>
                <w:sz w:val="6"/>
              </w:rPr>
            </w:pPr>
            <w:r>
              <w:rPr>
                <w:rFonts w:eastAsia="Times New Roman" w:cs="Times New Roman" w:ascii="Times New Roman" w:hAnsi="Times New Roman"/>
                <w:w w:val="93"/>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44"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5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70"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5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40" w:type="dxa"/>
            <w:tcBorders/>
          </w:tcPr>
          <w:p>
            <w:pPr>
              <w:pStyle w:val="Normal"/>
              <w:spacing w:lineRule="atLeast" w:line="0"/>
              <w:rPr>
                <w:rFonts w:ascii="Arial" w:hAnsi="Arial" w:eastAsia="Arial" w:cs="Arial"/>
                <w:w w:val="96"/>
                <w:sz w:val="19"/>
              </w:rPr>
            </w:pPr>
            <w:r>
              <w:rPr>
                <w:rFonts w:eastAsia="Arial" w:cs="Arial" w:ascii="Arial" w:hAnsi="Arial"/>
                <w:w w:val="96"/>
                <w:sz w:val="19"/>
              </w:rPr>
              <w:t>at the contract date) and loan approval. Credit</w:t>
            </w:r>
          </w:p>
        </w:tc>
      </w:tr>
      <w:tr>
        <w:trPr>
          <w:trHeight w:val="149" w:hRule="atLeast"/>
        </w:trPr>
        <w:tc>
          <w:tcPr>
            <w:tcW w:w="60" w:type="dxa"/>
            <w:tcBorders>
              <w:start w:val="single" w:sz="8" w:space="0" w:color="000000"/>
              <w:bottom w:val="single" w:sz="8" w:space="0" w:color="808080"/>
            </w:tcBorders>
          </w:tcPr>
          <w:p>
            <w:pPr>
              <w:pStyle w:val="Normal"/>
              <w:snapToGrid w:val="false"/>
              <w:spacing w:lineRule="atLeast" w:line="0"/>
              <w:rPr>
                <w:rFonts w:ascii="Times New Roman" w:hAnsi="Times New Roman" w:eastAsia="Times New Roman" w:cs="Times New Roman"/>
                <w:w w:val="96"/>
                <w:sz w:val="12"/>
              </w:rPr>
            </w:pPr>
            <w:r>
              <w:rPr>
                <w:rFonts w:eastAsia="Times New Roman" w:cs="Times New Roman" w:ascii="Times New Roman" w:hAnsi="Times New Roman"/>
                <w:w w:val="96"/>
                <w:sz w:val="12"/>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gridSpan w:val="2"/>
            <w:vMerge w:val="restart"/>
            <w:tcBorders/>
          </w:tcPr>
          <w:p>
            <w:pPr>
              <w:pStyle w:val="Normal"/>
              <w:spacing w:lineRule="atLeast" w:line="0"/>
              <w:rPr>
                <w:rFonts w:ascii="Arial" w:hAnsi="Arial" w:eastAsia="Arial" w:cs="Arial"/>
                <w:sz w:val="13"/>
              </w:rPr>
            </w:pPr>
            <w:r>
              <w:rPr>
                <w:rFonts w:eastAsia="Arial" w:cs="Arial" w:ascii="Arial" w:hAnsi="Arial"/>
                <w:sz w:val="13"/>
              </w:rPr>
              <w:t>4</w:t>
            </w:r>
          </w:p>
        </w:tc>
        <w:tc>
          <w:tcPr>
            <w:tcW w:w="3740" w:type="dxa"/>
            <w:vMerge w:val="restart"/>
            <w:tcBorders/>
          </w:tcPr>
          <w:p>
            <w:pPr>
              <w:pStyle w:val="Normal"/>
              <w:spacing w:lineRule="atLeast" w:line="0"/>
              <w:rPr>
                <w:rFonts w:ascii="Arial" w:hAnsi="Arial" w:eastAsia="Arial" w:cs="Arial"/>
                <w:sz w:val="19"/>
              </w:rPr>
            </w:pPr>
            <w:r>
              <w:rPr>
                <w:rFonts w:eastAsia="Arial" w:cs="Arial" w:ascii="Arial" w:hAnsi="Arial"/>
                <w:sz w:val="19"/>
              </w:rPr>
              <w:t>is then drawn down at settlement of the</w:t>
            </w:r>
          </w:p>
        </w:tc>
      </w:tr>
      <w:tr>
        <w:trPr>
          <w:trHeight w:val="101"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20" w:type="dxa"/>
            <w:gridSpan w:val="4"/>
            <w:vMerge w:val="restart"/>
            <w:tcBorders/>
          </w:tcPr>
          <w:p>
            <w:pPr>
              <w:pStyle w:val="Normal"/>
              <w:spacing w:lineRule="atLeast" w:line="0"/>
              <w:ind w:start="80" w:end="0"/>
              <w:rPr/>
            </w:pPr>
            <w:r>
              <w:rPr>
                <w:rFonts w:eastAsia="Arial" w:cs="Arial" w:ascii="Arial" w:hAnsi="Arial"/>
                <w:color w:val="8A5DAF"/>
                <w:sz w:val="13"/>
              </w:rPr>
              <w:t>Retail sales – household goods**</w:t>
            </w:r>
          </w:p>
        </w:tc>
        <w:tc>
          <w:tcPr>
            <w:tcW w:w="600" w:type="dxa"/>
            <w:tcBorders/>
          </w:tcPr>
          <w:p>
            <w:pPr>
              <w:pStyle w:val="Normal"/>
              <w:snapToGrid w:val="false"/>
              <w:spacing w:lineRule="atLeast" w:line="0"/>
              <w:rPr>
                <w:rFonts w:ascii="Times New Roman" w:hAnsi="Times New Roman" w:eastAsia="Times New Roman" w:cs="Times New Roman"/>
                <w:color w:val="8A5DAF"/>
                <w:sz w:val="8"/>
              </w:rPr>
            </w:pPr>
            <w:r>
              <w:rPr>
                <w:rFonts w:eastAsia="Times New Roman" w:cs="Times New Roman" w:ascii="Times New Roman" w:hAnsi="Times New Roman"/>
                <w:color w:val="8A5DAF"/>
                <w:sz w:val="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6"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2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5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40" w:type="dxa"/>
            <w:vMerge w:val="restart"/>
            <w:tcBorders/>
          </w:tcPr>
          <w:p>
            <w:pPr>
              <w:pStyle w:val="Normal"/>
              <w:spacing w:lineRule="atLeast" w:line="0"/>
              <w:rPr>
                <w:rFonts w:ascii="Arial" w:hAnsi="Arial" w:eastAsia="Arial" w:cs="Arial"/>
                <w:w w:val="98"/>
                <w:sz w:val="19"/>
              </w:rPr>
            </w:pPr>
            <w:r>
              <w:rPr>
                <w:rFonts w:eastAsia="Arial" w:cs="Arial" w:ascii="Arial" w:hAnsi="Arial"/>
                <w:w w:val="98"/>
                <w:sz w:val="19"/>
              </w:rPr>
              <w:t>transaction. As discussed above, off-the-plan</w:t>
            </w:r>
          </w:p>
        </w:tc>
      </w:tr>
      <w:tr>
        <w:trPr>
          <w:trHeight w:val="174" w:hRule="atLeast"/>
        </w:trPr>
        <w:tc>
          <w:tcPr>
            <w:tcW w:w="60" w:type="dxa"/>
            <w:tcBorders>
              <w:start w:val="single" w:sz="8" w:space="0" w:color="000000"/>
            </w:tcBorders>
          </w:tcPr>
          <w:p>
            <w:pPr>
              <w:pStyle w:val="Normal"/>
              <w:snapToGrid w:val="false"/>
              <w:spacing w:lineRule="atLeast" w:line="0"/>
              <w:rPr>
                <w:rFonts w:ascii="Times New Roman" w:hAnsi="Times New Roman" w:eastAsia="Times New Roman" w:cs="Times New Roman"/>
                <w:w w:val="98"/>
                <w:sz w:val="15"/>
              </w:rPr>
            </w:pPr>
            <w:r>
              <w:rPr>
                <w:rFonts w:eastAsia="Times New Roman" w:cs="Times New Roman" w:ascii="Times New Roman" w:hAnsi="Times New Roman"/>
                <w:w w:val="98"/>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0" w:type="dxa"/>
            <w:gridSpan w:val="2"/>
            <w:tcBorders/>
          </w:tcPr>
          <w:p>
            <w:pPr>
              <w:pStyle w:val="Normal"/>
              <w:spacing w:lineRule="atLeast" w:line="0"/>
              <w:ind w:start="540" w:end="0"/>
              <w:rPr>
                <w:rFonts w:ascii="Arial" w:hAnsi="Arial" w:eastAsia="Arial" w:cs="Arial"/>
                <w:color w:val="8A5DAF"/>
                <w:sz w:val="12"/>
              </w:rPr>
            </w:pPr>
            <w:r>
              <w:rPr>
                <w:rFonts w:eastAsia="Arial" w:cs="Arial" w:ascii="Arial" w:hAnsi="Arial"/>
                <w:color w:val="8A5DAF"/>
                <w:sz w:val="12"/>
              </w:rPr>
              <w:t>(LHS)</w:t>
            </w:r>
          </w:p>
        </w:tc>
        <w:tc>
          <w:tcPr>
            <w:tcW w:w="540" w:type="dxa"/>
            <w:tcBorders/>
          </w:tcPr>
          <w:p>
            <w:pPr>
              <w:pStyle w:val="Normal"/>
              <w:snapToGrid w:val="false"/>
              <w:spacing w:lineRule="atLeast" w:line="0"/>
              <w:rPr>
                <w:rFonts w:ascii="Times New Roman" w:hAnsi="Times New Roman" w:eastAsia="Times New Roman" w:cs="Times New Roman"/>
                <w:color w:val="8A5DAF"/>
                <w:sz w:val="15"/>
              </w:rPr>
            </w:pPr>
            <w:r>
              <w:rPr>
                <w:rFonts w:eastAsia="Times New Roman" w:cs="Times New Roman" w:ascii="Times New Roman" w:hAnsi="Times New Roman"/>
                <w:color w:val="8A5DAF"/>
                <w:sz w:val="15"/>
              </w:rPr>
            </w:r>
          </w:p>
        </w:tc>
        <w:tc>
          <w:tcPr>
            <w:tcW w:w="6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5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7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85" w:hRule="atLeast"/>
        </w:trPr>
        <w:tc>
          <w:tcPr>
            <w:tcW w:w="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vMerge w:val="restart"/>
            <w:tcBorders/>
          </w:tcPr>
          <w:p>
            <w:pPr>
              <w:pStyle w:val="Normal"/>
              <w:spacing w:lineRule="atLeast" w:line="0"/>
              <w:rPr>
                <w:rFonts w:ascii="Arial" w:hAnsi="Arial" w:eastAsia="Arial" w:cs="Arial"/>
                <w:sz w:val="13"/>
              </w:rPr>
            </w:pPr>
            <w:r>
              <w:rPr>
                <w:rFonts w:eastAsia="Arial" w:cs="Arial" w:ascii="Arial" w:hAnsi="Arial"/>
                <w:sz w:val="13"/>
              </w:rPr>
              <w:t>2</w:t>
            </w:r>
          </w:p>
        </w:tc>
        <w:tc>
          <w:tcPr>
            <w:tcW w:w="3740" w:type="dxa"/>
            <w:tcBorders/>
          </w:tcPr>
          <w:p>
            <w:pPr>
              <w:pStyle w:val="Normal"/>
              <w:spacing w:lineRule="atLeast" w:line="0"/>
              <w:rPr>
                <w:rFonts w:ascii="Arial" w:hAnsi="Arial" w:eastAsia="Arial" w:cs="Arial"/>
                <w:w w:val="99"/>
                <w:sz w:val="19"/>
              </w:rPr>
            </w:pPr>
            <w:r>
              <w:rPr>
                <w:rFonts w:eastAsia="Arial" w:cs="Arial" w:ascii="Arial" w:hAnsi="Arial"/>
                <w:w w:val="99"/>
                <w:sz w:val="19"/>
              </w:rPr>
              <w:t>apartments are commonly purchased before</w:t>
            </w:r>
          </w:p>
        </w:tc>
      </w:tr>
      <w:tr>
        <w:trPr>
          <w:trHeight w:val="235" w:hRule="atLeast"/>
        </w:trPr>
        <w:tc>
          <w:tcPr>
            <w:tcW w:w="60" w:type="dxa"/>
            <w:vMerge w:val="restart"/>
            <w:tcBorders/>
          </w:tcPr>
          <w:p>
            <w:pPr>
              <w:pStyle w:val="Normal"/>
              <w:spacing w:lineRule="atLeast" w:line="0"/>
              <w:rPr>
                <w:rFonts w:ascii="Arial" w:hAnsi="Arial" w:eastAsia="Arial" w:cs="Arial"/>
                <w:w w:val="92"/>
                <w:sz w:val="11"/>
              </w:rPr>
            </w:pPr>
            <w:r>
              <w:rPr>
                <w:rFonts w:eastAsia="Arial" w:cs="Arial" w:ascii="Arial" w:hAnsi="Arial"/>
                <w:w w:val="92"/>
                <w:sz w:val="11"/>
              </w:rPr>
              <w:t>*</w:t>
            </w:r>
          </w:p>
        </w:tc>
        <w:tc>
          <w:tcPr>
            <w:tcW w:w="380" w:type="dxa"/>
            <w:gridSpan w:val="2"/>
            <w:tcBorders/>
          </w:tcPr>
          <w:p>
            <w:pPr>
              <w:pStyle w:val="Normal"/>
              <w:spacing w:lineRule="atLeast" w:line="0"/>
              <w:ind w:end="25"/>
              <w:jc w:val="end"/>
              <w:rPr>
                <w:rFonts w:ascii="Arial" w:hAnsi="Arial" w:eastAsia="Arial" w:cs="Arial"/>
                <w:w w:val="96"/>
                <w:sz w:val="13"/>
              </w:rPr>
            </w:pPr>
            <w:r>
              <w:rPr>
                <w:rFonts w:eastAsia="Arial" w:cs="Arial" w:ascii="Arial" w:hAnsi="Arial"/>
                <w:w w:val="96"/>
                <w:sz w:val="13"/>
              </w:rPr>
              <w:t>1991</w:t>
            </w:r>
          </w:p>
        </w:tc>
        <w:tc>
          <w:tcPr>
            <w:tcW w:w="660" w:type="dxa"/>
            <w:tcBorders/>
          </w:tcPr>
          <w:p>
            <w:pPr>
              <w:pStyle w:val="Normal"/>
              <w:spacing w:lineRule="atLeast" w:line="0"/>
              <w:ind w:end="56"/>
              <w:jc w:val="end"/>
              <w:rPr>
                <w:rFonts w:ascii="Arial" w:hAnsi="Arial" w:eastAsia="Arial" w:cs="Arial"/>
                <w:sz w:val="13"/>
              </w:rPr>
            </w:pPr>
            <w:r>
              <w:rPr>
                <w:rFonts w:eastAsia="Arial" w:cs="Arial" w:ascii="Arial" w:hAnsi="Arial"/>
                <w:sz w:val="13"/>
              </w:rPr>
              <w:t>1996</w:t>
            </w:r>
          </w:p>
        </w:tc>
        <w:tc>
          <w:tcPr>
            <w:tcW w:w="740" w:type="dxa"/>
            <w:tcBorders/>
          </w:tcPr>
          <w:p>
            <w:pPr>
              <w:pStyle w:val="Normal"/>
              <w:spacing w:lineRule="atLeast" w:line="0"/>
              <w:ind w:start="240" w:end="0"/>
              <w:rPr>
                <w:rFonts w:ascii="Arial" w:hAnsi="Arial" w:eastAsia="Arial" w:cs="Arial"/>
                <w:sz w:val="13"/>
              </w:rPr>
            </w:pPr>
            <w:r>
              <w:rPr>
                <w:rFonts w:eastAsia="Arial" w:cs="Arial" w:ascii="Arial" w:hAnsi="Arial"/>
                <w:sz w:val="13"/>
              </w:rPr>
              <w:t>2001</w:t>
            </w:r>
          </w:p>
        </w:tc>
        <w:tc>
          <w:tcPr>
            <w:tcW w:w="540" w:type="dxa"/>
            <w:tcBorders/>
          </w:tcPr>
          <w:p>
            <w:pPr>
              <w:pStyle w:val="Normal"/>
              <w:spacing w:lineRule="atLeast" w:line="0"/>
              <w:ind w:end="57"/>
              <w:jc w:val="end"/>
              <w:rPr>
                <w:rFonts w:ascii="Arial" w:hAnsi="Arial" w:eastAsia="Arial" w:cs="Arial"/>
                <w:sz w:val="13"/>
              </w:rPr>
            </w:pPr>
            <w:r>
              <w:rPr>
                <w:rFonts w:eastAsia="Arial" w:cs="Arial" w:ascii="Arial" w:hAnsi="Arial"/>
                <w:sz w:val="13"/>
              </w:rPr>
              <w:t>2006</w:t>
            </w:r>
          </w:p>
        </w:tc>
        <w:tc>
          <w:tcPr>
            <w:tcW w:w="600" w:type="dxa"/>
            <w:tcBorders/>
          </w:tcPr>
          <w:p>
            <w:pPr>
              <w:pStyle w:val="Normal"/>
              <w:spacing w:lineRule="atLeast" w:line="0"/>
              <w:ind w:end="16"/>
              <w:jc w:val="end"/>
              <w:rPr>
                <w:rFonts w:ascii="Arial" w:hAnsi="Arial" w:eastAsia="Arial" w:cs="Arial"/>
                <w:sz w:val="13"/>
              </w:rPr>
            </w:pPr>
            <w:r>
              <w:rPr>
                <w:rFonts w:eastAsia="Arial" w:cs="Arial" w:ascii="Arial" w:hAnsi="Arial"/>
                <w:sz w:val="13"/>
              </w:rPr>
              <w:t>2011</w:t>
            </w:r>
          </w:p>
        </w:tc>
        <w:tc>
          <w:tcPr>
            <w:tcW w:w="640" w:type="dxa"/>
            <w:tcBorders/>
          </w:tcPr>
          <w:p>
            <w:pPr>
              <w:pStyle w:val="Normal"/>
              <w:spacing w:lineRule="atLeast" w:line="0"/>
              <w:ind w:end="14"/>
              <w:jc w:val="end"/>
              <w:rPr>
                <w:rFonts w:ascii="Arial" w:hAnsi="Arial" w:eastAsia="Arial" w:cs="Arial"/>
                <w:sz w:val="13"/>
              </w:rPr>
            </w:pPr>
            <w:r>
              <w:rPr>
                <w:rFonts w:eastAsia="Arial" w:cs="Arial" w:ascii="Arial" w:hAnsi="Arial"/>
                <w:sz w:val="13"/>
              </w:rPr>
              <w:t>2016</w:t>
            </w:r>
          </w:p>
        </w:tc>
        <w:tc>
          <w:tcPr>
            <w:tcW w:w="48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40" w:type="dxa"/>
            <w:tcBorders/>
          </w:tcPr>
          <w:p>
            <w:pPr>
              <w:pStyle w:val="Normal"/>
              <w:spacing w:lineRule="atLeast" w:line="0"/>
              <w:rPr>
                <w:rFonts w:ascii="Arial" w:hAnsi="Arial" w:eastAsia="Arial" w:cs="Arial"/>
                <w:w w:val="95"/>
                <w:sz w:val="19"/>
              </w:rPr>
            </w:pPr>
            <w:r>
              <w:rPr>
                <w:rFonts w:eastAsia="Arial" w:cs="Arial" w:ascii="Arial" w:hAnsi="Arial"/>
                <w:w w:val="95"/>
                <w:sz w:val="19"/>
              </w:rPr>
              <w:t>construction meaning that the lag between the</w:t>
            </w:r>
          </w:p>
        </w:tc>
      </w:tr>
      <w:tr>
        <w:trPr>
          <w:trHeight w:val="108" w:hRule="atLeast"/>
        </w:trPr>
        <w:tc>
          <w:tcPr>
            <w:tcW w:w="60" w:type="dxa"/>
            <w:vMerge w:val="continue"/>
            <w:tcBorders/>
          </w:tcPr>
          <w:p>
            <w:pPr>
              <w:pStyle w:val="Normal"/>
              <w:snapToGrid w:val="false"/>
              <w:spacing w:lineRule="atLeast" w:line="0"/>
              <w:rPr>
                <w:rFonts w:ascii="Times New Roman" w:hAnsi="Times New Roman" w:eastAsia="Times New Roman" w:cs="Times New Roman"/>
                <w:w w:val="95"/>
                <w:sz w:val="9"/>
              </w:rPr>
            </w:pPr>
            <w:r>
              <w:rPr>
                <w:rFonts w:eastAsia="Times New Roman" w:cs="Times New Roman" w:ascii="Times New Roman" w:hAnsi="Times New Roman"/>
                <w:w w:val="95"/>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80" w:type="dxa"/>
            <w:gridSpan w:val="3"/>
            <w:tcBorders/>
          </w:tcPr>
          <w:p>
            <w:pPr>
              <w:pStyle w:val="Normal"/>
              <w:spacing w:lineRule="exact" w:line="109"/>
              <w:ind w:start="60" w:end="0"/>
              <w:rPr>
                <w:rFonts w:ascii="Arial" w:hAnsi="Arial" w:eastAsia="Arial" w:cs="Arial"/>
                <w:w w:val="95"/>
                <w:sz w:val="11"/>
              </w:rPr>
            </w:pPr>
            <w:r>
              <w:rPr>
                <w:rFonts w:eastAsia="Arial" w:cs="Arial" w:ascii="Arial" w:hAnsi="Arial"/>
                <w:w w:val="95"/>
                <w:sz w:val="11"/>
              </w:rPr>
              <w:t>Annualised share of housing stock</w:t>
            </w:r>
          </w:p>
        </w:tc>
        <w:tc>
          <w:tcPr>
            <w:tcW w:w="540" w:type="dxa"/>
            <w:tcBorders/>
          </w:tcPr>
          <w:p>
            <w:pPr>
              <w:pStyle w:val="Normal"/>
              <w:snapToGrid w:val="false"/>
              <w:spacing w:lineRule="atLeast" w:line="0"/>
              <w:rPr>
                <w:rFonts w:ascii="Times New Roman" w:hAnsi="Times New Roman" w:eastAsia="Times New Roman" w:cs="Times New Roman"/>
                <w:w w:val="95"/>
                <w:sz w:val="9"/>
              </w:rPr>
            </w:pPr>
            <w:r>
              <w:rPr>
                <w:rFonts w:eastAsia="Times New Roman" w:cs="Times New Roman" w:ascii="Times New Roman" w:hAnsi="Times New Roman"/>
                <w:w w:val="95"/>
                <w:sz w:val="9"/>
              </w:rPr>
            </w:r>
          </w:p>
        </w:tc>
        <w:tc>
          <w:tcPr>
            <w:tcW w:w="6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5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40" w:type="dxa"/>
            <w:vMerge w:val="restart"/>
            <w:tcBorders/>
          </w:tcPr>
          <w:p>
            <w:pPr>
              <w:pStyle w:val="Normal"/>
              <w:spacing w:lineRule="atLeast" w:line="0"/>
              <w:rPr>
                <w:rFonts w:ascii="Arial" w:hAnsi="Arial" w:eastAsia="Arial" w:cs="Arial"/>
                <w:w w:val="91"/>
                <w:sz w:val="19"/>
              </w:rPr>
            </w:pPr>
            <w:r>
              <w:rPr>
                <w:rFonts w:eastAsia="Arial" w:cs="Arial" w:ascii="Arial" w:hAnsi="Arial"/>
                <w:w w:val="91"/>
                <w:sz w:val="19"/>
              </w:rPr>
              <w:t>contract date and settlement date can be around</w:t>
            </w:r>
          </w:p>
        </w:tc>
      </w:tr>
      <w:tr>
        <w:trPr>
          <w:trHeight w:val="205" w:hRule="atLeast"/>
        </w:trPr>
        <w:tc>
          <w:tcPr>
            <w:tcW w:w="160" w:type="dxa"/>
            <w:gridSpan w:val="2"/>
            <w:tcBorders/>
          </w:tcPr>
          <w:p>
            <w:pPr>
              <w:pStyle w:val="Normal"/>
              <w:spacing w:lineRule="atLeast" w:line="0"/>
              <w:rPr>
                <w:rFonts w:ascii="Arial" w:hAnsi="Arial" w:eastAsia="Arial" w:cs="Arial"/>
                <w:sz w:val="11"/>
              </w:rPr>
            </w:pPr>
            <w:r>
              <w:rPr>
                <w:rFonts w:eastAsia="Arial" w:cs="Arial" w:ascii="Arial" w:hAnsi="Arial"/>
                <w:sz w:val="11"/>
              </w:rPr>
              <w:t>**</w:t>
            </w:r>
          </w:p>
        </w:tc>
        <w:tc>
          <w:tcPr>
            <w:tcW w:w="2220" w:type="dxa"/>
            <w:gridSpan w:val="4"/>
            <w:tcBorders/>
          </w:tcPr>
          <w:p>
            <w:pPr>
              <w:pStyle w:val="Normal"/>
              <w:spacing w:lineRule="atLeast" w:line="0"/>
              <w:ind w:start="60" w:end="0"/>
              <w:rPr>
                <w:rFonts w:ascii="Arial" w:hAnsi="Arial" w:eastAsia="Arial" w:cs="Arial"/>
                <w:sz w:val="11"/>
              </w:rPr>
            </w:pPr>
            <w:r>
              <w:rPr>
                <w:rFonts w:eastAsia="Arial" w:cs="Arial" w:ascii="Arial" w:hAnsi="Arial"/>
                <w:sz w:val="11"/>
              </w:rPr>
              <w:t>Chain volume measure; year-ended growth</w:t>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5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0" w:hRule="atLeast"/>
        </w:trPr>
        <w:tc>
          <w:tcPr>
            <w:tcW w:w="1840" w:type="dxa"/>
            <w:gridSpan w:val="5"/>
            <w:tcBorders/>
          </w:tcPr>
          <w:p>
            <w:pPr>
              <w:pStyle w:val="Normal"/>
              <w:spacing w:lineRule="atLeast" w:line="0"/>
              <w:rPr>
                <w:rFonts w:ascii="Arial" w:hAnsi="Arial" w:eastAsia="Arial" w:cs="Arial"/>
                <w:sz w:val="11"/>
              </w:rPr>
            </w:pPr>
            <w:r>
              <w:rPr>
                <w:rFonts w:eastAsia="Arial" w:cs="Arial" w:ascii="Arial" w:hAnsi="Arial"/>
                <w:sz w:val="11"/>
              </w:rPr>
              <w:t>Sources: ABS; CoreLogic; RBA</w:t>
            </w:r>
          </w:p>
        </w:tc>
        <w:tc>
          <w:tcPr>
            <w:tcW w:w="5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5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40" w:type="dxa"/>
            <w:vMerge w:val="restart"/>
            <w:tcBorders/>
          </w:tcPr>
          <w:p>
            <w:pPr>
              <w:pStyle w:val="Normal"/>
              <w:spacing w:lineRule="atLeast" w:line="0"/>
              <w:rPr>
                <w:rFonts w:ascii="Arial" w:hAnsi="Arial" w:eastAsia="Arial" w:cs="Arial"/>
                <w:w w:val="96"/>
                <w:sz w:val="19"/>
              </w:rPr>
            </w:pPr>
            <w:r>
              <w:rPr>
                <w:rFonts w:eastAsia="Arial" w:cs="Arial" w:ascii="Arial" w:hAnsi="Arial"/>
                <w:w w:val="96"/>
                <w:sz w:val="19"/>
              </w:rPr>
              <w:t>two or three years. As such, the loan approval</w:t>
            </w:r>
          </w:p>
        </w:tc>
      </w:tr>
      <w:tr>
        <w:trPr>
          <w:trHeight w:val="86" w:hRule="atLeast"/>
        </w:trPr>
        <w:tc>
          <w:tcPr>
            <w:tcW w:w="60" w:type="dxa"/>
            <w:tcBorders/>
          </w:tcPr>
          <w:p>
            <w:pPr>
              <w:pStyle w:val="Normal"/>
              <w:snapToGrid w:val="false"/>
              <w:spacing w:lineRule="atLeast" w:line="0"/>
              <w:rPr>
                <w:rFonts w:ascii="Times New Roman" w:hAnsi="Times New Roman" w:eastAsia="Times New Roman" w:cs="Times New Roman"/>
                <w:w w:val="96"/>
                <w:sz w:val="7"/>
              </w:rPr>
            </w:pPr>
            <w:r>
              <w:rPr>
                <w:rFonts w:eastAsia="Times New Roman" w:cs="Times New Roman" w:ascii="Times New Roman" w:hAnsi="Times New Roman"/>
                <w:w w:val="96"/>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57"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7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70" w:hRule="atLeast"/>
        </w:trPr>
        <w:tc>
          <w:tcPr>
            <w:tcW w:w="4100" w:type="dxa"/>
            <w:gridSpan w:val="10"/>
            <w:vMerge w:val="restart"/>
            <w:tcBorders/>
          </w:tcPr>
          <w:p>
            <w:pPr>
              <w:pStyle w:val="Normal"/>
              <w:spacing w:lineRule="atLeast" w:line="0"/>
              <w:ind w:start="20" w:end="0"/>
              <w:rPr>
                <w:rFonts w:ascii="Arial" w:hAnsi="Arial" w:eastAsia="Arial" w:cs="Arial"/>
                <w:w w:val="98"/>
                <w:sz w:val="19"/>
              </w:rPr>
            </w:pPr>
            <w:r>
              <w:rPr>
                <w:rFonts w:eastAsia="Arial" w:cs="Arial" w:ascii="Arial" w:hAnsi="Arial"/>
                <w:w w:val="98"/>
                <w:sz w:val="19"/>
              </w:rPr>
              <w:t>affect household spending, as new owners might</w:t>
            </w:r>
          </w:p>
        </w:tc>
        <w:tc>
          <w:tcPr>
            <w:tcW w:w="3740" w:type="dxa"/>
            <w:tcBorders/>
          </w:tcPr>
          <w:p>
            <w:pPr>
              <w:pStyle w:val="Normal"/>
              <w:spacing w:lineRule="atLeast" w:line="0"/>
              <w:rPr>
                <w:rFonts w:ascii="Arial" w:hAnsi="Arial" w:eastAsia="Arial" w:cs="Arial"/>
                <w:sz w:val="19"/>
              </w:rPr>
            </w:pPr>
            <w:r>
              <w:rPr>
                <w:rFonts w:eastAsia="Arial" w:cs="Arial" w:ascii="Arial" w:hAnsi="Arial"/>
                <w:sz w:val="19"/>
              </w:rPr>
              <w:t>and drawdown of credit does not occur until</w:t>
            </w:r>
          </w:p>
        </w:tc>
      </w:tr>
      <w:tr>
        <w:trPr>
          <w:trHeight w:val="109" w:hRule="atLeast"/>
        </w:trPr>
        <w:tc>
          <w:tcPr>
            <w:tcW w:w="4100" w:type="dxa"/>
            <w:gridSpan w:val="10"/>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40" w:type="dxa"/>
            <w:vMerge w:val="restart"/>
            <w:tcBorders/>
          </w:tcPr>
          <w:p>
            <w:pPr>
              <w:pStyle w:val="Normal"/>
              <w:spacing w:lineRule="atLeast" w:line="0"/>
              <w:rPr/>
            </w:pPr>
            <w:r>
              <w:rPr>
                <w:rFonts w:eastAsia="Arial" w:cs="Arial" w:ascii="Arial" w:hAnsi="Arial"/>
                <w:w w:val="88"/>
                <w:sz w:val="19"/>
              </w:rPr>
              <w:t>well after the initial contract is agreed (see ‘Box A:</w:t>
            </w:r>
          </w:p>
        </w:tc>
      </w:tr>
      <w:tr>
        <w:trPr>
          <w:trHeight w:val="161" w:hRule="atLeast"/>
        </w:trPr>
        <w:tc>
          <w:tcPr>
            <w:tcW w:w="4100" w:type="dxa"/>
            <w:gridSpan w:val="10"/>
            <w:vMerge w:val="restart"/>
            <w:tcBorders/>
          </w:tcPr>
          <w:p>
            <w:pPr>
              <w:pStyle w:val="Normal"/>
              <w:spacing w:lineRule="atLeast" w:line="0"/>
              <w:ind w:start="20" w:end="0"/>
              <w:rPr>
                <w:rFonts w:ascii="Arial" w:hAnsi="Arial" w:eastAsia="Arial" w:cs="Arial"/>
                <w:sz w:val="19"/>
              </w:rPr>
            </w:pPr>
            <w:r>
              <w:rPr>
                <w:rFonts w:eastAsia="Arial" w:cs="Arial" w:ascii="Arial" w:hAnsi="Arial"/>
                <w:sz w:val="19"/>
              </w:rPr>
              <w:t>choose to modify homes to suit their needs or</w:t>
            </w:r>
          </w:p>
        </w:tc>
        <w:tc>
          <w:tcPr>
            <w:tcW w:w="37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09" w:hRule="atLeast"/>
        </w:trPr>
        <w:tc>
          <w:tcPr>
            <w:tcW w:w="4100" w:type="dxa"/>
            <w:gridSpan w:val="10"/>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40" w:type="dxa"/>
            <w:vMerge w:val="restart"/>
            <w:tcBorders/>
          </w:tcPr>
          <w:p>
            <w:pPr>
              <w:pStyle w:val="Normal"/>
              <w:spacing w:lineRule="atLeast" w:line="0"/>
              <w:rPr/>
            </w:pPr>
            <w:r>
              <w:rPr>
                <w:rFonts w:eastAsia="Arial" w:cs="Arial" w:ascii="Arial" w:hAnsi="Arial"/>
                <w:w w:val="92"/>
                <w:sz w:val="19"/>
              </w:rPr>
              <w:t>Housing Market Turnover and Housing Finance’</w:t>
            </w:r>
          </w:p>
        </w:tc>
      </w:tr>
      <w:tr>
        <w:trPr>
          <w:trHeight w:val="161" w:hRule="atLeast"/>
        </w:trPr>
        <w:tc>
          <w:tcPr>
            <w:tcW w:w="4100" w:type="dxa"/>
            <w:gridSpan w:val="10"/>
            <w:vMerge w:val="restart"/>
            <w:tcBorders/>
          </w:tcPr>
          <w:p>
            <w:pPr>
              <w:pStyle w:val="Normal"/>
              <w:spacing w:lineRule="atLeast" w:line="0"/>
              <w:ind w:start="20" w:end="0"/>
              <w:rPr>
                <w:rFonts w:ascii="Arial" w:hAnsi="Arial" w:eastAsia="Arial" w:cs="Arial"/>
                <w:sz w:val="19"/>
              </w:rPr>
            </w:pPr>
            <w:r>
              <w:rPr>
                <w:rFonts w:eastAsia="Arial" w:cs="Arial" w:ascii="Arial" w:hAnsi="Arial"/>
                <w:sz w:val="19"/>
              </w:rPr>
              <w:t>existing owners might renovate to add value to</w:t>
            </w:r>
          </w:p>
        </w:tc>
        <w:tc>
          <w:tcPr>
            <w:tcW w:w="37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09" w:hRule="atLeast"/>
        </w:trPr>
        <w:tc>
          <w:tcPr>
            <w:tcW w:w="4100" w:type="dxa"/>
            <w:gridSpan w:val="10"/>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40" w:type="dxa"/>
            <w:vMerge w:val="restart"/>
            <w:tcBorders/>
          </w:tcPr>
          <w:p>
            <w:pPr>
              <w:pStyle w:val="Normal"/>
              <w:spacing w:lineRule="atLeast" w:line="0"/>
              <w:rPr>
                <w:rFonts w:ascii="Arial" w:hAnsi="Arial" w:eastAsia="Arial" w:cs="Arial"/>
                <w:sz w:val="19"/>
              </w:rPr>
            </w:pPr>
            <w:r>
              <w:rPr>
                <w:rFonts w:eastAsia="Arial" w:cs="Arial" w:ascii="Arial" w:hAnsi="Arial"/>
                <w:sz w:val="19"/>
              </w:rPr>
              <w:t>for more details).</w:t>
            </w:r>
          </w:p>
        </w:tc>
      </w:tr>
      <w:tr>
        <w:trPr>
          <w:trHeight w:val="161" w:hRule="atLeast"/>
        </w:trPr>
        <w:tc>
          <w:tcPr>
            <w:tcW w:w="4100" w:type="dxa"/>
            <w:gridSpan w:val="10"/>
            <w:vMerge w:val="restart"/>
            <w:tcBorders/>
          </w:tcPr>
          <w:p>
            <w:pPr>
              <w:pStyle w:val="Normal"/>
              <w:spacing w:lineRule="atLeast" w:line="0"/>
              <w:ind w:start="20" w:end="0"/>
              <w:rPr>
                <w:rFonts w:ascii="Arial" w:hAnsi="Arial" w:eastAsia="Arial" w:cs="Arial"/>
                <w:sz w:val="19"/>
              </w:rPr>
            </w:pPr>
            <w:r>
              <w:rPr>
                <w:rFonts w:eastAsia="Arial" w:cs="Arial" w:ascii="Arial" w:hAnsi="Arial"/>
                <w:sz w:val="19"/>
              </w:rPr>
              <w:t>their home before listing. Renovation activity</w:t>
            </w:r>
          </w:p>
        </w:tc>
        <w:tc>
          <w:tcPr>
            <w:tcW w:w="37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09" w:hRule="atLeast"/>
        </w:trPr>
        <w:tc>
          <w:tcPr>
            <w:tcW w:w="4100" w:type="dxa"/>
            <w:gridSpan w:val="10"/>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0" w:hRule="atLeast"/>
        </w:trPr>
        <w:tc>
          <w:tcPr>
            <w:tcW w:w="4100" w:type="dxa"/>
            <w:gridSpan w:val="10"/>
            <w:tcBorders/>
          </w:tcPr>
          <w:p>
            <w:pPr>
              <w:pStyle w:val="Normal"/>
              <w:spacing w:lineRule="atLeast" w:line="0"/>
              <w:ind w:start="20" w:end="0"/>
              <w:rPr>
                <w:rFonts w:ascii="Arial" w:hAnsi="Arial" w:eastAsia="Arial" w:cs="Arial"/>
                <w:sz w:val="19"/>
              </w:rPr>
            </w:pPr>
            <w:r>
              <w:rPr>
                <w:rFonts w:eastAsia="Arial" w:cs="Arial" w:ascii="Arial" w:hAnsi="Arial"/>
                <w:sz w:val="19"/>
              </w:rPr>
              <w:t>would also be expected to have flow-on effects</w:t>
            </w:r>
          </w:p>
        </w:tc>
        <w:tc>
          <w:tcPr>
            <w:tcW w:w="3740" w:type="dxa"/>
            <w:tcBorders/>
          </w:tcPr>
          <w:p>
            <w:pPr>
              <w:pStyle w:val="Normal"/>
              <w:spacing w:lineRule="atLeast" w:line="0"/>
              <w:rPr>
                <w:rFonts w:ascii="Arial" w:hAnsi="Arial" w:eastAsia="Arial" w:cs="Arial"/>
                <w:sz w:val="19"/>
              </w:rPr>
            </w:pPr>
            <w:r>
              <w:rPr>
                <w:rFonts w:eastAsia="Arial" w:cs="Arial" w:ascii="Arial" w:hAnsi="Arial"/>
                <w:sz w:val="19"/>
              </w:rPr>
              <w:t>Furthermore, housing turnover has a more</w:t>
            </w:r>
          </w:p>
        </w:tc>
      </w:tr>
      <w:tr>
        <w:trPr>
          <w:trHeight w:val="270" w:hRule="atLeast"/>
        </w:trPr>
        <w:tc>
          <w:tcPr>
            <w:tcW w:w="2980" w:type="dxa"/>
            <w:gridSpan w:val="7"/>
            <w:tcBorders/>
          </w:tcPr>
          <w:p>
            <w:pPr>
              <w:pStyle w:val="Normal"/>
              <w:spacing w:lineRule="atLeast" w:line="0"/>
              <w:ind w:start="20" w:end="0"/>
              <w:rPr>
                <w:rFonts w:ascii="Arial" w:hAnsi="Arial" w:eastAsia="Arial" w:cs="Arial"/>
                <w:w w:val="90"/>
                <w:sz w:val="19"/>
              </w:rPr>
            </w:pPr>
            <w:r>
              <w:rPr>
                <w:rFonts w:eastAsia="Arial" w:cs="Arial" w:ascii="Arial" w:hAnsi="Arial"/>
                <w:w w:val="90"/>
                <w:sz w:val="19"/>
              </w:rPr>
              <w:t>for activity in the construction industry.</w:t>
            </w:r>
          </w:p>
        </w:tc>
        <w:tc>
          <w:tcPr>
            <w:tcW w:w="640" w:type="dxa"/>
            <w:tcBorders/>
          </w:tcPr>
          <w:p>
            <w:pPr>
              <w:pStyle w:val="Normal"/>
              <w:snapToGrid w:val="false"/>
              <w:spacing w:lineRule="atLeast" w:line="0"/>
              <w:rPr>
                <w:rFonts w:ascii="Times New Roman" w:hAnsi="Times New Roman" w:eastAsia="Times New Roman" w:cs="Times New Roman"/>
                <w:w w:val="90"/>
                <w:sz w:val="23"/>
              </w:rPr>
            </w:pPr>
            <w:r>
              <w:rPr>
                <w:rFonts w:eastAsia="Times New Roman" w:cs="Times New Roman" w:ascii="Times New Roman" w:hAnsi="Times New Roman"/>
                <w:w w:val="90"/>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5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40" w:type="dxa"/>
            <w:tcBorders/>
          </w:tcPr>
          <w:p>
            <w:pPr>
              <w:pStyle w:val="Normal"/>
              <w:spacing w:lineRule="atLeast" w:line="0"/>
              <w:rPr>
                <w:rFonts w:ascii="Arial" w:hAnsi="Arial" w:eastAsia="Arial" w:cs="Arial"/>
                <w:w w:val="99"/>
                <w:sz w:val="19"/>
              </w:rPr>
            </w:pPr>
            <w:r>
              <w:rPr>
                <w:rFonts w:eastAsia="Arial" w:cs="Arial" w:ascii="Arial" w:hAnsi="Arial"/>
                <w:w w:val="99"/>
                <w:sz w:val="19"/>
              </w:rPr>
              <w:t>general effect on household balance sheets.</w:t>
            </w:r>
          </w:p>
        </w:tc>
      </w:tr>
      <w:tr>
        <w:trPr>
          <w:trHeight w:val="355" w:hRule="atLeast"/>
        </w:trPr>
        <w:tc>
          <w:tcPr>
            <w:tcW w:w="4100" w:type="dxa"/>
            <w:gridSpan w:val="10"/>
            <w:tcBorders/>
          </w:tcPr>
          <w:p>
            <w:pPr>
              <w:pStyle w:val="Normal"/>
              <w:spacing w:lineRule="atLeast" w:line="0"/>
              <w:ind w:start="20" w:end="0"/>
              <w:rPr>
                <w:rFonts w:ascii="Arial" w:hAnsi="Arial" w:eastAsia="Arial" w:cs="Arial"/>
                <w:sz w:val="19"/>
              </w:rPr>
            </w:pPr>
            <w:r>
              <w:rPr>
                <w:rFonts w:eastAsia="Arial" w:cs="Arial" w:ascii="Arial" w:hAnsi="Arial"/>
                <w:sz w:val="19"/>
              </w:rPr>
              <w:t>Another indirect channel through which housing</w:t>
            </w:r>
          </w:p>
        </w:tc>
        <w:tc>
          <w:tcPr>
            <w:tcW w:w="3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5" w:hRule="atLeast"/>
        </w:trPr>
        <w:tc>
          <w:tcPr>
            <w:tcW w:w="4100" w:type="dxa"/>
            <w:gridSpan w:val="10"/>
            <w:vMerge w:val="restart"/>
            <w:tcBorders/>
          </w:tcPr>
          <w:p>
            <w:pPr>
              <w:pStyle w:val="Normal"/>
              <w:spacing w:lineRule="atLeast" w:line="0"/>
              <w:ind w:start="20" w:end="0"/>
              <w:rPr>
                <w:rFonts w:ascii="Arial" w:hAnsi="Arial" w:eastAsia="Arial" w:cs="Arial"/>
                <w:sz w:val="19"/>
              </w:rPr>
            </w:pPr>
            <w:r>
              <w:rPr>
                <w:rFonts w:eastAsia="Arial" w:cs="Arial" w:ascii="Arial" w:hAnsi="Arial"/>
                <w:sz w:val="19"/>
              </w:rPr>
              <w:t>market turnover can affect economic activity is</w:t>
            </w:r>
          </w:p>
        </w:tc>
        <w:tc>
          <w:tcPr>
            <w:tcW w:w="374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85" w:hRule="atLeast"/>
        </w:trPr>
        <w:tc>
          <w:tcPr>
            <w:tcW w:w="4100" w:type="dxa"/>
            <w:gridSpan w:val="10"/>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740" w:type="dxa"/>
            <w:vMerge w:val="restart"/>
            <w:tcBorders/>
          </w:tcPr>
          <w:p>
            <w:pPr>
              <w:pStyle w:val="Normal"/>
              <w:spacing w:lineRule="atLeast" w:line="0"/>
              <w:rPr>
                <w:rFonts w:ascii="Arial" w:hAnsi="Arial" w:eastAsia="Arial" w:cs="Arial"/>
                <w:w w:val="94"/>
                <w:sz w:val="13"/>
              </w:rPr>
            </w:pPr>
            <w:r>
              <w:rPr>
                <w:rFonts w:eastAsia="Arial" w:cs="Arial" w:ascii="Arial" w:hAnsi="Arial"/>
                <w:w w:val="94"/>
                <w:sz w:val="13"/>
              </w:rPr>
              <w:t>12 The literature also puts forward explanations for reverse causality</w:t>
            </w:r>
          </w:p>
        </w:tc>
      </w:tr>
      <w:tr>
        <w:trPr>
          <w:trHeight w:val="104" w:hRule="atLeast"/>
        </w:trPr>
        <w:tc>
          <w:tcPr>
            <w:tcW w:w="4100" w:type="dxa"/>
            <w:gridSpan w:val="10"/>
            <w:vMerge w:val="restart"/>
            <w:tcBorders/>
          </w:tcPr>
          <w:p>
            <w:pPr>
              <w:pStyle w:val="Normal"/>
              <w:spacing w:lineRule="atLeast" w:line="0"/>
              <w:ind w:start="20" w:end="0"/>
              <w:rPr>
                <w:rFonts w:ascii="Arial" w:hAnsi="Arial" w:eastAsia="Arial" w:cs="Arial"/>
                <w:sz w:val="19"/>
              </w:rPr>
            </w:pPr>
            <w:r>
              <w:rPr>
                <w:rFonts w:eastAsia="Arial" w:cs="Arial" w:ascii="Arial" w:hAnsi="Arial"/>
                <w:sz w:val="19"/>
              </w:rPr>
              <w:t>housing prices. A common feature of housing</w:t>
            </w:r>
          </w:p>
        </w:tc>
        <w:tc>
          <w:tcPr>
            <w:tcW w:w="37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80" w:hRule="atLeast"/>
        </w:trPr>
        <w:tc>
          <w:tcPr>
            <w:tcW w:w="4100" w:type="dxa"/>
            <w:gridSpan w:val="10"/>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740" w:type="dxa"/>
            <w:tcBorders/>
          </w:tcPr>
          <w:p>
            <w:pPr>
              <w:pStyle w:val="Normal"/>
              <w:spacing w:lineRule="atLeast" w:line="0"/>
              <w:ind w:start="160" w:end="0"/>
              <w:rPr>
                <w:rFonts w:ascii="Arial" w:hAnsi="Arial" w:eastAsia="Arial" w:cs="Arial"/>
                <w:w w:val="93"/>
                <w:sz w:val="13"/>
              </w:rPr>
            </w:pPr>
            <w:r>
              <w:rPr>
                <w:rFonts w:eastAsia="Arial" w:cs="Arial" w:ascii="Arial" w:hAnsi="Arial"/>
                <w:w w:val="93"/>
                <w:sz w:val="13"/>
              </w:rPr>
              <w:t>between housing prices and turnover, highlighting loss aversion of</w:t>
            </w:r>
          </w:p>
        </w:tc>
      </w:tr>
      <w:tr>
        <w:trPr>
          <w:trHeight w:val="210" w:hRule="atLeast"/>
        </w:trPr>
        <w:tc>
          <w:tcPr>
            <w:tcW w:w="4100" w:type="dxa"/>
            <w:gridSpan w:val="10"/>
            <w:tcBorders/>
          </w:tcPr>
          <w:p>
            <w:pPr>
              <w:pStyle w:val="Normal"/>
              <w:spacing w:lineRule="exact" w:line="211"/>
              <w:ind w:start="20" w:end="0"/>
              <w:rPr>
                <w:rFonts w:ascii="Arial" w:hAnsi="Arial" w:eastAsia="Arial" w:cs="Arial"/>
                <w:sz w:val="19"/>
              </w:rPr>
            </w:pPr>
            <w:r>
              <w:rPr>
                <w:rFonts w:eastAsia="Arial" w:cs="Arial" w:ascii="Arial" w:hAnsi="Arial"/>
                <w:sz w:val="19"/>
              </w:rPr>
              <w:t>markets in advanced economies is a positive</w:t>
            </w:r>
          </w:p>
        </w:tc>
        <w:tc>
          <w:tcPr>
            <w:tcW w:w="3740" w:type="dxa"/>
            <w:tcBorders/>
          </w:tcPr>
          <w:p>
            <w:pPr>
              <w:pStyle w:val="Normal"/>
              <w:spacing w:lineRule="atLeast" w:line="0"/>
              <w:ind w:start="160" w:end="0"/>
              <w:rPr>
                <w:rFonts w:ascii="Arial" w:hAnsi="Arial" w:eastAsia="Arial" w:cs="Arial"/>
                <w:w w:val="90"/>
                <w:sz w:val="13"/>
              </w:rPr>
            </w:pPr>
            <w:r>
              <w:rPr>
                <w:rFonts w:eastAsia="Arial" w:cs="Arial" w:ascii="Arial" w:hAnsi="Arial"/>
                <w:w w:val="90"/>
                <w:sz w:val="13"/>
              </w:rPr>
              <w:t>sellers and binding financing constraints (Stein 1995; Genesove and</w:t>
            </w:r>
          </w:p>
        </w:tc>
      </w:tr>
      <w:tr>
        <w:trPr>
          <w:trHeight w:val="154" w:hRule="atLeast"/>
        </w:trPr>
        <w:tc>
          <w:tcPr>
            <w:tcW w:w="60" w:type="dxa"/>
            <w:tcBorders/>
          </w:tcPr>
          <w:p>
            <w:pPr>
              <w:pStyle w:val="Normal"/>
              <w:snapToGrid w:val="false"/>
              <w:spacing w:lineRule="atLeast" w:line="0"/>
              <w:rPr>
                <w:rFonts w:ascii="Times New Roman" w:hAnsi="Times New Roman" w:eastAsia="Times New Roman" w:cs="Times New Roman"/>
                <w:w w:val="90"/>
                <w:sz w:val="13"/>
              </w:rPr>
            </w:pPr>
            <w:r>
              <w:rPr>
                <w:rFonts w:eastAsia="Times New Roman" w:cs="Times New Roman" w:ascii="Times New Roman" w:hAnsi="Times New Roman"/>
                <w:w w:val="90"/>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5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40" w:type="dxa"/>
            <w:tcBorders/>
          </w:tcPr>
          <w:p>
            <w:pPr>
              <w:pStyle w:val="Normal"/>
              <w:spacing w:lineRule="atLeast" w:line="0"/>
              <w:ind w:start="160" w:end="0"/>
              <w:rPr>
                <w:rFonts w:ascii="Arial" w:hAnsi="Arial" w:eastAsia="Arial" w:cs="Arial"/>
                <w:sz w:val="13"/>
              </w:rPr>
            </w:pPr>
            <w:r>
              <w:rPr>
                <w:rFonts w:eastAsia="Arial" w:cs="Arial" w:ascii="Arial" w:hAnsi="Arial"/>
                <w:sz w:val="13"/>
              </w:rPr>
              <w:t>Mayer 2001).</w:t>
            </w:r>
          </w:p>
        </w:tc>
      </w:tr>
    </w:tbl>
    <w:p>
      <w:pPr>
        <w:pStyle w:val="Normal"/>
        <w:spacing w:lineRule="exact" w:line="20"/>
        <w:rPr>
          <w:rFonts w:ascii="Arial" w:hAnsi="Arial" w:eastAsia="Arial" w:cs="Arial"/>
          <w:b/>
          <w:sz w:val="18"/>
        </w:rPr>
      </w:pPr>
      <w:r>
        <w:rPr>
          <w:rFonts w:eastAsia="Arial" w:cs="Arial" w:ascii="Arial" w:hAnsi="Arial"/>
          <w:b/>
          <w:sz w:val="18"/>
        </w:rPr>
        <w:drawing>
          <wp:anchor behindDoc="1" distT="0" distB="0" distL="114935" distR="114935" simplePos="0" locked="0" layoutInCell="1" allowOverlap="1" relativeHeight="77">
            <wp:simplePos x="0" y="0"/>
            <wp:positionH relativeFrom="column">
              <wp:posOffset>73660</wp:posOffset>
            </wp:positionH>
            <wp:positionV relativeFrom="paragraph">
              <wp:posOffset>-6772275</wp:posOffset>
            </wp:positionV>
            <wp:extent cx="2134870" cy="1600835"/>
            <wp:effectExtent l="0" t="0" r="0" b="0"/>
            <wp:wrapNone/>
            <wp:docPr id="76"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 descr="" title=""/>
                    <pic:cNvPicPr>
                      <a:picLocks noChangeAspect="1" noChangeArrowheads="1"/>
                    </pic:cNvPicPr>
                  </pic:nvPicPr>
                  <pic:blipFill>
                    <a:blip r:embed="rId8"/>
                    <a:srcRect l="-8" t="-11" r="-8" b="-11"/>
                    <a:stretch>
                      <a:fillRect/>
                    </a:stretch>
                  </pic:blipFill>
                  <pic:spPr bwMode="auto">
                    <a:xfrm>
                      <a:off x="0" y="0"/>
                      <a:ext cx="2134870" cy="1600835"/>
                    </a:xfrm>
                    <a:prstGeom prst="rect">
                      <a:avLst/>
                    </a:prstGeom>
                  </pic:spPr>
                </pic:pic>
              </a:graphicData>
            </a:graphic>
          </wp:anchor>
        </w:drawing>
        <w:drawing>
          <wp:anchor behindDoc="1" distT="0" distB="0" distL="114935" distR="114935" simplePos="0" locked="0" layoutInCell="1" allowOverlap="1" relativeHeight="78">
            <wp:simplePos x="0" y="0"/>
            <wp:positionH relativeFrom="column">
              <wp:posOffset>14605</wp:posOffset>
            </wp:positionH>
            <wp:positionV relativeFrom="paragraph">
              <wp:posOffset>-3772535</wp:posOffset>
            </wp:positionV>
            <wp:extent cx="2176145" cy="1096010"/>
            <wp:effectExtent l="0" t="0" r="0" b="0"/>
            <wp:wrapNone/>
            <wp:docPr id="77"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8" descr="" title=""/>
                    <pic:cNvPicPr>
                      <a:picLocks noChangeAspect="1" noChangeArrowheads="1"/>
                    </pic:cNvPicPr>
                  </pic:nvPicPr>
                  <pic:blipFill>
                    <a:blip r:embed="rId9"/>
                    <a:srcRect l="-8" t="-16" r="-8" b="-16"/>
                    <a:stretch>
                      <a:fillRect/>
                    </a:stretch>
                  </pic:blipFill>
                  <pic:spPr bwMode="auto">
                    <a:xfrm>
                      <a:off x="0" y="0"/>
                      <a:ext cx="2176145" cy="1096010"/>
                    </a:xfrm>
                    <a:prstGeom prst="rect">
                      <a:avLst/>
                    </a:prstGeom>
                  </pic:spPr>
                </pic:pic>
              </a:graphicData>
            </a:graphic>
          </wp:anchor>
        </w:drawing>
        <mc:AlternateContent>
          <mc:Choice Requires="wps">
            <w:drawing>
              <wp:anchor behindDoc="1" distT="0" distB="0" distL="114935" distR="114935" simplePos="0" locked="0" layoutInCell="1" allowOverlap="1" relativeHeight="79">
                <wp:simplePos x="0" y="0"/>
                <wp:positionH relativeFrom="column">
                  <wp:posOffset>88900</wp:posOffset>
                </wp:positionH>
                <wp:positionV relativeFrom="paragraph">
                  <wp:posOffset>-2454910</wp:posOffset>
                </wp:positionV>
                <wp:extent cx="0" cy="36195"/>
                <wp:effectExtent l="1905" t="0" r="1905" b="0"/>
                <wp:wrapNone/>
                <wp:docPr id="78"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7pt,-193.3pt" to="7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169545</wp:posOffset>
                </wp:positionH>
                <wp:positionV relativeFrom="paragraph">
                  <wp:posOffset>-2454910</wp:posOffset>
                </wp:positionV>
                <wp:extent cx="0" cy="36195"/>
                <wp:effectExtent l="1905" t="0" r="1905" b="0"/>
                <wp:wrapNone/>
                <wp:docPr id="79"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3.35pt,-193.3pt" to="13.35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250825</wp:posOffset>
                </wp:positionH>
                <wp:positionV relativeFrom="paragraph">
                  <wp:posOffset>-2454910</wp:posOffset>
                </wp:positionV>
                <wp:extent cx="0" cy="36195"/>
                <wp:effectExtent l="1905" t="0" r="1905" b="0"/>
                <wp:wrapNone/>
                <wp:docPr id="80"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9.75pt,-193.3pt" to="19.75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331470</wp:posOffset>
                </wp:positionH>
                <wp:positionV relativeFrom="paragraph">
                  <wp:posOffset>-2454910</wp:posOffset>
                </wp:positionV>
                <wp:extent cx="0" cy="36195"/>
                <wp:effectExtent l="1905" t="0" r="1905" b="0"/>
                <wp:wrapNone/>
                <wp:docPr id="81"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26.1pt,-193.3pt" to="26.1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412115</wp:posOffset>
                </wp:positionH>
                <wp:positionV relativeFrom="paragraph">
                  <wp:posOffset>-2454910</wp:posOffset>
                </wp:positionV>
                <wp:extent cx="0" cy="36195"/>
                <wp:effectExtent l="1905" t="0" r="1905" b="0"/>
                <wp:wrapNone/>
                <wp:docPr id="82"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32.45pt,-193.3pt" to="32.45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492760</wp:posOffset>
                </wp:positionH>
                <wp:positionV relativeFrom="paragraph">
                  <wp:posOffset>-2454910</wp:posOffset>
                </wp:positionV>
                <wp:extent cx="0" cy="36195"/>
                <wp:effectExtent l="1905" t="0" r="1905" b="0"/>
                <wp:wrapNone/>
                <wp:docPr id="83"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38.8pt,-193.3pt" to="38.8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574040</wp:posOffset>
                </wp:positionH>
                <wp:positionV relativeFrom="paragraph">
                  <wp:posOffset>-2454910</wp:posOffset>
                </wp:positionV>
                <wp:extent cx="0" cy="36195"/>
                <wp:effectExtent l="1905" t="0" r="1905" b="0"/>
                <wp:wrapNone/>
                <wp:docPr id="84"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45.2pt,-193.3pt" to="45.2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654685</wp:posOffset>
                </wp:positionH>
                <wp:positionV relativeFrom="paragraph">
                  <wp:posOffset>-2454910</wp:posOffset>
                </wp:positionV>
                <wp:extent cx="0" cy="36195"/>
                <wp:effectExtent l="1905" t="0" r="1905" b="0"/>
                <wp:wrapNone/>
                <wp:docPr id="85"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51.55pt,-193.3pt" to="51.55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735330</wp:posOffset>
                </wp:positionH>
                <wp:positionV relativeFrom="paragraph">
                  <wp:posOffset>-2454910</wp:posOffset>
                </wp:positionV>
                <wp:extent cx="0" cy="36195"/>
                <wp:effectExtent l="1905" t="0" r="1905" b="0"/>
                <wp:wrapNone/>
                <wp:docPr id="86"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57.9pt,-193.3pt" to="57.9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816610</wp:posOffset>
                </wp:positionH>
                <wp:positionV relativeFrom="paragraph">
                  <wp:posOffset>-2454910</wp:posOffset>
                </wp:positionV>
                <wp:extent cx="0" cy="36195"/>
                <wp:effectExtent l="1905" t="0" r="1905" b="0"/>
                <wp:wrapNone/>
                <wp:docPr id="87"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64.3pt,-193.3pt" to="64.3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897255</wp:posOffset>
                </wp:positionH>
                <wp:positionV relativeFrom="paragraph">
                  <wp:posOffset>-2454910</wp:posOffset>
                </wp:positionV>
                <wp:extent cx="0" cy="36195"/>
                <wp:effectExtent l="1905" t="0" r="1905" b="0"/>
                <wp:wrapNone/>
                <wp:docPr id="88"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70.65pt,-193.3pt" to="70.65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977900</wp:posOffset>
                </wp:positionH>
                <wp:positionV relativeFrom="paragraph">
                  <wp:posOffset>-2454910</wp:posOffset>
                </wp:positionV>
                <wp:extent cx="0" cy="36195"/>
                <wp:effectExtent l="1905" t="0" r="1905" b="0"/>
                <wp:wrapNone/>
                <wp:docPr id="89"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77pt,-193.3pt" to="77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1059180</wp:posOffset>
                </wp:positionH>
                <wp:positionV relativeFrom="paragraph">
                  <wp:posOffset>-2454910</wp:posOffset>
                </wp:positionV>
                <wp:extent cx="0" cy="36195"/>
                <wp:effectExtent l="1905" t="0" r="1905" b="0"/>
                <wp:wrapNone/>
                <wp:docPr id="90"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83.4pt,-193.3pt" to="83.4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1139825</wp:posOffset>
                </wp:positionH>
                <wp:positionV relativeFrom="paragraph">
                  <wp:posOffset>-2454910</wp:posOffset>
                </wp:positionV>
                <wp:extent cx="0" cy="36195"/>
                <wp:effectExtent l="1905" t="0" r="1905" b="0"/>
                <wp:wrapNone/>
                <wp:docPr id="91"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89.75pt,-193.3pt" to="89.75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1220470</wp:posOffset>
                </wp:positionH>
                <wp:positionV relativeFrom="paragraph">
                  <wp:posOffset>-2454910</wp:posOffset>
                </wp:positionV>
                <wp:extent cx="0" cy="36195"/>
                <wp:effectExtent l="1905" t="0" r="1905" b="0"/>
                <wp:wrapNone/>
                <wp:docPr id="92"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96.1pt,-193.3pt" to="96.1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1301115</wp:posOffset>
                </wp:positionH>
                <wp:positionV relativeFrom="paragraph">
                  <wp:posOffset>-2454910</wp:posOffset>
                </wp:positionV>
                <wp:extent cx="0" cy="36195"/>
                <wp:effectExtent l="1905" t="0" r="1905" b="0"/>
                <wp:wrapNone/>
                <wp:docPr id="93"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02.45pt,-193.3pt" to="102.45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1382395</wp:posOffset>
                </wp:positionH>
                <wp:positionV relativeFrom="paragraph">
                  <wp:posOffset>-2454910</wp:posOffset>
                </wp:positionV>
                <wp:extent cx="0" cy="36195"/>
                <wp:effectExtent l="1905" t="0" r="1905" b="0"/>
                <wp:wrapNone/>
                <wp:docPr id="94"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08.85pt,-193.3pt" to="108.85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1463040</wp:posOffset>
                </wp:positionH>
                <wp:positionV relativeFrom="paragraph">
                  <wp:posOffset>-2454910</wp:posOffset>
                </wp:positionV>
                <wp:extent cx="0" cy="36195"/>
                <wp:effectExtent l="1905" t="0" r="1905" b="0"/>
                <wp:wrapNone/>
                <wp:docPr id="95"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15.2pt,-193.3pt" to="115.2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1543685</wp:posOffset>
                </wp:positionH>
                <wp:positionV relativeFrom="paragraph">
                  <wp:posOffset>-2454910</wp:posOffset>
                </wp:positionV>
                <wp:extent cx="0" cy="36195"/>
                <wp:effectExtent l="1905" t="0" r="1905" b="0"/>
                <wp:wrapNone/>
                <wp:docPr id="96"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21.55pt,-193.3pt" to="121.55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1624965</wp:posOffset>
                </wp:positionH>
                <wp:positionV relativeFrom="paragraph">
                  <wp:posOffset>-2454910</wp:posOffset>
                </wp:positionV>
                <wp:extent cx="0" cy="36195"/>
                <wp:effectExtent l="1905" t="0" r="1905" b="0"/>
                <wp:wrapNone/>
                <wp:docPr id="97"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27.95pt,-193.3pt" to="127.95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1705610</wp:posOffset>
                </wp:positionH>
                <wp:positionV relativeFrom="paragraph">
                  <wp:posOffset>-2454910</wp:posOffset>
                </wp:positionV>
                <wp:extent cx="0" cy="36195"/>
                <wp:effectExtent l="1905" t="0" r="1905" b="0"/>
                <wp:wrapNone/>
                <wp:docPr id="98"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34.3pt,-193.3pt" to="134.3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1786255</wp:posOffset>
                </wp:positionH>
                <wp:positionV relativeFrom="paragraph">
                  <wp:posOffset>-2454910</wp:posOffset>
                </wp:positionV>
                <wp:extent cx="0" cy="36195"/>
                <wp:effectExtent l="1905" t="0" r="1905" b="0"/>
                <wp:wrapNone/>
                <wp:docPr id="99"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40.65pt,-193.3pt" to="140.65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1867535</wp:posOffset>
                </wp:positionH>
                <wp:positionV relativeFrom="paragraph">
                  <wp:posOffset>-2454910</wp:posOffset>
                </wp:positionV>
                <wp:extent cx="0" cy="36195"/>
                <wp:effectExtent l="1905" t="0" r="1905" b="0"/>
                <wp:wrapNone/>
                <wp:docPr id="100"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47.05pt,-193.3pt" to="147.05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1948180</wp:posOffset>
                </wp:positionH>
                <wp:positionV relativeFrom="paragraph">
                  <wp:posOffset>-2454910</wp:posOffset>
                </wp:positionV>
                <wp:extent cx="0" cy="36195"/>
                <wp:effectExtent l="1905" t="0" r="1905" b="0"/>
                <wp:wrapNone/>
                <wp:docPr id="101"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53.4pt,-193.3pt" to="153.4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2028825</wp:posOffset>
                </wp:positionH>
                <wp:positionV relativeFrom="paragraph">
                  <wp:posOffset>-2454910</wp:posOffset>
                </wp:positionV>
                <wp:extent cx="0" cy="36195"/>
                <wp:effectExtent l="1905" t="0" r="1905" b="0"/>
                <wp:wrapNone/>
                <wp:docPr id="102"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59.75pt,-193.3pt" to="159.75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2109470</wp:posOffset>
                </wp:positionH>
                <wp:positionV relativeFrom="paragraph">
                  <wp:posOffset>-2454910</wp:posOffset>
                </wp:positionV>
                <wp:extent cx="0" cy="36195"/>
                <wp:effectExtent l="1905" t="0" r="1905" b="0"/>
                <wp:wrapNone/>
                <wp:docPr id="103"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66.1pt,-193.3pt" to="166.1pt,-190.5pt" stroked="t" o:allowincell="f" style="position:absolute">
                <v:stroke color="black" weight="3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2190750</wp:posOffset>
                </wp:positionH>
                <wp:positionV relativeFrom="paragraph">
                  <wp:posOffset>-2454910</wp:posOffset>
                </wp:positionV>
                <wp:extent cx="0" cy="36195"/>
                <wp:effectExtent l="1905" t="0" r="1905" b="0"/>
                <wp:wrapNone/>
                <wp:docPr id="104" name=""/>
                <a:graphic xmlns:a="http://schemas.openxmlformats.org/drawingml/2006/main">
                  <a:graphicData uri="http://schemas.microsoft.com/office/word/2010/wordprocessingShape">
                    <wps:wsp>
                      <wps:cNvSpPr/>
                      <wps:spPr>
                        <a:xfrm>
                          <a:off x="0" y="0"/>
                          <a:ext cx="0" cy="36360"/>
                        </a:xfrm>
                        <a:prstGeom prst="line">
                          <a:avLst/>
                        </a:prstGeom>
                        <a:ln w="3960">
                          <a:solidFill>
                            <a:srgbClr val="000000"/>
                          </a:solidFill>
                          <a:miter/>
                        </a:ln>
                      </wps:spPr>
                      <wps:style>
                        <a:lnRef idx="0"/>
                        <a:fillRef idx="0"/>
                        <a:effectRef idx="0"/>
                        <a:fontRef idx="minor"/>
                      </wps:style>
                      <wps:bodyPr/>
                    </wps:wsp>
                  </a:graphicData>
                </a:graphic>
              </wp:anchor>
            </w:drawing>
          </mc:Choice>
          <mc:Fallback>
            <w:pict>
              <v:line id="shape_0" from="172.5pt,-193.3pt" to="172.5pt,-190.5pt" stroked="t" o:allowincell="f" style="position:absolute">
                <v:stroke color="black" weight="3960" joinstyle="miter" endcap="flat"/>
                <v:fill o:detectmouseclick="t" on="false"/>
                <w10:wrap type="none"/>
              </v:line>
            </w:pict>
          </mc:Fallback>
        </mc:AlternateContent>
      </w:r>
    </w:p>
    <w:p>
      <w:pPr>
        <w:sectPr>
          <w:type w:val="continuous"/>
          <w:pgSz w:w="9978" w:h="14173"/>
          <w:pgMar w:left="920" w:right="578" w:gutter="0" w:header="0" w:top="822" w:footer="0" w:bottom="0"/>
          <w:cols w:num="2" w:equalWidth="false" w:sep="false">
            <w:col w:w="200" w:space="0"/>
            <w:col w:w="8280"/>
          </w:cols>
          <w:formProt w:val="false"/>
          <w:textDirection w:val="lrTb"/>
          <w:docGrid w:type="default" w:linePitch="360" w:charSpace="0"/>
        </w:sectPr>
      </w:pP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59"/>
        <w:rPr>
          <w:rFonts w:ascii="Arial" w:hAnsi="Arial" w:eastAsia="Arial" w:cs="Arial"/>
          <w:b/>
          <w:sz w:val="18"/>
        </w:rPr>
      </w:pPr>
      <w:r>
        <w:rPr>
          <w:rFonts w:eastAsia="Arial" w:cs="Arial" w:ascii="Arial" w:hAnsi="Arial"/>
          <w:b/>
          <w:sz w:val="18"/>
        </w:rPr>
      </w:r>
    </w:p>
    <w:p>
      <w:pPr>
        <w:pStyle w:val="Normal"/>
        <w:tabs>
          <w:tab w:val="clear" w:pos="720"/>
          <w:tab w:val="left" w:pos="8240" w:leader="none"/>
        </w:tabs>
        <w:spacing w:lineRule="atLeast" w:line="0"/>
        <w:ind w:start="5520" w:end="0"/>
        <w:rPr/>
      </w:pPr>
      <w:r>
        <w:rPr>
          <w:rFonts w:eastAsia="Arial" w:cs="Arial" w:ascii="Arial" w:hAnsi="Arial"/>
          <w:color w:val="005766"/>
          <w:sz w:val="14"/>
        </w:rPr>
        <w:t xml:space="preserve">BULLETIN </w:t>
      </w:r>
      <w:r>
        <w:rPr>
          <w:rFonts w:eastAsia="Arial" w:cs="Arial" w:ascii="Arial" w:hAnsi="Arial"/>
          <w:b/>
          <w:color w:val="005766"/>
          <w:sz w:val="14"/>
        </w:rPr>
        <w:t>|</w:t>
      </w:r>
      <w:r>
        <w:rPr>
          <w:rFonts w:eastAsia="Arial" w:cs="Arial" w:ascii="Arial" w:hAnsi="Arial"/>
          <w:b/>
          <w:color w:val="000000"/>
          <w:sz w:val="14"/>
        </w:rPr>
        <w:t xml:space="preserve"> MARCH QUARTER 2017</w:t>
      </w:r>
      <w:r>
        <w:rPr>
          <w:rFonts w:eastAsia="Times New Roman" w:cs="Times New Roman" w:ascii="Times New Roman" w:hAnsi="Times New Roman"/>
        </w:rPr>
        <w:tab/>
      </w:r>
      <w:r>
        <w:rPr>
          <w:rFonts w:eastAsia="Arial" w:cs="Arial" w:ascii="Arial" w:hAnsi="Arial"/>
          <w:b/>
          <w:sz w:val="15"/>
        </w:rPr>
        <w:t>2 7</w:t>
      </w:r>
    </w:p>
    <w:p>
      <w:pPr>
        <w:sectPr>
          <w:type w:val="continuous"/>
          <w:pgSz w:w="9978" w:h="14173"/>
          <w:pgMar w:left="920" w:right="578" w:gutter="0" w:header="0" w:top="822" w:footer="0" w:bottom="0"/>
          <w:formProt w:val="false"/>
          <w:textDirection w:val="lrTb"/>
          <w:docGrid w:type="default" w:linePitch="360" w:charSpace="0"/>
        </w:sectPr>
      </w:pPr>
    </w:p>
    <w:p>
      <w:pPr>
        <w:pStyle w:val="Normal"/>
        <w:spacing w:lineRule="atLeast" w:line="0"/>
        <w:ind w:start="420" w:end="0"/>
        <w:rPr>
          <w:rFonts w:ascii="Arial" w:hAnsi="Arial" w:eastAsia="Arial" w:cs="Arial"/>
          <w:color w:val="005766"/>
          <w:sz w:val="14"/>
        </w:rPr>
      </w:pPr>
      <w:bookmarkStart w:id="11" w:name="page8"/>
      <w:bookmarkEnd w:id="11"/>
      <w:r>
        <w:rPr>
          <w:rFonts w:eastAsia="Arial" w:cs="Arial" w:ascii="Arial" w:hAnsi="Arial"/>
          <w:color w:val="005766"/>
          <w:sz w:val="14"/>
        </w:rPr>
        <w:t>HOUSING MARKET TURNOVER</w:t>
      </w:r>
    </w:p>
    <w:p>
      <w:pPr>
        <w:pStyle w:val="Normal"/>
        <w:spacing w:lineRule="exact" w:line="399"/>
        <w:rPr>
          <w:rFonts w:ascii="Times New Roman" w:hAnsi="Times New Roman" w:eastAsia="Times New Roman" w:cs="Times New Roman"/>
          <w:color w:val="005766"/>
          <w:sz w:val="14"/>
        </w:rPr>
      </w:pPr>
      <w:r>
        <w:rPr>
          <w:rFonts w:eastAsia="Times New Roman" w:cs="Times New Roman" w:ascii="Times New Roman" w:hAnsi="Times New Roman"/>
          <w:color w:val="005766"/>
          <w:sz w:val="14"/>
        </w:rPr>
      </w:r>
    </w:p>
    <w:p>
      <w:pPr>
        <w:pStyle w:val="Normal"/>
        <w:spacing w:lineRule="auto" w:line="331"/>
        <w:ind w:start="420" w:end="120"/>
        <w:rPr/>
      </w:pPr>
      <w:r>
        <w:rPr>
          <w:rFonts w:eastAsia="Arial" w:cs="Arial" w:ascii="Arial" w:hAnsi="Arial"/>
          <w:sz w:val="17"/>
        </w:rPr>
        <w:t xml:space="preserve">Higher rates of housing turnover have been associated with periods of housing equity withdrawal, which indicates an excess of mortgage borrowing over new investment in housing, and was seen in Australia for much of the early to mid 2000s (Graph 9) (RBA 2003). This relationship occurs because a housing transaction typically involves the buyer taking on more debt to finance the purchase than the seller has outstanding against the property (Schwartz </w:t>
      </w:r>
      <w:r>
        <w:rPr>
          <w:rFonts w:eastAsia="Arial" w:cs="Arial" w:ascii="Arial" w:hAnsi="Arial"/>
          <w:i/>
          <w:sz w:val="17"/>
        </w:rPr>
        <w:t>et al</w:t>
      </w:r>
      <w:r>
        <w:rPr>
          <w:rFonts w:eastAsia="Arial" w:cs="Arial" w:ascii="Arial" w:hAnsi="Arial"/>
          <w:sz w:val="17"/>
        </w:rPr>
        <w:t xml:space="preserve"> 2006; Greenspan and Kennedy 2008; Reinold 2011).</w:t>
      </w:r>
      <w:r>
        <w:rPr>
          <w:rFonts w:eastAsia="Arial" w:cs="Arial" w:ascii="Arial" w:hAnsi="Arial"/>
          <w:sz w:val="10"/>
        </w:rPr>
        <w:t>13</w:t>
      </w:r>
      <w:r>
        <w:rPr>
          <w:rFonts w:eastAsia="Arial" w:cs="Arial" w:ascii="Arial" w:hAnsi="Arial"/>
          <w:sz w:val="17"/>
        </w:rPr>
        <w:t xml:space="preserve"> As a result, the current low level of the housing turnover rate might be expected to result in lower household leverage than otherwise.</w:t>
      </w:r>
      <w:r>
        <w:rPr>
          <w:rFonts w:eastAsia="Arial" w:cs="Arial" w:ascii="Arial" w:hAnsi="Arial"/>
          <w:sz w:val="10"/>
        </w:rPr>
        <w:t>14</w:t>
      </w:r>
    </w:p>
    <w:p>
      <w:pPr>
        <w:pStyle w:val="Normal"/>
        <w:spacing w:lineRule="exact" w:line="67"/>
        <w:rPr>
          <w:rFonts w:ascii="Times New Roman" w:hAnsi="Times New Roman" w:eastAsia="Times New Roman" w:cs="Times New Roman"/>
          <w:sz w:val="10"/>
        </w:rPr>
      </w:pPr>
      <w:r>
        <w:rPr>
          <w:rFonts w:eastAsia="Times New Roman" w:cs="Times New Roman" w:ascii="Times New Roman" w:hAnsi="Times New Roman"/>
          <w:sz w:val="10"/>
        </w:rPr>
      </w:r>
    </w:p>
    <w:p>
      <w:pPr>
        <w:pStyle w:val="Normal"/>
        <w:spacing w:lineRule="auto" w:line="338"/>
        <w:ind w:start="420" w:end="0"/>
        <w:rPr>
          <w:rFonts w:ascii="Arial" w:hAnsi="Arial" w:eastAsia="Arial" w:cs="Arial"/>
          <w:sz w:val="17"/>
        </w:rPr>
      </w:pPr>
      <w:r>
        <w:rPr>
          <w:rFonts w:eastAsia="Arial" w:cs="Arial" w:ascii="Arial" w:hAnsi="Arial"/>
          <w:sz w:val="17"/>
        </w:rPr>
        <w:t>Relatedly, lower rates of housing turnover will tend to increase the average age of housing loans and the level of mortgage buffers. Households with newer or larger mortgages have had less time to build up buffers, consistent</w:t>
      </w:r>
    </w:p>
    <w:p>
      <w:pPr>
        <w:pStyle w:val="Normal"/>
        <w:spacing w:lineRule="exact" w:line="159"/>
        <w:rPr>
          <w:rFonts w:ascii="Times New Roman" w:hAnsi="Times New Roman" w:eastAsia="Times New Roman" w:cs="Times New Roman"/>
          <w:sz w:val="17"/>
        </w:rPr>
      </w:pPr>
      <w:r>
        <w:rPr>
          <w:rFonts w:eastAsia="Times New Roman" w:cs="Times New Roman" w:ascii="Times New Roman" w:hAnsi="Times New Roman"/>
          <w:sz w:val="17"/>
        </w:rPr>
      </w:r>
    </w:p>
    <w:tbl>
      <w:tblPr>
        <w:tblW w:w="3840" w:type="dxa"/>
        <w:jc w:val="start"/>
        <w:tblInd w:w="280" w:type="dxa"/>
        <w:tblLayout w:type="fixed"/>
        <w:tblCellMar>
          <w:top w:w="0" w:type="dxa"/>
          <w:start w:w="0" w:type="dxa"/>
          <w:bottom w:w="0" w:type="dxa"/>
          <w:end w:w="0" w:type="dxa"/>
        </w:tblCellMar>
      </w:tblPr>
      <w:tblGrid>
        <w:gridCol w:w="180"/>
        <w:gridCol w:w="100"/>
        <w:gridCol w:w="320"/>
        <w:gridCol w:w="520"/>
        <w:gridCol w:w="680"/>
        <w:gridCol w:w="660"/>
        <w:gridCol w:w="780"/>
        <w:gridCol w:w="600"/>
      </w:tblGrid>
      <w:tr>
        <w:trPr>
          <w:trHeight w:val="255" w:hRule="atLeast"/>
        </w:trPr>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start="222" w:end="0"/>
              <w:jc w:val="center"/>
              <w:rPr>
                <w:rFonts w:ascii="Arial" w:hAnsi="Arial" w:eastAsia="Arial" w:cs="Arial"/>
                <w:b/>
              </w:rPr>
            </w:pPr>
            <w:r>
              <w:rPr>
                <w:rFonts w:eastAsia="Arial" w:cs="Arial" w:ascii="Arial" w:hAnsi="Arial"/>
                <w:b/>
              </w:rPr>
              <w:t>Graph 9</w:t>
            </w:r>
          </w:p>
        </w:tc>
        <w:tc>
          <w:tcPr>
            <w:tcW w:w="7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8" w:hRule="atLeast"/>
        </w:trPr>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40" w:type="dxa"/>
            <w:gridSpan w:val="4"/>
            <w:tcBorders/>
          </w:tcPr>
          <w:p>
            <w:pPr>
              <w:pStyle w:val="Normal"/>
              <w:spacing w:lineRule="atLeast" w:line="0"/>
              <w:jc w:val="center"/>
              <w:rPr>
                <w:rFonts w:ascii="Arial" w:hAnsi="Arial" w:eastAsia="Arial" w:cs="Arial"/>
                <w:b/>
                <w:sz w:val="18"/>
              </w:rPr>
            </w:pPr>
            <w:r>
              <w:rPr>
                <w:rFonts w:eastAsia="Arial" w:cs="Arial" w:ascii="Arial" w:hAnsi="Arial"/>
                <w:b/>
                <w:sz w:val="18"/>
              </w:rPr>
              <w:t>Housing Turnover Rate and</w:t>
            </w:r>
          </w:p>
        </w:tc>
        <w:tc>
          <w:tcPr>
            <w:tcW w:w="60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256" w:hRule="atLeast"/>
        </w:trPr>
        <w:tc>
          <w:tcPr>
            <w:tcW w:w="180" w:type="dxa"/>
            <w:vMerge w:val="restart"/>
            <w:tcBorders/>
          </w:tcPr>
          <w:p>
            <w:pPr>
              <w:pStyle w:val="Normal"/>
              <w:spacing w:lineRule="atLeast" w:line="0"/>
              <w:jc w:val="end"/>
              <w:rPr>
                <w:rFonts w:ascii="Arial" w:hAnsi="Arial" w:eastAsia="Arial" w:cs="Arial"/>
                <w:w w:val="86"/>
                <w:sz w:val="13"/>
              </w:rPr>
            </w:pPr>
            <w:r>
              <w:rPr>
                <w:rFonts w:eastAsia="Arial" w:cs="Arial" w:ascii="Arial" w:hAnsi="Arial"/>
                <w:w w:val="86"/>
                <w:sz w:val="13"/>
              </w:rPr>
              <w:t>%</w:t>
            </w:r>
          </w:p>
        </w:tc>
        <w:tc>
          <w:tcPr>
            <w:tcW w:w="100" w:type="dxa"/>
            <w:tcBorders/>
          </w:tcPr>
          <w:p>
            <w:pPr>
              <w:pStyle w:val="Normal"/>
              <w:snapToGrid w:val="false"/>
              <w:spacing w:lineRule="atLeast" w:line="0"/>
              <w:rPr>
                <w:rFonts w:ascii="Times New Roman" w:hAnsi="Times New Roman" w:eastAsia="Times New Roman" w:cs="Times New Roman"/>
                <w:w w:val="86"/>
                <w:sz w:val="22"/>
              </w:rPr>
            </w:pPr>
            <w:r>
              <w:rPr>
                <w:rFonts w:eastAsia="Times New Roman" w:cs="Times New Roman" w:ascii="Times New Roman" w:hAnsi="Times New Roman"/>
                <w:w w:val="86"/>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20" w:type="dxa"/>
            <w:gridSpan w:val="3"/>
            <w:tcBorders/>
          </w:tcPr>
          <w:p>
            <w:pPr>
              <w:pStyle w:val="Normal"/>
              <w:spacing w:lineRule="atLeast" w:line="0"/>
              <w:ind w:end="456"/>
              <w:jc w:val="center"/>
              <w:rPr>
                <w:rFonts w:ascii="Arial" w:hAnsi="Arial" w:eastAsia="Arial" w:cs="Arial"/>
                <w:b/>
                <w:sz w:val="18"/>
              </w:rPr>
            </w:pPr>
            <w:r>
              <w:rPr>
                <w:rFonts w:eastAsia="Arial" w:cs="Arial" w:ascii="Arial" w:hAnsi="Arial"/>
                <w:b/>
                <w:sz w:val="18"/>
              </w:rPr>
              <w:t>Equity Withdrawal</w:t>
            </w:r>
          </w:p>
        </w:tc>
        <w:tc>
          <w:tcPr>
            <w:tcW w:w="600" w:type="dxa"/>
            <w:vMerge w:val="restart"/>
            <w:tcBorders/>
          </w:tcPr>
          <w:p>
            <w:pPr>
              <w:pStyle w:val="Normal"/>
              <w:spacing w:lineRule="atLeast" w:line="0"/>
              <w:jc w:val="end"/>
              <w:rPr>
                <w:rFonts w:ascii="Arial" w:hAnsi="Arial" w:eastAsia="Arial" w:cs="Arial"/>
                <w:sz w:val="13"/>
              </w:rPr>
            </w:pPr>
            <w:r>
              <w:rPr>
                <w:rFonts w:eastAsia="Arial" w:cs="Arial" w:ascii="Arial" w:hAnsi="Arial"/>
                <w:sz w:val="13"/>
              </w:rPr>
              <w:t>%</w:t>
            </w:r>
          </w:p>
        </w:tc>
      </w:tr>
      <w:tr>
        <w:trPr>
          <w:trHeight w:val="145" w:hRule="atLeast"/>
        </w:trPr>
        <w:tc>
          <w:tcPr>
            <w:tcW w:w="1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82" w:hRule="atLeast"/>
        </w:trPr>
        <w:tc>
          <w:tcPr>
            <w:tcW w:w="180" w:type="dxa"/>
            <w:tcBorders/>
          </w:tcPr>
          <w:p>
            <w:pPr>
              <w:pStyle w:val="Normal"/>
              <w:spacing w:lineRule="atLeast" w:line="0"/>
              <w:jc w:val="end"/>
              <w:rPr>
                <w:rFonts w:ascii="Arial" w:hAnsi="Arial" w:eastAsia="Arial" w:cs="Arial"/>
                <w:sz w:val="13"/>
              </w:rPr>
            </w:pPr>
            <w:r>
              <w:rPr>
                <w:rFonts w:eastAsia="Arial" w:cs="Arial" w:ascii="Arial" w:hAnsi="Arial"/>
                <w:sz w:val="13"/>
              </w:rPr>
              <w:t>6</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vMerge w:val="restart"/>
            <w:tcBorders/>
          </w:tcPr>
          <w:p>
            <w:pPr>
              <w:pStyle w:val="Normal"/>
              <w:spacing w:lineRule="atLeast" w:line="0"/>
              <w:ind w:end="176"/>
              <w:jc w:val="center"/>
              <w:rPr>
                <w:rFonts w:ascii="Arial" w:hAnsi="Arial" w:eastAsia="Arial" w:cs="Arial"/>
                <w:color w:val="DD0C8B"/>
                <w:sz w:val="13"/>
              </w:rPr>
            </w:pPr>
            <w:r>
              <w:rPr>
                <w:rFonts w:eastAsia="Arial" w:cs="Arial" w:ascii="Arial" w:hAnsi="Arial"/>
                <w:color w:val="DD0C8B"/>
                <w:sz w:val="13"/>
              </w:rPr>
              <w:t>Housing</w:t>
            </w:r>
          </w:p>
        </w:tc>
        <w:tc>
          <w:tcPr>
            <w:tcW w:w="600" w:type="dxa"/>
            <w:tcBorders/>
          </w:tcPr>
          <w:p>
            <w:pPr>
              <w:pStyle w:val="Normal"/>
              <w:spacing w:lineRule="atLeast" w:line="0"/>
              <w:jc w:val="end"/>
              <w:rPr>
                <w:rFonts w:ascii="Arial" w:hAnsi="Arial" w:eastAsia="Arial" w:cs="Arial"/>
                <w:sz w:val="13"/>
              </w:rPr>
            </w:pPr>
            <w:r>
              <w:rPr>
                <w:rFonts w:eastAsia="Arial" w:cs="Arial" w:ascii="Arial" w:hAnsi="Arial"/>
                <w:sz w:val="13"/>
              </w:rPr>
              <w:t>8</w:t>
            </w:r>
          </w:p>
        </w:tc>
      </w:tr>
      <w:tr>
        <w:trPr>
          <w:trHeight w:val="59" w:hRule="atLeast"/>
        </w:trPr>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35" w:hRule="atLeast"/>
        </w:trPr>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40" w:type="dxa"/>
            <w:gridSpan w:val="2"/>
            <w:tcBorders/>
          </w:tcPr>
          <w:p>
            <w:pPr>
              <w:pStyle w:val="Normal"/>
              <w:spacing w:lineRule="exact" w:line="135"/>
              <w:ind w:start="376" w:end="0"/>
              <w:jc w:val="center"/>
              <w:rPr>
                <w:rFonts w:ascii="Arial" w:hAnsi="Arial" w:eastAsia="Arial" w:cs="Arial"/>
                <w:color w:val="DD0C8B"/>
                <w:sz w:val="13"/>
              </w:rPr>
            </w:pPr>
            <w:r>
              <w:rPr>
                <w:rFonts w:eastAsia="Arial" w:cs="Arial" w:ascii="Arial" w:hAnsi="Arial"/>
                <w:color w:val="DD0C8B"/>
                <w:sz w:val="13"/>
              </w:rPr>
              <w:t>turnover rate*</w:t>
            </w:r>
          </w:p>
        </w:tc>
        <w:tc>
          <w:tcPr>
            <w:tcW w:w="600" w:type="dxa"/>
            <w:tcBorders/>
          </w:tcPr>
          <w:p>
            <w:pPr>
              <w:pStyle w:val="Normal"/>
              <w:snapToGrid w:val="false"/>
              <w:spacing w:lineRule="atLeast" w:line="0"/>
              <w:rPr>
                <w:rFonts w:ascii="Times New Roman" w:hAnsi="Times New Roman" w:eastAsia="Times New Roman" w:cs="Times New Roman"/>
                <w:color w:val="DD0C8B"/>
                <w:sz w:val="11"/>
              </w:rPr>
            </w:pPr>
            <w:r>
              <w:rPr>
                <w:rFonts w:eastAsia="Times New Roman" w:cs="Times New Roman" w:ascii="Times New Roman" w:hAnsi="Times New Roman"/>
                <w:color w:val="DD0C8B"/>
                <w:sz w:val="11"/>
              </w:rPr>
            </w:r>
          </w:p>
        </w:tc>
      </w:tr>
      <w:tr>
        <w:trPr>
          <w:trHeight w:val="158" w:hRule="atLeast"/>
        </w:trPr>
        <w:tc>
          <w:tcPr>
            <w:tcW w:w="180" w:type="dxa"/>
            <w:vMerge w:val="restart"/>
            <w:tcBorders/>
          </w:tcPr>
          <w:p>
            <w:pPr>
              <w:pStyle w:val="Normal"/>
              <w:spacing w:lineRule="atLeast" w:line="0"/>
              <w:jc w:val="end"/>
              <w:rPr>
                <w:rFonts w:ascii="Arial" w:hAnsi="Arial" w:eastAsia="Arial" w:cs="Arial"/>
                <w:sz w:val="13"/>
              </w:rPr>
            </w:pPr>
            <w:r>
              <w:rPr>
                <w:rFonts w:eastAsia="Arial" w:cs="Arial" w:ascii="Arial" w:hAnsi="Arial"/>
                <w:sz w:val="13"/>
              </w:rPr>
              <w:t>3</w:t>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tcBorders/>
          </w:tcPr>
          <w:p>
            <w:pPr>
              <w:pStyle w:val="Normal"/>
              <w:spacing w:lineRule="atLeast" w:line="0"/>
              <w:ind w:end="176"/>
              <w:jc w:val="center"/>
              <w:rPr>
                <w:rFonts w:ascii="Arial" w:hAnsi="Arial" w:eastAsia="Arial" w:cs="Arial"/>
                <w:color w:val="DD0C8B"/>
                <w:sz w:val="12"/>
              </w:rPr>
            </w:pPr>
            <w:r>
              <w:rPr>
                <w:rFonts w:eastAsia="Arial" w:cs="Arial" w:ascii="Arial" w:hAnsi="Arial"/>
                <w:color w:val="DD0C8B"/>
                <w:sz w:val="12"/>
              </w:rPr>
              <w:t>(RHS)</w:t>
            </w:r>
          </w:p>
        </w:tc>
        <w:tc>
          <w:tcPr>
            <w:tcW w:w="600" w:type="dxa"/>
            <w:vMerge w:val="restart"/>
            <w:tcBorders/>
          </w:tcPr>
          <w:p>
            <w:pPr>
              <w:pStyle w:val="Normal"/>
              <w:spacing w:lineRule="atLeast" w:line="0"/>
              <w:jc w:val="end"/>
              <w:rPr>
                <w:rFonts w:ascii="Arial" w:hAnsi="Arial" w:eastAsia="Arial" w:cs="Arial"/>
                <w:sz w:val="13"/>
              </w:rPr>
            </w:pPr>
            <w:r>
              <w:rPr>
                <w:rFonts w:eastAsia="Arial" w:cs="Arial" w:ascii="Arial" w:hAnsi="Arial"/>
                <w:sz w:val="13"/>
              </w:rPr>
              <w:t>7</w:t>
            </w:r>
          </w:p>
        </w:tc>
      </w:tr>
      <w:tr>
        <w:trPr>
          <w:trHeight w:val="86" w:hRule="atLeast"/>
        </w:trPr>
        <w:tc>
          <w:tcPr>
            <w:tcW w:w="1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38" w:hRule="atLeast"/>
        </w:trPr>
        <w:tc>
          <w:tcPr>
            <w:tcW w:w="180" w:type="dxa"/>
            <w:tcBorders/>
          </w:tcPr>
          <w:p>
            <w:pPr>
              <w:pStyle w:val="Normal"/>
              <w:spacing w:lineRule="atLeast" w:line="0"/>
              <w:jc w:val="end"/>
              <w:rPr>
                <w:rFonts w:ascii="Arial" w:hAnsi="Arial" w:eastAsia="Arial" w:cs="Arial"/>
                <w:sz w:val="13"/>
              </w:rPr>
            </w:pPr>
            <w:r>
              <w:rPr>
                <w:rFonts w:eastAsia="Arial" w:cs="Arial" w:ascii="Arial" w:hAnsi="Arial"/>
                <w:sz w:val="13"/>
              </w:rPr>
              <w:t>0</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pacing w:lineRule="atLeast" w:line="0"/>
              <w:jc w:val="end"/>
              <w:rPr>
                <w:rFonts w:ascii="Arial" w:hAnsi="Arial" w:eastAsia="Arial" w:cs="Arial"/>
                <w:sz w:val="13"/>
              </w:rPr>
            </w:pPr>
            <w:r>
              <w:rPr>
                <w:rFonts w:eastAsia="Arial" w:cs="Arial" w:ascii="Arial" w:hAnsi="Arial"/>
                <w:sz w:val="13"/>
              </w:rPr>
              <w:t>6</w:t>
            </w:r>
          </w:p>
        </w:tc>
      </w:tr>
      <w:tr>
        <w:trPr>
          <w:trHeight w:val="438" w:hRule="atLeast"/>
        </w:trPr>
        <w:tc>
          <w:tcPr>
            <w:tcW w:w="180" w:type="dxa"/>
            <w:tcBorders/>
          </w:tcPr>
          <w:p>
            <w:pPr>
              <w:pStyle w:val="Normal"/>
              <w:spacing w:lineRule="atLeast" w:line="0"/>
              <w:jc w:val="end"/>
              <w:rPr>
                <w:rFonts w:ascii="Arial" w:hAnsi="Arial" w:eastAsia="Arial" w:cs="Arial"/>
                <w:w w:val="86"/>
                <w:sz w:val="13"/>
              </w:rPr>
            </w:pPr>
            <w:r>
              <w:rPr>
                <w:rFonts w:eastAsia="Arial" w:cs="Arial" w:ascii="Arial" w:hAnsi="Arial"/>
                <w:w w:val="86"/>
                <w:sz w:val="13"/>
              </w:rPr>
              <w:t>-3</w:t>
            </w:r>
          </w:p>
        </w:tc>
        <w:tc>
          <w:tcPr>
            <w:tcW w:w="100" w:type="dxa"/>
            <w:tcBorders/>
          </w:tcPr>
          <w:p>
            <w:pPr>
              <w:pStyle w:val="Normal"/>
              <w:snapToGrid w:val="false"/>
              <w:spacing w:lineRule="atLeast" w:line="0"/>
              <w:rPr>
                <w:rFonts w:ascii="Times New Roman" w:hAnsi="Times New Roman" w:eastAsia="Times New Roman" w:cs="Times New Roman"/>
                <w:w w:val="86"/>
                <w:sz w:val="24"/>
              </w:rPr>
            </w:pPr>
            <w:r>
              <w:rPr>
                <w:rFonts w:eastAsia="Times New Roman" w:cs="Times New Roman" w:ascii="Times New Roman" w:hAnsi="Times New Roman"/>
                <w:w w:val="86"/>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vMerge w:val="restart"/>
            <w:tcBorders/>
          </w:tcPr>
          <w:p>
            <w:pPr>
              <w:pStyle w:val="Normal"/>
              <w:spacing w:lineRule="atLeast" w:line="0"/>
              <w:ind w:start="302" w:end="0"/>
              <w:jc w:val="center"/>
              <w:rPr>
                <w:rFonts w:ascii="Arial" w:hAnsi="Arial" w:eastAsia="Arial" w:cs="Arial"/>
                <w:color w:val="5FAACD"/>
                <w:sz w:val="13"/>
              </w:rPr>
            </w:pPr>
            <w:r>
              <w:rPr>
                <w:rFonts w:eastAsia="Arial" w:cs="Arial" w:ascii="Arial" w:hAnsi="Arial"/>
                <w:color w:val="5FAACD"/>
                <w:sz w:val="13"/>
              </w:rPr>
              <w:t>Housing equity</w:t>
            </w:r>
          </w:p>
        </w:tc>
        <w:tc>
          <w:tcPr>
            <w:tcW w:w="780" w:type="dxa"/>
            <w:tcBorders/>
          </w:tcPr>
          <w:p>
            <w:pPr>
              <w:pStyle w:val="Normal"/>
              <w:snapToGrid w:val="false"/>
              <w:spacing w:lineRule="atLeast" w:line="0"/>
              <w:rPr>
                <w:rFonts w:ascii="Times New Roman" w:hAnsi="Times New Roman" w:eastAsia="Times New Roman" w:cs="Times New Roman"/>
                <w:color w:val="5FAACD"/>
                <w:sz w:val="24"/>
              </w:rPr>
            </w:pPr>
            <w:r>
              <w:rPr>
                <w:rFonts w:eastAsia="Times New Roman" w:cs="Times New Roman" w:ascii="Times New Roman" w:hAnsi="Times New Roman"/>
                <w:color w:val="5FAACD"/>
                <w:sz w:val="24"/>
              </w:rPr>
            </w:r>
          </w:p>
        </w:tc>
        <w:tc>
          <w:tcPr>
            <w:tcW w:w="600" w:type="dxa"/>
            <w:tcBorders/>
          </w:tcPr>
          <w:p>
            <w:pPr>
              <w:pStyle w:val="Normal"/>
              <w:spacing w:lineRule="atLeast" w:line="0"/>
              <w:jc w:val="end"/>
              <w:rPr>
                <w:rFonts w:ascii="Arial" w:hAnsi="Arial" w:eastAsia="Arial" w:cs="Arial"/>
                <w:sz w:val="13"/>
              </w:rPr>
            </w:pPr>
            <w:r>
              <w:rPr>
                <w:rFonts w:eastAsia="Arial" w:cs="Arial" w:ascii="Arial" w:hAnsi="Arial"/>
                <w:sz w:val="13"/>
              </w:rPr>
              <w:t>5</w:t>
            </w:r>
          </w:p>
        </w:tc>
      </w:tr>
      <w:tr>
        <w:trPr>
          <w:trHeight w:val="62" w:hRule="atLeast"/>
        </w:trPr>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33" w:hRule="atLeast"/>
        </w:trPr>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0" w:type="dxa"/>
            <w:gridSpan w:val="2"/>
            <w:tcBorders/>
          </w:tcPr>
          <w:p>
            <w:pPr>
              <w:pStyle w:val="Normal"/>
              <w:spacing w:lineRule="exact" w:line="133"/>
              <w:ind w:start="302" w:end="0"/>
              <w:jc w:val="center"/>
              <w:rPr>
                <w:rFonts w:ascii="Arial" w:hAnsi="Arial" w:eastAsia="Arial" w:cs="Arial"/>
                <w:color w:val="5FAACD"/>
                <w:sz w:val="13"/>
              </w:rPr>
            </w:pPr>
            <w:r>
              <w:rPr>
                <w:rFonts w:eastAsia="Arial" w:cs="Arial" w:ascii="Arial" w:hAnsi="Arial"/>
                <w:color w:val="5FAACD"/>
                <w:sz w:val="13"/>
              </w:rPr>
              <w:t>withdrawal**</w:t>
            </w:r>
          </w:p>
        </w:tc>
        <w:tc>
          <w:tcPr>
            <w:tcW w:w="780" w:type="dxa"/>
            <w:tcBorders/>
          </w:tcPr>
          <w:p>
            <w:pPr>
              <w:pStyle w:val="Normal"/>
              <w:snapToGrid w:val="false"/>
              <w:spacing w:lineRule="atLeast" w:line="0"/>
              <w:rPr>
                <w:rFonts w:ascii="Times New Roman" w:hAnsi="Times New Roman" w:eastAsia="Times New Roman" w:cs="Times New Roman"/>
                <w:color w:val="5FAACD"/>
                <w:sz w:val="11"/>
              </w:rPr>
            </w:pPr>
            <w:r>
              <w:rPr>
                <w:rFonts w:eastAsia="Times New Roman" w:cs="Times New Roman" w:ascii="Times New Roman" w:hAnsi="Times New Roman"/>
                <w:color w:val="5FAACD"/>
                <w:sz w:val="11"/>
              </w:rPr>
            </w:r>
          </w:p>
        </w:tc>
        <w:tc>
          <w:tcPr>
            <w:tcW w:w="6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58" w:hRule="atLeast"/>
        </w:trPr>
        <w:tc>
          <w:tcPr>
            <w:tcW w:w="180" w:type="dxa"/>
            <w:vMerge w:val="restart"/>
            <w:tcBorders/>
          </w:tcPr>
          <w:p>
            <w:pPr>
              <w:pStyle w:val="Normal"/>
              <w:spacing w:lineRule="atLeast" w:line="0"/>
              <w:jc w:val="end"/>
              <w:rPr>
                <w:rFonts w:ascii="Arial" w:hAnsi="Arial" w:eastAsia="Arial" w:cs="Arial"/>
                <w:w w:val="86"/>
                <w:sz w:val="13"/>
              </w:rPr>
            </w:pPr>
            <w:r>
              <w:rPr>
                <w:rFonts w:eastAsia="Arial" w:cs="Arial" w:ascii="Arial" w:hAnsi="Arial"/>
                <w:w w:val="86"/>
                <w:sz w:val="13"/>
              </w:rPr>
              <w:t>-6</w:t>
            </w:r>
          </w:p>
        </w:tc>
        <w:tc>
          <w:tcPr>
            <w:tcW w:w="100" w:type="dxa"/>
            <w:tcBorders/>
          </w:tcPr>
          <w:p>
            <w:pPr>
              <w:pStyle w:val="Normal"/>
              <w:snapToGrid w:val="false"/>
              <w:spacing w:lineRule="atLeast" w:line="0"/>
              <w:rPr>
                <w:rFonts w:ascii="Times New Roman" w:hAnsi="Times New Roman" w:eastAsia="Times New Roman" w:cs="Times New Roman"/>
                <w:w w:val="86"/>
                <w:sz w:val="13"/>
              </w:rPr>
            </w:pPr>
            <w:r>
              <w:rPr>
                <w:rFonts w:eastAsia="Times New Roman" w:cs="Times New Roman" w:ascii="Times New Roman" w:hAnsi="Times New Roman"/>
                <w:w w:val="86"/>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pacing w:lineRule="atLeast" w:line="0"/>
              <w:ind w:end="196"/>
              <w:jc w:val="center"/>
              <w:rPr>
                <w:rFonts w:ascii="Arial" w:hAnsi="Arial" w:eastAsia="Arial" w:cs="Arial"/>
                <w:color w:val="5FAACD"/>
                <w:sz w:val="12"/>
              </w:rPr>
            </w:pPr>
            <w:r>
              <w:rPr>
                <w:rFonts w:eastAsia="Arial" w:cs="Arial" w:ascii="Arial" w:hAnsi="Arial"/>
                <w:color w:val="5FAACD"/>
                <w:sz w:val="12"/>
              </w:rPr>
              <w:t>(LHS)</w:t>
            </w:r>
          </w:p>
        </w:tc>
        <w:tc>
          <w:tcPr>
            <w:tcW w:w="780" w:type="dxa"/>
            <w:tcBorders/>
          </w:tcPr>
          <w:p>
            <w:pPr>
              <w:pStyle w:val="Normal"/>
              <w:snapToGrid w:val="false"/>
              <w:spacing w:lineRule="atLeast" w:line="0"/>
              <w:rPr>
                <w:rFonts w:ascii="Times New Roman" w:hAnsi="Times New Roman" w:eastAsia="Times New Roman" w:cs="Times New Roman"/>
                <w:color w:val="5FAACD"/>
                <w:sz w:val="13"/>
              </w:rPr>
            </w:pPr>
            <w:r>
              <w:rPr>
                <w:rFonts w:eastAsia="Times New Roman" w:cs="Times New Roman" w:ascii="Times New Roman" w:hAnsi="Times New Roman"/>
                <w:color w:val="5FAACD"/>
                <w:sz w:val="13"/>
              </w:rPr>
            </w:r>
          </w:p>
        </w:tc>
        <w:tc>
          <w:tcPr>
            <w:tcW w:w="600" w:type="dxa"/>
            <w:vMerge w:val="restart"/>
            <w:tcBorders/>
          </w:tcPr>
          <w:p>
            <w:pPr>
              <w:pStyle w:val="Normal"/>
              <w:spacing w:lineRule="atLeast" w:line="0"/>
              <w:jc w:val="end"/>
              <w:rPr>
                <w:rFonts w:ascii="Arial" w:hAnsi="Arial" w:eastAsia="Arial" w:cs="Arial"/>
                <w:sz w:val="13"/>
              </w:rPr>
            </w:pPr>
            <w:r>
              <w:rPr>
                <w:rFonts w:eastAsia="Arial" w:cs="Arial" w:ascii="Arial" w:hAnsi="Arial"/>
                <w:sz w:val="13"/>
              </w:rPr>
              <w:t>4</w:t>
            </w:r>
          </w:p>
        </w:tc>
      </w:tr>
      <w:tr>
        <w:trPr>
          <w:trHeight w:val="85" w:hRule="atLeast"/>
        </w:trPr>
        <w:tc>
          <w:tcPr>
            <w:tcW w:w="1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524" w:hRule="atLeast"/>
        </w:trPr>
        <w:tc>
          <w:tcPr>
            <w:tcW w:w="180" w:type="dxa"/>
            <w:tcBorders/>
          </w:tcPr>
          <w:p>
            <w:pPr>
              <w:pStyle w:val="Normal"/>
              <w:spacing w:lineRule="atLeast" w:line="0"/>
              <w:jc w:val="end"/>
              <w:rPr>
                <w:rFonts w:ascii="Arial" w:hAnsi="Arial" w:eastAsia="Arial" w:cs="Arial"/>
                <w:w w:val="86"/>
                <w:sz w:val="13"/>
              </w:rPr>
            </w:pPr>
            <w:r>
              <w:rPr>
                <w:rFonts w:eastAsia="Arial" w:cs="Arial" w:ascii="Arial" w:hAnsi="Arial"/>
                <w:w w:val="86"/>
                <w:sz w:val="13"/>
              </w:rPr>
              <w:t>-9</w:t>
            </w:r>
          </w:p>
        </w:tc>
        <w:tc>
          <w:tcPr>
            <w:tcW w:w="420" w:type="dxa"/>
            <w:gridSpan w:val="2"/>
            <w:tcBorders/>
          </w:tcPr>
          <w:p>
            <w:pPr>
              <w:pStyle w:val="Normal"/>
              <w:spacing w:lineRule="atLeast" w:line="0"/>
              <w:ind w:end="67"/>
              <w:jc w:val="end"/>
              <w:rPr>
                <w:rFonts w:ascii="Arial" w:hAnsi="Arial" w:eastAsia="Arial" w:cs="Arial"/>
                <w:w w:val="96"/>
                <w:sz w:val="13"/>
              </w:rPr>
            </w:pPr>
            <w:r>
              <w:rPr>
                <w:rFonts w:eastAsia="Arial" w:cs="Arial" w:ascii="Arial" w:hAnsi="Arial"/>
                <w:w w:val="96"/>
                <w:sz w:val="13"/>
              </w:rPr>
              <w:t>1991</w:t>
            </w:r>
          </w:p>
        </w:tc>
        <w:tc>
          <w:tcPr>
            <w:tcW w:w="520" w:type="dxa"/>
            <w:tcBorders/>
          </w:tcPr>
          <w:p>
            <w:pPr>
              <w:pStyle w:val="Normal"/>
              <w:spacing w:lineRule="atLeast" w:line="0"/>
              <w:jc w:val="end"/>
              <w:rPr>
                <w:rFonts w:ascii="Arial" w:hAnsi="Arial" w:eastAsia="Arial" w:cs="Arial"/>
                <w:sz w:val="13"/>
              </w:rPr>
            </w:pPr>
            <w:r>
              <w:rPr>
                <w:rFonts w:eastAsia="Arial" w:cs="Arial" w:ascii="Arial" w:hAnsi="Arial"/>
                <w:sz w:val="13"/>
              </w:rPr>
              <w:t>1996</w:t>
            </w:r>
          </w:p>
        </w:tc>
        <w:tc>
          <w:tcPr>
            <w:tcW w:w="680" w:type="dxa"/>
            <w:tcBorders/>
          </w:tcPr>
          <w:p>
            <w:pPr>
              <w:pStyle w:val="Normal"/>
              <w:spacing w:lineRule="atLeast" w:line="0"/>
              <w:jc w:val="end"/>
              <w:rPr>
                <w:rFonts w:ascii="Arial" w:hAnsi="Arial" w:eastAsia="Arial" w:cs="Arial"/>
                <w:sz w:val="13"/>
              </w:rPr>
            </w:pPr>
            <w:r>
              <w:rPr>
                <w:rFonts w:eastAsia="Arial" w:cs="Arial" w:ascii="Arial" w:hAnsi="Arial"/>
                <w:sz w:val="13"/>
              </w:rPr>
              <w:t>2001</w:t>
            </w:r>
          </w:p>
        </w:tc>
        <w:tc>
          <w:tcPr>
            <w:tcW w:w="660" w:type="dxa"/>
            <w:tcBorders/>
          </w:tcPr>
          <w:p>
            <w:pPr>
              <w:pStyle w:val="Normal"/>
              <w:spacing w:lineRule="atLeast" w:line="0"/>
              <w:ind w:end="16"/>
              <w:jc w:val="end"/>
              <w:rPr>
                <w:rFonts w:ascii="Arial" w:hAnsi="Arial" w:eastAsia="Arial" w:cs="Arial"/>
                <w:sz w:val="13"/>
              </w:rPr>
            </w:pPr>
            <w:r>
              <w:rPr>
                <w:rFonts w:eastAsia="Arial" w:cs="Arial" w:ascii="Arial" w:hAnsi="Arial"/>
                <w:sz w:val="13"/>
              </w:rPr>
              <w:t>2006</w:t>
            </w:r>
          </w:p>
        </w:tc>
        <w:tc>
          <w:tcPr>
            <w:tcW w:w="780" w:type="dxa"/>
            <w:tcBorders/>
          </w:tcPr>
          <w:p>
            <w:pPr>
              <w:pStyle w:val="Normal"/>
              <w:spacing w:lineRule="atLeast" w:line="0"/>
              <w:ind w:end="156"/>
              <w:jc w:val="end"/>
              <w:rPr>
                <w:rFonts w:ascii="Arial" w:hAnsi="Arial" w:eastAsia="Arial" w:cs="Arial"/>
                <w:sz w:val="13"/>
              </w:rPr>
            </w:pPr>
            <w:r>
              <w:rPr>
                <w:rFonts w:eastAsia="Arial" w:cs="Arial" w:ascii="Arial" w:hAnsi="Arial"/>
                <w:sz w:val="13"/>
              </w:rPr>
              <w:t>2011</w:t>
            </w:r>
          </w:p>
        </w:tc>
        <w:tc>
          <w:tcPr>
            <w:tcW w:w="600" w:type="dxa"/>
            <w:tcBorders/>
          </w:tcPr>
          <w:p>
            <w:pPr>
              <w:pStyle w:val="Normal"/>
              <w:spacing w:lineRule="atLeast" w:line="0"/>
              <w:jc w:val="end"/>
              <w:rPr/>
            </w:pPr>
            <w:r>
              <w:rPr>
                <w:rFonts w:eastAsia="Arial" w:cs="Arial" w:ascii="Arial" w:hAnsi="Arial"/>
                <w:sz w:val="13"/>
              </w:rPr>
              <w:t>2016</w:t>
            </w:r>
            <w:r>
              <w:rPr>
                <w:rFonts w:eastAsia="Arial" w:cs="Arial" w:ascii="Arial" w:hAnsi="Arial"/>
                <w:sz w:val="26"/>
              </w:rPr>
              <w:t xml:space="preserve"> </w:t>
            </w:r>
            <w:r>
              <w:rPr>
                <w:rFonts w:eastAsia="Arial" w:cs="Arial" w:ascii="Arial" w:hAnsi="Arial"/>
                <w:sz w:val="26"/>
                <w:vertAlign w:val="superscript"/>
              </w:rPr>
              <w:t>3</w:t>
            </w:r>
          </w:p>
        </w:tc>
      </w:tr>
      <w:tr>
        <w:trPr>
          <w:trHeight w:val="200" w:hRule="atLeast"/>
        </w:trPr>
        <w:tc>
          <w:tcPr>
            <w:tcW w:w="180" w:type="dxa"/>
            <w:tcBorders/>
          </w:tcPr>
          <w:p>
            <w:pPr>
              <w:pStyle w:val="Normal"/>
              <w:spacing w:lineRule="atLeast" w:line="0"/>
              <w:ind w:start="120" w:end="0"/>
              <w:rPr>
                <w:rFonts w:ascii="Arial" w:hAnsi="Arial" w:eastAsia="Arial" w:cs="Arial"/>
                <w:w w:val="92"/>
                <w:sz w:val="11"/>
              </w:rPr>
            </w:pPr>
            <w:r>
              <w:rPr>
                <w:rFonts w:eastAsia="Arial" w:cs="Arial" w:ascii="Arial" w:hAnsi="Arial"/>
                <w:w w:val="92"/>
                <w:sz w:val="11"/>
              </w:rPr>
              <w:t>*</w:t>
            </w:r>
          </w:p>
        </w:tc>
        <w:tc>
          <w:tcPr>
            <w:tcW w:w="100" w:type="dxa"/>
            <w:tcBorders/>
          </w:tcPr>
          <w:p>
            <w:pPr>
              <w:pStyle w:val="Normal"/>
              <w:snapToGrid w:val="false"/>
              <w:spacing w:lineRule="atLeast" w:line="0"/>
              <w:rPr>
                <w:rFonts w:ascii="Times New Roman" w:hAnsi="Times New Roman" w:eastAsia="Times New Roman" w:cs="Times New Roman"/>
                <w:w w:val="92"/>
                <w:sz w:val="17"/>
              </w:rPr>
            </w:pPr>
            <w:r>
              <w:rPr>
                <w:rFonts w:eastAsia="Times New Roman" w:cs="Times New Roman" w:ascii="Times New Roman" w:hAnsi="Times New Roman"/>
                <w:w w:val="92"/>
                <w:sz w:val="17"/>
              </w:rPr>
            </w:r>
          </w:p>
        </w:tc>
        <w:tc>
          <w:tcPr>
            <w:tcW w:w="2180" w:type="dxa"/>
            <w:gridSpan w:val="4"/>
            <w:tcBorders/>
          </w:tcPr>
          <w:p>
            <w:pPr>
              <w:pStyle w:val="Normal"/>
              <w:spacing w:lineRule="atLeast" w:line="0"/>
              <w:ind w:start="80" w:end="0"/>
              <w:rPr>
                <w:rFonts w:ascii="Arial" w:hAnsi="Arial" w:eastAsia="Arial" w:cs="Arial"/>
                <w:sz w:val="11"/>
              </w:rPr>
            </w:pPr>
            <w:r>
              <w:rPr>
                <w:rFonts w:eastAsia="Arial" w:cs="Arial" w:ascii="Arial" w:hAnsi="Arial"/>
                <w:sz w:val="11"/>
              </w:rPr>
              <w:t>Annualised share of housing stock</w:t>
            </w:r>
          </w:p>
        </w:tc>
        <w:tc>
          <w:tcPr>
            <w:tcW w:w="7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2" w:hRule="atLeast"/>
        </w:trPr>
        <w:tc>
          <w:tcPr>
            <w:tcW w:w="280" w:type="dxa"/>
            <w:gridSpan w:val="2"/>
            <w:tcBorders/>
          </w:tcPr>
          <w:p>
            <w:pPr>
              <w:pStyle w:val="Normal"/>
              <w:spacing w:lineRule="atLeast" w:line="0"/>
              <w:ind w:start="120" w:end="0"/>
              <w:rPr>
                <w:rFonts w:ascii="Arial" w:hAnsi="Arial" w:eastAsia="Arial" w:cs="Arial"/>
                <w:sz w:val="11"/>
              </w:rPr>
            </w:pPr>
            <w:r>
              <w:rPr>
                <w:rFonts w:eastAsia="Arial" w:cs="Arial" w:ascii="Arial" w:hAnsi="Arial"/>
                <w:sz w:val="11"/>
              </w:rPr>
              <w:t>**</w:t>
            </w:r>
          </w:p>
        </w:tc>
        <w:tc>
          <w:tcPr>
            <w:tcW w:w="3560" w:type="dxa"/>
            <w:gridSpan w:val="6"/>
            <w:tcBorders/>
          </w:tcPr>
          <w:p>
            <w:pPr>
              <w:pStyle w:val="Normal"/>
              <w:spacing w:lineRule="atLeast" w:line="0"/>
              <w:ind w:start="80" w:end="0"/>
              <w:rPr>
                <w:rFonts w:ascii="Arial" w:hAnsi="Arial" w:eastAsia="Arial" w:cs="Arial"/>
                <w:sz w:val="11"/>
              </w:rPr>
            </w:pPr>
            <w:r>
              <w:rPr>
                <w:rFonts w:eastAsia="Arial" w:cs="Arial" w:ascii="Arial" w:hAnsi="Arial"/>
                <w:sz w:val="11"/>
              </w:rPr>
              <w:t>Share of household disposable income; excludes unincorporated</w:t>
            </w:r>
          </w:p>
        </w:tc>
      </w:tr>
    </w:tbl>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w:drawing>
          <wp:anchor behindDoc="1" distT="0" distB="0" distL="114935" distR="114935" simplePos="0" locked="0" layoutInCell="1" allowOverlap="1" relativeHeight="106">
            <wp:simplePos x="0" y="0"/>
            <wp:positionH relativeFrom="column">
              <wp:posOffset>263525</wp:posOffset>
            </wp:positionH>
            <wp:positionV relativeFrom="paragraph">
              <wp:posOffset>-2018665</wp:posOffset>
            </wp:positionV>
            <wp:extent cx="2266950" cy="1671320"/>
            <wp:effectExtent l="0" t="0" r="0" b="0"/>
            <wp:wrapNone/>
            <wp:docPr id="105"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9" descr="" title=""/>
                    <pic:cNvPicPr>
                      <a:picLocks noChangeAspect="1" noChangeArrowheads="1"/>
                    </pic:cNvPicPr>
                  </pic:nvPicPr>
                  <pic:blipFill>
                    <a:blip r:embed="rId10"/>
                    <a:srcRect l="-8" t="-11" r="-8" b="-11"/>
                    <a:stretch>
                      <a:fillRect/>
                    </a:stretch>
                  </pic:blipFill>
                  <pic:spPr bwMode="auto">
                    <a:xfrm>
                      <a:off x="0" y="0"/>
                      <a:ext cx="2266950" cy="1671320"/>
                    </a:xfrm>
                    <a:prstGeom prst="rect">
                      <a:avLst/>
                    </a:prstGeom>
                  </pic:spPr>
                </pic:pic>
              </a:graphicData>
            </a:graphic>
          </wp:anchor>
        </w:drawing>
      </w:r>
    </w:p>
    <w:p>
      <w:pPr>
        <w:pStyle w:val="Normal"/>
        <w:spacing w:lineRule="auto" w:line="381"/>
        <w:ind w:firstLine="232" w:start="400" w:end="960"/>
        <w:rPr>
          <w:rFonts w:ascii="Arial" w:hAnsi="Arial" w:eastAsia="Arial" w:cs="Arial"/>
          <w:sz w:val="10"/>
        </w:rPr>
      </w:pPr>
      <w:r>
        <w:rPr>
          <w:rFonts w:eastAsia="Arial" w:cs="Arial" w:ascii="Arial" w:hAnsi="Arial"/>
          <w:sz w:val="10"/>
        </w:rPr>
        <w:t>enterprises; before the deduction of interest payments Sources: ABS; Australian Treasury; CoreLogic; RBA</w:t>
      </w:r>
    </w:p>
    <w:p>
      <w:pPr>
        <w:pStyle w:val="Normal"/>
        <w:spacing w:lineRule="exact" w:line="20"/>
        <w:rPr>
          <w:rFonts w:ascii="Times New Roman" w:hAnsi="Times New Roman" w:eastAsia="Times New Roman" w:cs="Times New Roman"/>
          <w:sz w:val="10"/>
        </w:rPr>
      </w:pPr>
      <w:r>
        <w:rPr>
          <w:rFonts w:eastAsia="Times New Roman" w:cs="Times New Roman" w:ascii="Times New Roman" w:hAnsi="Times New Roman"/>
          <w:sz w:val="10"/>
        </w:rPr>
        <mc:AlternateContent>
          <mc:Choice Requires="wps">
            <w:drawing>
              <wp:anchor behindDoc="1" distT="0" distB="0" distL="114935" distR="114935" simplePos="0" locked="0" layoutInCell="1" allowOverlap="1" relativeHeight="107">
                <wp:simplePos x="0" y="0"/>
                <wp:positionH relativeFrom="column">
                  <wp:posOffset>266700</wp:posOffset>
                </wp:positionH>
                <wp:positionV relativeFrom="paragraph">
                  <wp:posOffset>186690</wp:posOffset>
                </wp:positionV>
                <wp:extent cx="2376170" cy="0"/>
                <wp:effectExtent l="0" t="1905" r="0" b="1905"/>
                <wp:wrapNone/>
                <wp:docPr id="106" name=""/>
                <a:graphic xmlns:a="http://schemas.openxmlformats.org/drawingml/2006/main">
                  <a:graphicData uri="http://schemas.microsoft.com/office/word/2010/wordprocessingShape">
                    <wps:wsp>
                      <wps:cNvSpPr/>
                      <wps:spPr>
                        <a:xfrm>
                          <a:off x="0" y="0"/>
                          <a:ext cx="2376000" cy="0"/>
                        </a:xfrm>
                        <a:prstGeom prst="line">
                          <a:avLst/>
                        </a:prstGeom>
                        <a:ln w="3960">
                          <a:solidFill>
                            <a:srgbClr val="a2948f"/>
                          </a:solidFill>
                          <a:miter/>
                        </a:ln>
                      </wps:spPr>
                      <wps:style>
                        <a:lnRef idx="0"/>
                        <a:fillRef idx="0"/>
                        <a:effectRef idx="0"/>
                        <a:fontRef idx="minor"/>
                      </wps:style>
                      <wps:bodyPr/>
                    </wps:wsp>
                  </a:graphicData>
                </a:graphic>
              </wp:anchor>
            </w:drawing>
          </mc:Choice>
          <mc:Fallback>
            <w:pict>
              <v:line id="shape_0" from="21pt,14.7pt" to="208.05pt,14.7pt" stroked="t" o:allowincell="f" style="position:absolute">
                <v:stroke color="#a2948f" weight="3960" joinstyle="miter" endcap="flat"/>
                <v:fill o:detectmouseclick="t" on="false"/>
                <w10:wrap type="none"/>
              </v:line>
            </w:pict>
          </mc:Fallback>
        </mc:AlternateContent>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600" w:leader="none"/>
        </w:tabs>
        <w:spacing w:lineRule="auto" w:line="290"/>
        <w:ind w:hanging="180" w:start="600" w:end="320"/>
        <w:jc w:val="both"/>
        <w:rPr>
          <w:rFonts w:ascii="Arial" w:hAnsi="Arial" w:eastAsia="Arial" w:cs="Arial"/>
          <w:sz w:val="13"/>
        </w:rPr>
      </w:pPr>
      <w:r>
        <w:rPr>
          <w:rFonts w:eastAsia="Arial" w:cs="Arial" w:ascii="Arial" w:hAnsi="Arial"/>
          <w:sz w:val="13"/>
        </w:rPr>
        <w:t>Examples where this is especially the case would be when the transaction involves last-time sellers such as retirees or people moving overseas.</w:t>
      </w:r>
    </w:p>
    <w:p>
      <w:pPr>
        <w:pStyle w:val="Normal"/>
        <w:spacing w:lineRule="exact" w:line="51"/>
        <w:rPr>
          <w:rFonts w:ascii="Arial" w:hAnsi="Arial" w:eastAsia="Arial" w:cs="Arial"/>
          <w:sz w:val="13"/>
        </w:rPr>
      </w:pPr>
      <w:r>
        <w:rPr>
          <w:rFonts w:eastAsia="Arial" w:cs="Arial" w:ascii="Arial" w:hAnsi="Arial"/>
          <w:sz w:val="13"/>
        </w:rPr>
      </w:r>
    </w:p>
    <w:p>
      <w:pPr>
        <w:pStyle w:val="Normal"/>
        <w:numPr>
          <w:ilvl w:val="0"/>
          <w:numId w:val="11"/>
        </w:numPr>
        <w:tabs>
          <w:tab w:val="clear" w:pos="720"/>
          <w:tab w:val="left" w:pos="600" w:leader="none"/>
        </w:tabs>
        <w:spacing w:lineRule="auto" w:line="290"/>
        <w:ind w:hanging="180" w:start="600" w:end="0"/>
        <w:rPr>
          <w:rFonts w:ascii="Arial" w:hAnsi="Arial" w:eastAsia="Arial" w:cs="Arial"/>
          <w:sz w:val="13"/>
        </w:rPr>
      </w:pPr>
      <w:r>
        <w:rPr>
          <w:rFonts w:eastAsia="Arial" w:cs="Arial" w:ascii="Arial" w:hAnsi="Arial"/>
          <w:sz w:val="13"/>
        </w:rPr>
        <w:t xml:space="preserve">While lower housing equity withdrawal can reduce funds available for consumption, research suggests that this effect has been small in Australia (Schwartz </w:t>
      </w:r>
      <w:r>
        <w:rPr>
          <w:rFonts w:eastAsia="Arial" w:cs="Arial" w:ascii="Arial" w:hAnsi="Arial"/>
          <w:i/>
          <w:sz w:val="13"/>
        </w:rPr>
        <w:t>et al</w:t>
      </w:r>
      <w:r>
        <w:rPr>
          <w:rFonts w:eastAsia="Arial" w:cs="Arial" w:ascii="Arial" w:hAnsi="Arial"/>
          <w:sz w:val="13"/>
        </w:rPr>
        <w:t xml:space="preserve"> 2006).</w:t>
      </w:r>
    </w:p>
    <w:p>
      <w:pPr>
        <w:pStyle w:val="Normal"/>
        <w:spacing w:lineRule="exact" w:line="200"/>
        <w:rPr>
          <w:rFonts w:ascii="Times New Roman" w:hAnsi="Times New Roman" w:eastAsia="Times New Roman" w:cs="Times New Roman"/>
          <w:sz w:val="13"/>
        </w:rPr>
      </w:pPr>
      <w:r>
        <w:br w:type="column"/>
      </w:r>
      <w:r>
        <w:rPr>
          <w:rFonts w:eastAsia="Times New Roman" w:cs="Times New Roman" w:ascii="Times New Roman" w:hAnsi="Times New Roman"/>
          <w:sz w:val="13"/>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6"/>
        <w:rPr>
          <w:rFonts w:ascii="Arial" w:hAnsi="Arial" w:eastAsia="Arial" w:cs="Arial"/>
          <w:sz w:val="17"/>
        </w:rPr>
      </w:pPr>
      <w:r>
        <w:rPr>
          <w:rFonts w:eastAsia="Arial" w:cs="Arial" w:ascii="Arial" w:hAnsi="Arial"/>
          <w:sz w:val="17"/>
        </w:rPr>
        <w:t>with data from the HILDA Survey which show that borrowers with small or no buffers tend to be younger or have more recently taken out their loan (RBA 2012). Those households with large mortgage buffers tend to be older, suggesting they have had time to accumulate these.</w:t>
      </w:r>
    </w:p>
    <w:p>
      <w:pPr>
        <w:pStyle w:val="Normal"/>
        <w:spacing w:lineRule="exact" w:line="18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color w:val="005766"/>
          <w:sz w:val="26"/>
        </w:rPr>
      </w:pPr>
      <w:r>
        <w:rPr>
          <w:rFonts w:eastAsia="Arial" w:cs="Arial" w:ascii="Arial" w:hAnsi="Arial"/>
          <w:color w:val="005766"/>
          <w:sz w:val="26"/>
        </w:rPr>
        <w:t>Conclusion</w:t>
      </w:r>
    </w:p>
    <w:p>
      <w:pPr>
        <w:pStyle w:val="Normal"/>
        <w:spacing w:lineRule="exact" w:line="126"/>
        <w:rPr>
          <w:rFonts w:ascii="Times New Roman" w:hAnsi="Times New Roman" w:eastAsia="Times New Roman" w:cs="Times New Roman"/>
          <w:color w:val="005766"/>
          <w:sz w:val="26"/>
        </w:rPr>
      </w:pPr>
      <w:r>
        <w:rPr>
          <w:rFonts w:eastAsia="Times New Roman" w:cs="Times New Roman" w:ascii="Times New Roman" w:hAnsi="Times New Roman"/>
          <w:color w:val="005766"/>
          <w:sz w:val="26"/>
        </w:rPr>
      </w:r>
    </w:p>
    <w:p>
      <w:pPr>
        <w:pStyle w:val="Normal"/>
        <w:spacing w:lineRule="auto" w:line="314"/>
        <w:ind w:end="20"/>
        <w:rPr>
          <w:rFonts w:ascii="Arial" w:hAnsi="Arial" w:eastAsia="Arial" w:cs="Arial"/>
          <w:sz w:val="18"/>
        </w:rPr>
      </w:pPr>
      <w:r>
        <w:rPr>
          <w:rFonts w:eastAsia="Arial" w:cs="Arial" w:ascii="Arial" w:hAnsi="Arial"/>
          <w:sz w:val="18"/>
        </w:rPr>
        <w:t>The housing turnover rate has trended lower since the early 2000s. One contributing factor we highlight in this article is a lower propensity for households to move home. Among the potential reasons for this could be lower rates of home ownership, particularly for younger households, and migration trends.</w:t>
      </w:r>
    </w:p>
    <w:p>
      <w:pPr>
        <w:pStyle w:val="Normal"/>
        <w:spacing w:lineRule="exact" w:line="6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28"/>
        <w:ind w:end="120"/>
        <w:rPr>
          <w:rFonts w:ascii="Arial" w:hAnsi="Arial" w:eastAsia="Arial" w:cs="Arial"/>
          <w:sz w:val="17"/>
        </w:rPr>
      </w:pPr>
      <w:r>
        <w:rPr>
          <w:rFonts w:eastAsia="Arial" w:cs="Arial" w:ascii="Arial" w:hAnsi="Arial"/>
          <w:sz w:val="17"/>
        </w:rPr>
        <w:t>More recently, the sharp increase in off-the-plan sales of new apartments, which are difficult</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55"/>
        <w:ind w:end="100"/>
        <w:rPr/>
      </w:pPr>
      <w:r>
        <w:rPr>
          <w:rFonts w:eastAsia="Arial" w:cs="Arial" w:ascii="Arial" w:hAnsi="Arial"/>
          <w:sz w:val="16"/>
        </w:rPr>
        <w:t>to measure in a timely manner, suggests that reported housing turnover is likely to be understated. Given the significant settlement lags associated with these sales, the relationship between housing turnover and credit growth also appears to have weakened. Nevertheless, the longer-run decline in the rate of housing turnover suggests that housing-related activity could make a smaller direct contribution to aggregate economic activity in the future, and may also lead to lower household leverage and higher mortgage buffers.</w:t>
      </w:r>
      <w:r>
        <w:rPr>
          <w:rFonts w:eastAsia="Arial" w:cs="Arial" w:ascii="Arial" w:hAnsi="Arial"/>
          <w:sz w:val="11"/>
        </w:rPr>
        <w:t xml:space="preserve"> R</w:t>
      </w:r>
    </w:p>
    <w:p>
      <w:pPr>
        <w:sectPr>
          <w:type w:val="nextPage"/>
          <w:pgSz w:w="9978" w:h="14173"/>
          <w:pgMar w:left="600" w:right="1138" w:gutter="0" w:header="0" w:top="822" w:footer="0" w:bottom="0"/>
          <w:pgNumType w:fmt="decimal"/>
          <w:cols w:num="2" w:equalWidth="false" w:sep="false">
            <w:col w:w="4120" w:space="380"/>
            <w:col w:w="37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00" w:leader="none"/>
        </w:tabs>
        <w:spacing w:lineRule="atLeast" w:line="0"/>
        <w:rPr/>
      </w:pPr>
      <w:r>
        <w:rPr>
          <w:rFonts w:eastAsia="Arial" w:cs="Arial" w:ascii="Arial" w:hAnsi="Arial"/>
          <w:b/>
          <w:sz w:val="16"/>
        </w:rPr>
        <w:t>2 8</w:t>
      </w:r>
      <w:r>
        <w:rPr>
          <w:rFonts w:eastAsia="Times New Roman" w:cs="Times New Roman" w:ascii="Times New Roman" w:hAnsi="Times New Roman"/>
        </w:rPr>
        <w:tab/>
      </w:r>
      <w:r>
        <w:rPr>
          <w:rFonts w:eastAsia="Arial" w:cs="Arial" w:ascii="Arial" w:hAnsi="Arial"/>
          <w:sz w:val="14"/>
        </w:rPr>
        <w:t>RESERVE BANK OF AUSTRALIA</w:t>
      </w:r>
    </w:p>
    <w:p>
      <w:pPr>
        <w:sectPr>
          <w:type w:val="continuous"/>
          <w:pgSz w:w="9978" w:h="14173"/>
          <w:pgMar w:left="600" w:right="1138" w:gutter="0" w:header="0" w:top="822" w:footer="0" w:bottom="0"/>
          <w:formProt w:val="false"/>
          <w:textDirection w:val="lrTb"/>
          <w:docGrid w:type="default" w:linePitch="360" w:charSpace="0"/>
        </w:sectPr>
      </w:pPr>
    </w:p>
    <w:p>
      <w:pPr>
        <w:pStyle w:val="Normal"/>
        <w:spacing w:lineRule="atLeast" w:line="0"/>
        <w:ind w:end="440"/>
        <w:jc w:val="end"/>
        <w:rPr>
          <w:rFonts w:ascii="Arial" w:hAnsi="Arial" w:eastAsia="Arial" w:cs="Arial"/>
          <w:color w:val="005766"/>
          <w:sz w:val="14"/>
        </w:rPr>
      </w:pPr>
      <w:bookmarkStart w:id="12" w:name="page9"/>
      <w:bookmarkEnd w:id="12"/>
      <w:r>
        <w:rPr>
          <w:rFonts w:eastAsia="Arial" w:cs="Arial" w:ascii="Arial" w:hAnsi="Arial"/>
          <w:color w:val="005766"/>
          <w:sz w:val="14"/>
        </w:rPr>
        <w:t>HOUSING MARKET TURNOVER</w:t>
      </w:r>
    </w:p>
    <w:p>
      <w:pPr>
        <w:pStyle w:val="Normal"/>
        <w:spacing w:lineRule="exact" w:line="20"/>
        <w:rPr>
          <w:rFonts w:ascii="Times New Roman" w:hAnsi="Times New Roman" w:eastAsia="Times New Roman" w:cs="Times New Roman"/>
          <w:color w:val="005766"/>
          <w:sz w:val="14"/>
        </w:rPr>
      </w:pPr>
      <w:r>
        <w:rPr>
          <w:rFonts w:eastAsia="Times New Roman" w:cs="Times New Roman" w:ascii="Times New Roman" w:hAnsi="Times New Roman"/>
          <w:color w:val="005766"/>
          <w:sz w:val="14"/>
        </w:rPr>
        <w:drawing>
          <wp:anchor behindDoc="1" distT="0" distB="0" distL="114935" distR="114935" simplePos="0" locked="0" layoutInCell="1" allowOverlap="1" relativeHeight="108">
            <wp:simplePos x="0" y="0"/>
            <wp:positionH relativeFrom="column">
              <wp:posOffset>-723265</wp:posOffset>
            </wp:positionH>
            <wp:positionV relativeFrom="paragraph">
              <wp:posOffset>275590</wp:posOffset>
            </wp:positionV>
            <wp:extent cx="5885815" cy="7397750"/>
            <wp:effectExtent l="0" t="0" r="0" b="0"/>
            <wp:wrapNone/>
            <wp:docPr id="107"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10" descr="" title=""/>
                    <pic:cNvPicPr>
                      <a:picLocks noChangeAspect="1" noChangeArrowheads="1"/>
                    </pic:cNvPicPr>
                  </pic:nvPicPr>
                  <pic:blipFill>
                    <a:blip r:embed="rId11"/>
                    <a:srcRect l="-3" t="-2" r="-3" b="-2"/>
                    <a:stretch>
                      <a:fillRect/>
                    </a:stretch>
                  </pic:blipFill>
                  <pic:spPr bwMode="auto">
                    <a:xfrm>
                      <a:off x="0" y="0"/>
                      <a:ext cx="5885815" cy="73977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color w:val="001134"/>
          <w:sz w:val="28"/>
        </w:rPr>
      </w:pPr>
      <w:r>
        <w:rPr>
          <w:rFonts w:eastAsia="Times New Roman" w:cs="Times New Roman" w:ascii="Times New Roman" w:hAnsi="Times New Roman"/>
          <w:color w:val="001134"/>
          <w:sz w:val="28"/>
        </w:rPr>
        <w:t>Box A</w:t>
      </w:r>
    </w:p>
    <w:p>
      <w:pPr>
        <w:pStyle w:val="Normal"/>
        <w:spacing w:lineRule="exact" w:line="27"/>
        <w:rPr>
          <w:rFonts w:ascii="Times New Roman" w:hAnsi="Times New Roman" w:eastAsia="Times New Roman" w:cs="Times New Roman"/>
          <w:color w:val="001134"/>
          <w:sz w:val="28"/>
        </w:rPr>
      </w:pPr>
      <w:r>
        <w:rPr>
          <w:rFonts w:eastAsia="Times New Roman" w:cs="Times New Roman" w:ascii="Times New Roman" w:hAnsi="Times New Roman"/>
          <w:color w:val="001134"/>
          <w:sz w:val="28"/>
        </w:rPr>
      </w:r>
    </w:p>
    <w:p>
      <w:pPr>
        <w:pStyle w:val="Normal"/>
        <w:spacing w:lineRule="auto" w:line="240"/>
        <w:ind w:end="2420"/>
        <w:rPr>
          <w:rFonts w:ascii="Times New Roman" w:hAnsi="Times New Roman" w:eastAsia="Times New Roman" w:cs="Times New Roman"/>
          <w:color w:val="001134"/>
          <w:sz w:val="44"/>
        </w:rPr>
      </w:pPr>
      <w:r>
        <w:rPr>
          <w:rFonts w:eastAsia="Times New Roman" w:cs="Times New Roman" w:ascii="Times New Roman" w:hAnsi="Times New Roman"/>
          <w:color w:val="001134"/>
          <w:sz w:val="44"/>
        </w:rPr>
        <w:t>Housing Market Turnover and Housing Finance</w:t>
      </w:r>
    </w:p>
    <w:p>
      <w:pPr>
        <w:sectPr>
          <w:type w:val="nextPage"/>
          <w:pgSz w:w="9978" w:h="14173"/>
          <w:pgMar w:left="1140" w:right="578" w:gutter="0" w:header="0" w:top="822"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001134"/>
          <w:sz w:val="44"/>
        </w:rPr>
      </w:pPr>
      <w:r>
        <w:rPr>
          <w:rFonts w:eastAsia="Times New Roman" w:cs="Times New Roman" w:ascii="Times New Roman" w:hAnsi="Times New Roman"/>
          <w:color w:val="001134"/>
          <w:sz w:val="44"/>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1"/>
        <w:ind w:end="20"/>
        <w:rPr>
          <w:rFonts w:ascii="Arial" w:hAnsi="Arial" w:eastAsia="Arial" w:cs="Arial"/>
          <w:sz w:val="17"/>
        </w:rPr>
      </w:pPr>
      <w:r>
        <w:rPr>
          <w:rFonts w:eastAsia="Arial" w:cs="Arial" w:ascii="Arial" w:hAnsi="Arial"/>
          <w:sz w:val="17"/>
        </w:rPr>
        <w:t>There is a close relationship between housing market turnover and the total amount borrowed to purchase residential property. The amount borrowed as a proportion of the value of the property is known as the loan-to-valuation ratio (LVR). The total value of funds borrowed from financial intermediaries, or housing loan approvals, is equal to the amount borrowed on all housing transactions, including both existing housing and new housing completions. This differs from the measures of turnover described earlier, since the finance to purchase an off-the-plan property is only given final approval when construction nears completion, rather than when construction is approved. This means that the finance for off-the-plan housing occurs two or three years after the sale.</w:t>
      </w:r>
    </w:p>
    <w:p>
      <w:pPr>
        <w:pStyle w:val="Normal"/>
        <w:spacing w:lineRule="exact" w:line="6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33"/>
        <w:rPr>
          <w:rFonts w:ascii="Arial" w:hAnsi="Arial" w:eastAsia="Arial" w:cs="Arial"/>
          <w:sz w:val="17"/>
        </w:rPr>
      </w:pPr>
      <w:r>
        <w:rPr>
          <w:rFonts w:eastAsia="Arial" w:cs="Arial" w:ascii="Arial" w:hAnsi="Arial"/>
          <w:sz w:val="17"/>
        </w:rPr>
        <w:t>Housing loan approvals are related to changes in housing prices, the LVR, turnover of the existing housing stock and housing completions. For example, if housing prices rise, households have to borrow more to afford a given property, assuming an unchanged LVR. Higher LVRs increase total loan approvals because a greater proportion of each housing transaction is financed with debt. An increase in turnover of the existing housing stock or completions of new housing means that there is typically an increase in the number of households taking out new debt, since the majority of housing transactions require debt financing.</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1"/>
        <w:ind w:start="40" w:end="440"/>
        <w:rPr/>
      </w:pPr>
      <w:r>
        <w:rPr>
          <w:rFonts w:eastAsia="Arial" w:cs="Arial" w:ascii="Arial" w:hAnsi="Arial"/>
          <w:sz w:val="17"/>
        </w:rPr>
        <w:t>Decomposing the change in total housing loan approvals into contributions from these elements allows a more detailed analysis of the drivers of housing finance (although it should be noted that this analysis reflects co-movement, rather than a causality of the relationship in a specific direction).</w:t>
      </w:r>
      <w:r>
        <w:rPr>
          <w:rFonts w:eastAsia="Arial" w:cs="Arial" w:ascii="Arial" w:hAnsi="Arial"/>
          <w:sz w:val="10"/>
        </w:rPr>
        <w:t>1</w:t>
      </w:r>
      <w:r>
        <w:rPr>
          <w:rFonts w:eastAsia="Arial" w:cs="Arial" w:ascii="Arial" w:hAnsi="Arial"/>
          <w:sz w:val="17"/>
        </w:rPr>
        <w:t xml:space="preserve"> This shows that, for Australia, turnover of existing housing has been an important driver of trends in loan approvals since 2009 (Graph A1). Over the past two years, its contribution to new housing finance has been declining. Over the same period, housing prices have been making a large contribution to growth in housing finance. The decline in turnover of existing housing goes some way to explaining why housing credit growth has been relatively muted, despite rapidly rising housing prices.</w:t>
      </w:r>
    </w:p>
    <w:p>
      <w:pPr>
        <w:pStyle w:val="Normal"/>
        <w:spacing w:lineRule="exact" w:line="14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240"/>
        <w:jc w:val="center"/>
        <w:rPr>
          <w:rFonts w:ascii="Arial" w:hAnsi="Arial" w:eastAsia="Arial" w:cs="Arial"/>
          <w:b/>
        </w:rPr>
      </w:pPr>
      <w:r>
        <w:rPr>
          <w:rFonts w:eastAsia="Arial" w:cs="Arial" w:ascii="Arial" w:hAnsi="Arial"/>
          <w:b/>
        </w:rPr>
        <w:t>Graph A1</w:t>
      </w:r>
    </w:p>
    <w:p>
      <w:pPr>
        <w:pStyle w:val="Normal"/>
        <w:spacing w:lineRule="exact" w:line="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00" w:end="0"/>
        <w:rPr>
          <w:rFonts w:ascii="Arial" w:hAnsi="Arial" w:eastAsia="Arial" w:cs="Arial"/>
          <w:b/>
          <w:sz w:val="18"/>
        </w:rPr>
      </w:pPr>
      <w:r>
        <w:rPr>
          <w:rFonts w:eastAsia="Arial" w:cs="Arial" w:ascii="Arial" w:hAnsi="Arial"/>
          <w:b/>
          <w:sz w:val="18"/>
        </w:rPr>
        <w:t>Cumulative Change in Loan Approvals</w:t>
      </w:r>
    </w:p>
    <w:p>
      <w:pPr>
        <w:pStyle w:val="Normal"/>
        <w:spacing w:lineRule="exact" w:line="11"/>
        <w:rPr>
          <w:rFonts w:ascii="Times New Roman" w:hAnsi="Times New Roman" w:eastAsia="Times New Roman" w:cs="Times New Roman"/>
          <w:b/>
          <w:sz w:val="18"/>
        </w:rPr>
      </w:pPr>
      <w:r>
        <w:rPr>
          <w:rFonts w:eastAsia="Times New Roman" w:cs="Times New Roman" w:ascii="Times New Roman" w:hAnsi="Times New Roman"/>
          <w:b/>
          <w:sz w:val="18"/>
        </w:rPr>
      </w:r>
    </w:p>
    <w:tbl>
      <w:tblPr>
        <w:tblW w:w="3900" w:type="dxa"/>
        <w:jc w:val="start"/>
        <w:tblInd w:w="40" w:type="dxa"/>
        <w:tblLayout w:type="fixed"/>
        <w:tblCellMar>
          <w:top w:w="0" w:type="dxa"/>
          <w:start w:w="0" w:type="dxa"/>
          <w:bottom w:w="0" w:type="dxa"/>
          <w:end w:w="0" w:type="dxa"/>
        </w:tblCellMar>
      </w:tblPr>
      <w:tblGrid>
        <w:gridCol w:w="200"/>
        <w:gridCol w:w="3700"/>
      </w:tblGrid>
      <w:tr>
        <w:trPr>
          <w:trHeight w:val="155" w:hRule="atLeast"/>
        </w:trPr>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00" w:type="dxa"/>
            <w:tcBorders/>
          </w:tcPr>
          <w:p>
            <w:pPr>
              <w:pStyle w:val="Normal"/>
              <w:spacing w:lineRule="atLeast" w:line="0"/>
              <w:ind w:start="1220" w:end="0"/>
              <w:rPr>
                <w:rFonts w:ascii="Arial" w:hAnsi="Arial" w:eastAsia="Arial" w:cs="Arial"/>
                <w:sz w:val="13"/>
              </w:rPr>
            </w:pPr>
            <w:r>
              <w:rPr>
                <w:rFonts w:eastAsia="Arial" w:cs="Arial" w:ascii="Arial" w:hAnsi="Arial"/>
                <w:sz w:val="13"/>
              </w:rPr>
              <w:t>Since March 2009</w:t>
            </w:r>
          </w:p>
        </w:tc>
      </w:tr>
      <w:tr>
        <w:trPr>
          <w:trHeight w:val="175" w:hRule="atLeast"/>
        </w:trPr>
        <w:tc>
          <w:tcPr>
            <w:tcW w:w="200" w:type="dxa"/>
            <w:tcBorders/>
          </w:tcPr>
          <w:p>
            <w:pPr>
              <w:pStyle w:val="Normal"/>
              <w:spacing w:lineRule="atLeast" w:line="0"/>
              <w:rPr>
                <w:rFonts w:ascii="Arial" w:hAnsi="Arial" w:eastAsia="Arial" w:cs="Arial"/>
                <w:sz w:val="13"/>
              </w:rPr>
            </w:pPr>
            <w:r>
              <w:rPr>
                <w:rFonts w:eastAsia="Arial" w:cs="Arial" w:ascii="Arial" w:hAnsi="Arial"/>
                <w:sz w:val="13"/>
              </w:rPr>
              <w:t>$b</w:t>
            </w:r>
          </w:p>
        </w:tc>
        <w:tc>
          <w:tcPr>
            <w:tcW w:w="3700" w:type="dxa"/>
            <w:tcBorders/>
          </w:tcPr>
          <w:p>
            <w:pPr>
              <w:pStyle w:val="Normal"/>
              <w:spacing w:lineRule="atLeast" w:line="0"/>
              <w:ind w:start="3560" w:end="0"/>
              <w:rPr>
                <w:rFonts w:ascii="Arial" w:hAnsi="Arial" w:eastAsia="Arial" w:cs="Arial"/>
                <w:w w:val="82"/>
                <w:sz w:val="13"/>
              </w:rPr>
            </w:pPr>
            <w:r>
              <w:rPr>
                <w:rFonts w:eastAsia="Arial" w:cs="Arial" w:ascii="Arial" w:hAnsi="Arial"/>
                <w:w w:val="82"/>
                <w:sz w:val="13"/>
              </w:rPr>
              <w:t>$b</w:t>
            </w:r>
          </w:p>
        </w:tc>
      </w:tr>
      <w:tr>
        <w:trPr>
          <w:trHeight w:val="257" w:hRule="atLeast"/>
        </w:trPr>
        <w:tc>
          <w:tcPr>
            <w:tcW w:w="200" w:type="dxa"/>
            <w:tcBorders/>
          </w:tcPr>
          <w:p>
            <w:pPr>
              <w:pStyle w:val="Normal"/>
              <w:snapToGrid w:val="false"/>
              <w:spacing w:lineRule="atLeast" w:line="0"/>
              <w:rPr>
                <w:rFonts w:ascii="Times New Roman" w:hAnsi="Times New Roman" w:eastAsia="Times New Roman" w:cs="Times New Roman"/>
                <w:w w:val="82"/>
                <w:sz w:val="22"/>
              </w:rPr>
            </w:pPr>
            <w:r>
              <w:rPr>
                <w:rFonts w:eastAsia="Times New Roman" w:cs="Times New Roman" w:ascii="Times New Roman" w:hAnsi="Times New Roman"/>
                <w:w w:val="82"/>
                <w:sz w:val="22"/>
              </w:rPr>
            </w:r>
          </w:p>
        </w:tc>
        <w:tc>
          <w:tcPr>
            <w:tcW w:w="3700" w:type="dxa"/>
            <w:tcBorders/>
          </w:tcPr>
          <w:p>
            <w:pPr>
              <w:pStyle w:val="Normal"/>
              <w:spacing w:lineRule="atLeast" w:line="0"/>
              <w:ind w:start="1860" w:end="0"/>
              <w:rPr>
                <w:rFonts w:ascii="Arial" w:hAnsi="Arial" w:eastAsia="Arial" w:cs="Arial"/>
                <w:sz w:val="13"/>
              </w:rPr>
            </w:pPr>
            <w:r>
              <w:rPr>
                <w:rFonts w:eastAsia="Arial" w:cs="Arial" w:ascii="Arial" w:hAnsi="Arial"/>
                <w:sz w:val="13"/>
              </w:rPr>
              <w:t>Total approvals</w:t>
            </w:r>
          </w:p>
        </w:tc>
      </w:tr>
      <w:tr>
        <w:trPr>
          <w:trHeight w:val="219" w:hRule="atLeast"/>
        </w:trPr>
        <w:tc>
          <w:tcPr>
            <w:tcW w:w="200" w:type="dxa"/>
            <w:tcBorders/>
          </w:tcPr>
          <w:p>
            <w:pPr>
              <w:pStyle w:val="Normal"/>
              <w:spacing w:lineRule="atLeast" w:line="0"/>
              <w:rPr>
                <w:rFonts w:ascii="Arial" w:hAnsi="Arial" w:eastAsia="Arial" w:cs="Arial"/>
                <w:sz w:val="13"/>
              </w:rPr>
            </w:pPr>
            <w:r>
              <w:rPr>
                <w:rFonts w:eastAsia="Arial" w:cs="Arial" w:ascii="Arial" w:hAnsi="Arial"/>
                <w:sz w:val="13"/>
              </w:rPr>
              <w:t>30</w:t>
            </w:r>
          </w:p>
        </w:tc>
        <w:tc>
          <w:tcPr>
            <w:tcW w:w="3700" w:type="dxa"/>
            <w:tcBorders/>
          </w:tcPr>
          <w:p>
            <w:pPr>
              <w:pStyle w:val="Normal"/>
              <w:spacing w:lineRule="atLeast" w:line="0"/>
              <w:ind w:start="3560" w:end="0"/>
              <w:rPr>
                <w:rFonts w:ascii="Arial" w:hAnsi="Arial" w:eastAsia="Arial" w:cs="Arial"/>
                <w:w w:val="82"/>
                <w:sz w:val="13"/>
              </w:rPr>
            </w:pPr>
            <w:r>
              <w:rPr>
                <w:rFonts w:eastAsia="Arial" w:cs="Arial" w:ascii="Arial" w:hAnsi="Arial"/>
                <w:w w:val="82"/>
                <w:sz w:val="13"/>
              </w:rPr>
              <w:t>30</w:t>
            </w:r>
          </w:p>
        </w:tc>
      </w:tr>
      <w:tr>
        <w:trPr>
          <w:trHeight w:val="215" w:hRule="atLeast"/>
        </w:trPr>
        <w:tc>
          <w:tcPr>
            <w:tcW w:w="200" w:type="dxa"/>
            <w:tcBorders/>
          </w:tcPr>
          <w:p>
            <w:pPr>
              <w:pStyle w:val="Normal"/>
              <w:snapToGrid w:val="false"/>
              <w:spacing w:lineRule="atLeast" w:line="0"/>
              <w:rPr>
                <w:rFonts w:ascii="Times New Roman" w:hAnsi="Times New Roman" w:eastAsia="Times New Roman" w:cs="Times New Roman"/>
                <w:w w:val="82"/>
                <w:sz w:val="18"/>
              </w:rPr>
            </w:pPr>
            <w:r>
              <w:rPr>
                <w:rFonts w:eastAsia="Times New Roman" w:cs="Times New Roman" w:ascii="Times New Roman" w:hAnsi="Times New Roman"/>
                <w:w w:val="82"/>
                <w:sz w:val="18"/>
              </w:rPr>
            </w:r>
          </w:p>
        </w:tc>
        <w:tc>
          <w:tcPr>
            <w:tcW w:w="3700" w:type="dxa"/>
            <w:tcBorders/>
          </w:tcPr>
          <w:p>
            <w:pPr>
              <w:pStyle w:val="Normal"/>
              <w:spacing w:lineRule="atLeast" w:line="0"/>
              <w:ind w:end="2294"/>
              <w:jc w:val="center"/>
              <w:rPr>
                <w:rFonts w:ascii="Arial" w:hAnsi="Arial" w:eastAsia="Arial" w:cs="Arial"/>
                <w:color w:val="3E8CC1"/>
                <w:sz w:val="13"/>
              </w:rPr>
            </w:pPr>
            <w:r>
              <w:rPr>
                <w:rFonts w:eastAsia="Arial" w:cs="Arial" w:ascii="Arial" w:hAnsi="Arial"/>
                <w:color w:val="3E8CC1"/>
                <w:sz w:val="13"/>
              </w:rPr>
              <w:t>Number of existing</w:t>
            </w:r>
          </w:p>
        </w:tc>
      </w:tr>
      <w:tr>
        <w:trPr>
          <w:trHeight w:val="135" w:hRule="atLeast"/>
        </w:trPr>
        <w:tc>
          <w:tcPr>
            <w:tcW w:w="200" w:type="dxa"/>
            <w:vMerge w:val="restart"/>
            <w:tcBorders/>
          </w:tcPr>
          <w:p>
            <w:pPr>
              <w:pStyle w:val="Normal"/>
              <w:spacing w:lineRule="atLeast" w:line="0"/>
              <w:rPr>
                <w:rFonts w:ascii="Arial" w:hAnsi="Arial" w:eastAsia="Arial" w:cs="Arial"/>
                <w:sz w:val="13"/>
              </w:rPr>
            </w:pPr>
            <w:r>
              <w:rPr>
                <w:rFonts w:eastAsia="Arial" w:cs="Arial" w:ascii="Arial" w:hAnsi="Arial"/>
                <w:sz w:val="13"/>
              </w:rPr>
              <w:t>20</w:t>
            </w:r>
          </w:p>
        </w:tc>
        <w:tc>
          <w:tcPr>
            <w:tcW w:w="3700" w:type="dxa"/>
            <w:tcBorders/>
          </w:tcPr>
          <w:p>
            <w:pPr>
              <w:pStyle w:val="Normal"/>
              <w:spacing w:lineRule="exact" w:line="136"/>
              <w:ind w:end="2314"/>
              <w:jc w:val="center"/>
              <w:rPr>
                <w:rFonts w:ascii="Arial" w:hAnsi="Arial" w:eastAsia="Arial" w:cs="Arial"/>
                <w:color w:val="3E8CC1"/>
                <w:sz w:val="13"/>
              </w:rPr>
            </w:pPr>
            <w:r>
              <w:rPr>
                <w:rFonts w:eastAsia="Arial" w:cs="Arial" w:ascii="Arial" w:hAnsi="Arial"/>
                <w:color w:val="3E8CC1"/>
                <w:sz w:val="13"/>
              </w:rPr>
              <w:t>housing transactions</w:t>
            </w:r>
          </w:p>
        </w:tc>
      </w:tr>
      <w:tr>
        <w:trPr>
          <w:trHeight w:val="175" w:hRule="atLeast"/>
        </w:trPr>
        <w:tc>
          <w:tcPr>
            <w:tcW w:w="200" w:type="dxa"/>
            <w:vMerge w:val="continue"/>
            <w:tcBorders/>
          </w:tcPr>
          <w:p>
            <w:pPr>
              <w:pStyle w:val="Normal"/>
              <w:snapToGrid w:val="false"/>
              <w:spacing w:lineRule="atLeast" w:line="0"/>
              <w:rPr>
                <w:rFonts w:ascii="Times New Roman" w:hAnsi="Times New Roman" w:eastAsia="Times New Roman" w:cs="Times New Roman"/>
                <w:color w:val="3E8CC1"/>
                <w:sz w:val="15"/>
              </w:rPr>
            </w:pPr>
            <w:r>
              <w:rPr>
                <w:rFonts w:eastAsia="Times New Roman" w:cs="Times New Roman" w:ascii="Times New Roman" w:hAnsi="Times New Roman"/>
                <w:color w:val="3E8CC1"/>
                <w:sz w:val="15"/>
              </w:rPr>
            </w:r>
          </w:p>
        </w:tc>
        <w:tc>
          <w:tcPr>
            <w:tcW w:w="3700" w:type="dxa"/>
            <w:tcBorders/>
          </w:tcPr>
          <w:p>
            <w:pPr>
              <w:pStyle w:val="Normal"/>
              <w:spacing w:lineRule="atLeast" w:line="0"/>
              <w:ind w:start="3560" w:end="0"/>
              <w:rPr>
                <w:rFonts w:ascii="Arial" w:hAnsi="Arial" w:eastAsia="Arial" w:cs="Arial"/>
                <w:w w:val="82"/>
                <w:sz w:val="13"/>
              </w:rPr>
            </w:pPr>
            <w:r>
              <w:rPr>
                <w:rFonts w:eastAsia="Arial" w:cs="Arial" w:ascii="Arial" w:hAnsi="Arial"/>
                <w:w w:val="82"/>
                <w:sz w:val="13"/>
              </w:rPr>
              <w:t>20</w:t>
            </w:r>
          </w:p>
        </w:tc>
      </w:tr>
    </w:tbl>
    <w:p>
      <w:pPr>
        <w:pStyle w:val="Normal"/>
        <w:spacing w:lineRule="exact" w:line="114"/>
        <w:rPr>
          <w:rFonts w:ascii="Times New Roman" w:hAnsi="Times New Roman" w:eastAsia="Times New Roman" w:cs="Times New Roman"/>
        </w:rPr>
      </w:pPr>
      <w:r>
        <w:rPr>
          <w:rFonts w:eastAsia="Times New Roman" w:cs="Times New Roman" w:ascii="Times New Roman" w:hAnsi="Times New Roman"/>
        </w:rPr>
      </w:r>
    </w:p>
    <w:tbl>
      <w:tblPr>
        <w:tblW w:w="3980" w:type="dxa"/>
        <w:jc w:val="start"/>
        <w:tblInd w:w="0" w:type="dxa"/>
        <w:tblLayout w:type="fixed"/>
        <w:tblCellMar>
          <w:top w:w="0" w:type="dxa"/>
          <w:start w:w="0" w:type="dxa"/>
          <w:bottom w:w="0" w:type="dxa"/>
          <w:end w:w="0" w:type="dxa"/>
        </w:tblCellMar>
      </w:tblPr>
      <w:tblGrid>
        <w:gridCol w:w="40"/>
        <w:gridCol w:w="160"/>
        <w:gridCol w:w="1120"/>
        <w:gridCol w:w="900"/>
        <w:gridCol w:w="660"/>
        <w:gridCol w:w="220"/>
        <w:gridCol w:w="680"/>
        <w:gridCol w:w="160"/>
        <w:gridCol w:w="40"/>
      </w:tblGrid>
      <w:tr>
        <w:trPr>
          <w:trHeight w:val="175" w:hRule="atLeast"/>
        </w:trPr>
        <w:tc>
          <w:tcPr>
            <w:tcW w:w="40" w:type="dxa"/>
            <w:tcBorders/>
          </w:tcPr>
          <w:p>
            <w:pPr>
              <w:pStyle w:val="TableHeading"/>
              <w:rPr/>
            </w:pPr>
            <w:r>
              <w:rPr/>
            </w:r>
          </w:p>
        </w:tc>
        <w:tc>
          <w:tcPr>
            <w:tcW w:w="2840" w:type="dxa"/>
            <w:gridSpan w:val="4"/>
            <w:tcBorders/>
          </w:tcPr>
          <w:p>
            <w:pPr>
              <w:pStyle w:val="Normal"/>
              <w:spacing w:lineRule="atLeast" w:line="0"/>
              <w:ind w:end="954"/>
              <w:jc w:val="end"/>
              <w:rPr>
                <w:rFonts w:ascii="Arial" w:hAnsi="Arial" w:eastAsia="Arial" w:cs="Arial"/>
                <w:color w:val="FC7F27"/>
                <w:sz w:val="13"/>
              </w:rPr>
            </w:pPr>
            <w:r>
              <w:rPr>
                <w:rFonts w:eastAsia="Arial" w:cs="Arial" w:ascii="Arial" w:hAnsi="Arial"/>
                <w:color w:val="FC7F27"/>
                <w:sz w:val="13"/>
              </w:rPr>
              <w:t>Housing prices</w:t>
            </w:r>
          </w:p>
        </w:tc>
        <w:tc>
          <w:tcPr>
            <w:tcW w:w="1060" w:type="dxa"/>
            <w:gridSpan w:val="3"/>
            <w:tcBorders/>
          </w:tcPr>
          <w:p>
            <w:pPr>
              <w:pStyle w:val="Normal"/>
              <w:snapToGrid w:val="false"/>
              <w:spacing w:lineRule="atLeast" w:line="0"/>
              <w:rPr>
                <w:rFonts w:ascii="Times New Roman" w:hAnsi="Times New Roman" w:eastAsia="Times New Roman" w:cs="Times New Roman"/>
                <w:color w:val="FC7F27"/>
                <w:sz w:val="15"/>
              </w:rPr>
            </w:pPr>
            <w:r>
              <w:rPr>
                <w:rFonts w:eastAsia="Times New Roman" w:cs="Times New Roman" w:ascii="Times New Roman" w:hAnsi="Times New Roman"/>
                <w:color w:val="FC7F27"/>
                <w:sz w:val="15"/>
              </w:rPr>
            </w:r>
          </w:p>
        </w:tc>
        <w:tc>
          <w:tcPr>
            <w:tcW w:w="40" w:type="dxa"/>
            <w:tcBorders/>
          </w:tcPr>
          <w:p>
            <w:pPr>
              <w:pStyle w:val="Normal"/>
              <w:snapToGrid w:val="false"/>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36" w:hRule="atLeast"/>
        </w:trPr>
        <w:tc>
          <w:tcPr>
            <w:tcW w:w="40" w:type="dxa"/>
            <w:tcBorders/>
          </w:tcPr>
          <w:p>
            <w:pPr>
              <w:pStyle w:val="TableContents"/>
              <w:rPr>
                <w:rFonts w:ascii="Times New Roman" w:hAnsi="Times New Roman" w:eastAsia="Times New Roman" w:cs="Times New Roman"/>
                <w:sz w:val="15"/>
              </w:rPr>
            </w:pPr>
            <w:r>
              <w:rPr>
                <w:rFonts w:eastAsia="Times New Roman" w:cs="Times New Roman" w:ascii="Times New Roman" w:hAnsi="Times New Roman"/>
                <w:sz w:val="15"/>
              </w:rPr>
            </w:r>
          </w:p>
        </w:tc>
        <w:tc>
          <w:tcPr>
            <w:tcW w:w="2840" w:type="dxa"/>
            <w:gridSpan w:val="4"/>
            <w:tcBorders/>
          </w:tcPr>
          <w:p>
            <w:pPr>
              <w:pStyle w:val="Normal"/>
              <w:spacing w:lineRule="atLeast" w:line="0"/>
              <w:ind w:end="2614"/>
              <w:jc w:val="end"/>
              <w:rPr>
                <w:rFonts w:ascii="Arial" w:hAnsi="Arial" w:eastAsia="Arial" w:cs="Arial"/>
                <w:w w:val="96"/>
                <w:sz w:val="13"/>
              </w:rPr>
            </w:pPr>
            <w:r>
              <w:rPr>
                <w:rFonts w:eastAsia="Arial" w:cs="Arial" w:ascii="Arial" w:hAnsi="Arial"/>
                <w:w w:val="96"/>
                <w:sz w:val="13"/>
              </w:rPr>
              <w:t>10</w:t>
            </w:r>
          </w:p>
        </w:tc>
        <w:tc>
          <w:tcPr>
            <w:tcW w:w="1060" w:type="dxa"/>
            <w:gridSpan w:val="3"/>
            <w:tcBorders/>
          </w:tcPr>
          <w:p>
            <w:pPr>
              <w:pStyle w:val="Normal"/>
              <w:spacing w:lineRule="atLeast" w:line="0"/>
              <w:ind w:start="920" w:end="0"/>
              <w:rPr>
                <w:rFonts w:ascii="Arial" w:hAnsi="Arial" w:eastAsia="Arial" w:cs="Arial"/>
                <w:w w:val="82"/>
                <w:sz w:val="13"/>
              </w:rPr>
            </w:pPr>
            <w:r>
              <w:rPr>
                <w:rFonts w:eastAsia="Arial" w:cs="Arial" w:ascii="Arial" w:hAnsi="Arial"/>
                <w:w w:val="82"/>
                <w:sz w:val="13"/>
              </w:rPr>
              <w:t>10</w:t>
            </w:r>
          </w:p>
        </w:tc>
        <w:tc>
          <w:tcPr>
            <w:tcW w:w="40" w:type="dxa"/>
            <w:tcBorders/>
          </w:tcPr>
          <w:p>
            <w:pPr>
              <w:pStyle w:val="Normal"/>
              <w:snapToGrid w:val="false"/>
              <w:rPr>
                <w:rFonts w:ascii="Arial" w:hAnsi="Arial" w:eastAsia="Arial" w:cs="Arial"/>
                <w:w w:val="82"/>
                <w:sz w:val="13"/>
              </w:rPr>
            </w:pPr>
            <w:r>
              <w:rPr>
                <w:rFonts w:eastAsia="Arial" w:cs="Arial" w:ascii="Arial" w:hAnsi="Arial"/>
                <w:w w:val="82"/>
                <w:sz w:val="13"/>
              </w:rPr>
            </w:r>
          </w:p>
        </w:tc>
      </w:tr>
      <w:tr>
        <w:trPr>
          <w:trHeight w:val="525" w:hRule="atLeast"/>
        </w:trPr>
        <w:tc>
          <w:tcPr>
            <w:tcW w:w="40" w:type="dxa"/>
            <w:tcBorders/>
          </w:tcPr>
          <w:p>
            <w:pPr>
              <w:pStyle w:val="TableContents"/>
              <w:rPr>
                <w:rFonts w:ascii="Arial" w:hAnsi="Arial" w:eastAsia="Arial" w:cs="Arial"/>
                <w:w w:val="82"/>
                <w:sz w:val="13"/>
              </w:rPr>
            </w:pPr>
            <w:r>
              <w:rPr>
                <w:rFonts w:eastAsia="Arial" w:cs="Arial" w:ascii="Arial" w:hAnsi="Arial"/>
                <w:w w:val="82"/>
                <w:sz w:val="13"/>
              </w:rPr>
            </w:r>
          </w:p>
        </w:tc>
        <w:tc>
          <w:tcPr>
            <w:tcW w:w="2840" w:type="dxa"/>
            <w:gridSpan w:val="4"/>
            <w:tcBorders/>
          </w:tcPr>
          <w:p>
            <w:pPr>
              <w:pStyle w:val="Normal"/>
              <w:spacing w:lineRule="atLeast" w:line="0"/>
              <w:ind w:end="2614"/>
              <w:jc w:val="end"/>
              <w:rPr>
                <w:rFonts w:ascii="Arial" w:hAnsi="Arial" w:eastAsia="Arial" w:cs="Arial"/>
                <w:sz w:val="13"/>
              </w:rPr>
            </w:pPr>
            <w:r>
              <w:rPr>
                <w:rFonts w:eastAsia="Arial" w:cs="Arial" w:ascii="Arial" w:hAnsi="Arial"/>
                <w:sz w:val="13"/>
              </w:rPr>
              <w:t>0</w:t>
            </w:r>
          </w:p>
        </w:tc>
        <w:tc>
          <w:tcPr>
            <w:tcW w:w="1060" w:type="dxa"/>
            <w:gridSpan w:val="3"/>
            <w:tcBorders/>
          </w:tcPr>
          <w:p>
            <w:pPr>
              <w:pStyle w:val="Normal"/>
              <w:spacing w:lineRule="atLeast" w:line="0"/>
              <w:ind w:start="920" w:end="0"/>
              <w:rPr>
                <w:rFonts w:ascii="Arial" w:hAnsi="Arial" w:eastAsia="Arial" w:cs="Arial"/>
                <w:sz w:val="13"/>
              </w:rPr>
            </w:pPr>
            <w:r>
              <w:rPr>
                <w:rFonts w:eastAsia="Arial" w:cs="Arial" w:ascii="Arial" w:hAnsi="Arial"/>
                <w:sz w:val="13"/>
              </w:rPr>
              <w:t>0</w:t>
            </w:r>
          </w:p>
        </w:tc>
        <w:tc>
          <w:tcPr>
            <w:tcW w:w="40" w:type="dxa"/>
            <w:tcBorders/>
          </w:tcPr>
          <w:p>
            <w:pPr>
              <w:pStyle w:val="Normal"/>
              <w:snapToGrid w:val="false"/>
              <w:rPr>
                <w:rFonts w:ascii="Arial" w:hAnsi="Arial" w:eastAsia="Arial" w:cs="Arial"/>
                <w:sz w:val="13"/>
              </w:rPr>
            </w:pPr>
            <w:r>
              <w:rPr>
                <w:rFonts w:eastAsia="Arial" w:cs="Arial" w:ascii="Arial" w:hAnsi="Arial"/>
                <w:sz w:val="13"/>
              </w:rPr>
            </w:r>
          </w:p>
        </w:tc>
      </w:tr>
      <w:tr>
        <w:trPr>
          <w:trHeight w:val="206" w:hRule="atLeast"/>
        </w:trPr>
        <w:tc>
          <w:tcPr>
            <w:tcW w:w="40" w:type="dxa"/>
            <w:tcBorders/>
          </w:tcPr>
          <w:p>
            <w:pPr>
              <w:pStyle w:val="TableContents"/>
              <w:rPr>
                <w:rFonts w:ascii="Arial" w:hAnsi="Arial" w:eastAsia="Arial" w:cs="Arial"/>
                <w:sz w:val="13"/>
              </w:rPr>
            </w:pPr>
            <w:r>
              <w:rPr>
                <w:rFonts w:eastAsia="Arial" w:cs="Arial" w:ascii="Arial" w:hAnsi="Arial"/>
                <w:sz w:val="13"/>
              </w:rPr>
            </w:r>
          </w:p>
        </w:tc>
        <w:tc>
          <w:tcPr>
            <w:tcW w:w="2840" w:type="dxa"/>
            <w:gridSpan w:val="4"/>
            <w:tcBorders/>
          </w:tcPr>
          <w:p>
            <w:pPr>
              <w:pStyle w:val="Normal"/>
              <w:spacing w:lineRule="atLeast" w:line="0"/>
              <w:ind w:end="194"/>
              <w:jc w:val="end"/>
              <w:rPr>
                <w:rFonts w:ascii="Arial" w:hAnsi="Arial" w:eastAsia="Arial" w:cs="Arial"/>
                <w:color w:val="000026"/>
                <w:sz w:val="13"/>
              </w:rPr>
            </w:pPr>
            <w:r>
              <w:rPr>
                <w:rFonts w:eastAsia="Arial" w:cs="Arial" w:ascii="Arial" w:hAnsi="Arial"/>
                <w:color w:val="000026"/>
                <w:sz w:val="13"/>
              </w:rPr>
              <w:t>Number of new</w:t>
            </w:r>
          </w:p>
        </w:tc>
        <w:tc>
          <w:tcPr>
            <w:tcW w:w="1060" w:type="dxa"/>
            <w:gridSpan w:val="3"/>
            <w:tcBorders/>
          </w:tcPr>
          <w:p>
            <w:pPr>
              <w:pStyle w:val="Normal"/>
              <w:spacing w:lineRule="atLeast" w:line="0"/>
              <w:ind w:start="140" w:end="0"/>
              <w:rPr>
                <w:rFonts w:ascii="Arial" w:hAnsi="Arial" w:eastAsia="Arial" w:cs="Arial"/>
                <w:color w:val="F686AC"/>
                <w:sz w:val="13"/>
              </w:rPr>
            </w:pPr>
            <w:r>
              <w:rPr>
                <w:rFonts w:eastAsia="Arial" w:cs="Arial" w:ascii="Arial" w:hAnsi="Arial"/>
                <w:color w:val="F686AC"/>
                <w:sz w:val="13"/>
              </w:rPr>
              <w:t>LVR</w:t>
            </w:r>
          </w:p>
        </w:tc>
        <w:tc>
          <w:tcPr>
            <w:tcW w:w="40" w:type="dxa"/>
            <w:tcBorders/>
          </w:tcPr>
          <w:p>
            <w:pPr>
              <w:pStyle w:val="Normal"/>
              <w:snapToGrid w:val="false"/>
              <w:rPr>
                <w:rFonts w:ascii="Arial" w:hAnsi="Arial" w:eastAsia="Arial" w:cs="Arial"/>
                <w:color w:val="F686AC"/>
                <w:sz w:val="13"/>
              </w:rPr>
            </w:pPr>
            <w:r>
              <w:rPr>
                <w:rFonts w:eastAsia="Arial" w:cs="Arial" w:ascii="Arial" w:hAnsi="Arial"/>
                <w:color w:val="F686AC"/>
                <w:sz w:val="13"/>
              </w:rPr>
            </w:r>
          </w:p>
        </w:tc>
      </w:tr>
      <w:tr>
        <w:trPr>
          <w:trHeight w:val="145" w:hRule="atLeast"/>
        </w:trPr>
        <w:tc>
          <w:tcPr>
            <w:tcW w:w="40" w:type="dxa"/>
            <w:tcBorders/>
          </w:tcPr>
          <w:p>
            <w:pPr>
              <w:pStyle w:val="TableContents"/>
              <w:rPr>
                <w:rFonts w:ascii="Arial" w:hAnsi="Arial" w:eastAsia="Arial" w:cs="Arial"/>
                <w:color w:val="F686AC"/>
                <w:sz w:val="13"/>
              </w:rPr>
            </w:pPr>
            <w:r>
              <w:rPr>
                <w:rFonts w:eastAsia="Arial" w:cs="Arial" w:ascii="Arial" w:hAnsi="Arial"/>
                <w:color w:val="F686AC"/>
                <w:sz w:val="13"/>
              </w:rPr>
            </w:r>
          </w:p>
        </w:tc>
        <w:tc>
          <w:tcPr>
            <w:tcW w:w="2840" w:type="dxa"/>
            <w:gridSpan w:val="4"/>
            <w:tcBorders/>
          </w:tcPr>
          <w:p>
            <w:pPr>
              <w:pStyle w:val="Normal"/>
              <w:spacing w:lineRule="exact" w:line="144"/>
              <w:ind w:end="54"/>
              <w:jc w:val="end"/>
              <w:rPr>
                <w:rFonts w:ascii="Arial" w:hAnsi="Arial" w:eastAsia="Arial" w:cs="Arial"/>
                <w:color w:val="000026"/>
                <w:sz w:val="13"/>
              </w:rPr>
            </w:pPr>
            <w:r>
              <w:rPr>
                <w:rFonts w:eastAsia="Arial" w:cs="Arial" w:ascii="Arial" w:hAnsi="Arial"/>
                <w:color w:val="000026"/>
                <w:sz w:val="13"/>
              </w:rPr>
              <w:t>housing completions</w:t>
            </w:r>
          </w:p>
        </w:tc>
        <w:tc>
          <w:tcPr>
            <w:tcW w:w="1060" w:type="dxa"/>
            <w:gridSpan w:val="3"/>
            <w:tcBorders/>
          </w:tcPr>
          <w:p>
            <w:pPr>
              <w:pStyle w:val="Normal"/>
              <w:snapToGrid w:val="false"/>
              <w:spacing w:lineRule="atLeast" w:line="0"/>
              <w:rPr>
                <w:rFonts w:ascii="Times New Roman" w:hAnsi="Times New Roman" w:eastAsia="Times New Roman" w:cs="Times New Roman"/>
                <w:color w:val="000026"/>
                <w:sz w:val="12"/>
              </w:rPr>
            </w:pPr>
            <w:r>
              <w:rPr>
                <w:rFonts w:eastAsia="Times New Roman" w:cs="Times New Roman" w:ascii="Times New Roman" w:hAnsi="Times New Roman"/>
                <w:color w:val="000026"/>
                <w:sz w:val="12"/>
              </w:rPr>
            </w:r>
          </w:p>
        </w:tc>
        <w:tc>
          <w:tcPr>
            <w:tcW w:w="40" w:type="dxa"/>
            <w:tcBorders/>
          </w:tcPr>
          <w:p>
            <w:pPr>
              <w:pStyle w:val="Normal"/>
              <w:snapToGrid w:val="false"/>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80" w:hRule="atLeast"/>
        </w:trPr>
        <w:tc>
          <w:tcPr>
            <w:tcW w:w="200" w:type="dxa"/>
            <w:gridSpan w:val="2"/>
            <w:vMerge w:val="restart"/>
            <w:tcBorders/>
          </w:tcPr>
          <w:p>
            <w:pPr>
              <w:pStyle w:val="Normal"/>
              <w:spacing w:lineRule="atLeast" w:line="0"/>
              <w:jc w:val="end"/>
              <w:rPr>
                <w:rFonts w:ascii="Arial" w:hAnsi="Arial" w:eastAsia="Arial" w:cs="Arial"/>
                <w:w w:val="95"/>
                <w:sz w:val="13"/>
              </w:rPr>
            </w:pPr>
            <w:r>
              <w:rPr>
                <w:rFonts w:eastAsia="Arial" w:cs="Arial" w:ascii="Arial" w:hAnsi="Arial"/>
                <w:w w:val="95"/>
                <w:sz w:val="13"/>
              </w:rPr>
              <w:t>-10</w:t>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w w:val="95"/>
                <w:sz w:val="6"/>
              </w:rPr>
            </w:pPr>
            <w:r>
              <w:rPr>
                <w:rFonts w:eastAsia="Times New Roman" w:cs="Times New Roman" w:ascii="Times New Roman" w:hAnsi="Times New Roman"/>
                <w:w w:val="95"/>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gridSpan w:val="2"/>
            <w:vMerge w:val="restart"/>
            <w:tcBorders/>
          </w:tcPr>
          <w:p>
            <w:pPr>
              <w:pStyle w:val="Normal"/>
              <w:spacing w:lineRule="atLeast" w:line="0"/>
              <w:jc w:val="end"/>
              <w:rPr>
                <w:rFonts w:ascii="Arial" w:hAnsi="Arial" w:eastAsia="Arial" w:cs="Arial"/>
                <w:w w:val="95"/>
                <w:sz w:val="13"/>
              </w:rPr>
            </w:pPr>
            <w:r>
              <w:rPr>
                <w:rFonts w:eastAsia="Arial" w:cs="Arial" w:ascii="Arial" w:hAnsi="Arial"/>
                <w:w w:val="95"/>
                <w:sz w:val="13"/>
              </w:rPr>
              <w:t>-10</w:t>
            </w:r>
          </w:p>
        </w:tc>
      </w:tr>
      <w:tr>
        <w:trPr>
          <w:trHeight w:val="203" w:hRule="atLeast"/>
        </w:trPr>
        <w:tc>
          <w:tcPr>
            <w:tcW w:w="200" w:type="dxa"/>
            <w:gridSpan w:val="2"/>
            <w:vMerge w:val="continue"/>
            <w:tcBorders/>
          </w:tcPr>
          <w:p>
            <w:pPr>
              <w:pStyle w:val="Normal"/>
              <w:snapToGrid w:val="false"/>
              <w:spacing w:lineRule="atLeast" w:line="0"/>
              <w:rPr>
                <w:rFonts w:ascii="Times New Roman" w:hAnsi="Times New Roman" w:eastAsia="Times New Roman" w:cs="Times New Roman"/>
                <w:w w:val="95"/>
                <w:sz w:val="17"/>
              </w:rPr>
            </w:pPr>
            <w:r>
              <w:rPr>
                <w:rFonts w:eastAsia="Times New Roman" w:cs="Times New Roman" w:ascii="Times New Roman" w:hAnsi="Times New Roman"/>
                <w:w w:val="95"/>
                <w:sz w:val="17"/>
              </w:rPr>
            </w:r>
          </w:p>
        </w:tc>
        <w:tc>
          <w:tcPr>
            <w:tcW w:w="1120" w:type="dxa"/>
            <w:tcBorders/>
          </w:tcPr>
          <w:p>
            <w:pPr>
              <w:pStyle w:val="Normal"/>
              <w:spacing w:lineRule="atLeast" w:line="0"/>
              <w:ind w:end="241"/>
              <w:jc w:val="end"/>
              <w:rPr>
                <w:rFonts w:ascii="Arial" w:hAnsi="Arial" w:eastAsia="Arial" w:cs="Arial"/>
                <w:sz w:val="13"/>
              </w:rPr>
            </w:pPr>
            <w:r>
              <w:rPr>
                <w:rFonts w:eastAsia="Arial" w:cs="Arial" w:ascii="Arial" w:hAnsi="Arial"/>
                <w:sz w:val="13"/>
              </w:rPr>
              <w:t>2010</w:t>
            </w:r>
          </w:p>
        </w:tc>
        <w:tc>
          <w:tcPr>
            <w:tcW w:w="900" w:type="dxa"/>
            <w:tcBorders/>
          </w:tcPr>
          <w:p>
            <w:pPr>
              <w:pStyle w:val="Normal"/>
              <w:spacing w:lineRule="atLeast" w:line="0"/>
              <w:ind w:end="234"/>
              <w:jc w:val="end"/>
              <w:rPr>
                <w:rFonts w:ascii="Arial" w:hAnsi="Arial" w:eastAsia="Arial" w:cs="Arial"/>
                <w:sz w:val="13"/>
              </w:rPr>
            </w:pPr>
            <w:r>
              <w:rPr>
                <w:rFonts w:eastAsia="Arial" w:cs="Arial" w:ascii="Arial" w:hAnsi="Arial"/>
                <w:sz w:val="13"/>
              </w:rPr>
              <w:t>2012</w:t>
            </w:r>
          </w:p>
        </w:tc>
        <w:tc>
          <w:tcPr>
            <w:tcW w:w="880" w:type="dxa"/>
            <w:gridSpan w:val="2"/>
            <w:tcBorders/>
          </w:tcPr>
          <w:p>
            <w:pPr>
              <w:pStyle w:val="Normal"/>
              <w:spacing w:lineRule="atLeast" w:line="0"/>
              <w:ind w:end="234"/>
              <w:jc w:val="end"/>
              <w:rPr>
                <w:rFonts w:ascii="Arial" w:hAnsi="Arial" w:eastAsia="Arial" w:cs="Arial"/>
                <w:sz w:val="13"/>
              </w:rPr>
            </w:pPr>
            <w:r>
              <w:rPr>
                <w:rFonts w:eastAsia="Arial" w:cs="Arial" w:ascii="Arial" w:hAnsi="Arial"/>
                <w:sz w:val="13"/>
              </w:rPr>
              <w:t>2014</w:t>
            </w:r>
          </w:p>
        </w:tc>
        <w:tc>
          <w:tcPr>
            <w:tcW w:w="680" w:type="dxa"/>
            <w:tcBorders/>
          </w:tcPr>
          <w:p>
            <w:pPr>
              <w:pStyle w:val="Normal"/>
              <w:spacing w:lineRule="atLeast" w:line="0"/>
              <w:ind w:end="14"/>
              <w:jc w:val="end"/>
              <w:rPr>
                <w:rFonts w:ascii="Arial" w:hAnsi="Arial" w:eastAsia="Arial" w:cs="Arial"/>
                <w:sz w:val="13"/>
              </w:rPr>
            </w:pPr>
            <w:r>
              <w:rPr>
                <w:rFonts w:eastAsia="Arial" w:cs="Arial" w:ascii="Arial" w:hAnsi="Arial"/>
                <w:sz w:val="13"/>
              </w:rPr>
              <w:t>2016</w:t>
            </w:r>
          </w:p>
        </w:tc>
        <w:tc>
          <w:tcPr>
            <w:tcW w:w="20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20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20" w:type="dxa"/>
            <w:gridSpan w:val="2"/>
            <w:tcBorders/>
          </w:tcPr>
          <w:p>
            <w:pPr>
              <w:pStyle w:val="Normal"/>
              <w:spacing w:lineRule="atLeast" w:line="0"/>
              <w:ind w:end="494"/>
              <w:jc w:val="end"/>
              <w:rPr>
                <w:rFonts w:ascii="Arial" w:hAnsi="Arial" w:eastAsia="Arial" w:cs="Arial"/>
                <w:w w:val="93"/>
                <w:sz w:val="11"/>
              </w:rPr>
            </w:pPr>
            <w:r>
              <w:rPr>
                <w:rFonts w:eastAsia="Arial" w:cs="Arial" w:ascii="Arial" w:hAnsi="Arial"/>
                <w:w w:val="93"/>
                <w:sz w:val="11"/>
              </w:rPr>
              <w:t>Sources: ABS; CoreLogic; RBA</w:t>
            </w:r>
          </w:p>
        </w:tc>
        <w:tc>
          <w:tcPr>
            <w:tcW w:w="880" w:type="dxa"/>
            <w:gridSpan w:val="2"/>
            <w:tcBorders/>
          </w:tcPr>
          <w:p>
            <w:pPr>
              <w:pStyle w:val="Normal"/>
              <w:snapToGrid w:val="false"/>
              <w:spacing w:lineRule="atLeast" w:line="0"/>
              <w:rPr>
                <w:rFonts w:ascii="Times New Roman" w:hAnsi="Times New Roman" w:eastAsia="Times New Roman" w:cs="Times New Roman"/>
                <w:w w:val="93"/>
                <w:sz w:val="16"/>
              </w:rPr>
            </w:pPr>
            <w:r>
              <w:rPr>
                <w:rFonts w:eastAsia="Times New Roman" w:cs="Times New Roman" w:ascii="Times New Roman" w:hAnsi="Times New Roman"/>
                <w:w w:val="93"/>
                <w:sz w:val="16"/>
              </w:rPr>
            </w:r>
          </w:p>
        </w:tc>
        <w:tc>
          <w:tcPr>
            <w:tcW w:w="6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200" w:leader="none"/>
        </w:tabs>
        <w:spacing w:lineRule="auto" w:line="290"/>
        <w:ind w:hanging="164" w:start="200" w:end="540"/>
        <w:jc w:val="both"/>
        <w:rPr>
          <w:rFonts w:ascii="Arial" w:hAnsi="Arial" w:eastAsia="Arial" w:cs="Arial"/>
          <w:sz w:val="13"/>
        </w:rPr>
      </w:pPr>
      <w:r>
        <w:rPr>
          <w:rFonts w:eastAsia="Arial" w:cs="Arial" w:ascii="Arial" w:hAnsi="Arial"/>
          <w:sz w:val="13"/>
        </w:rPr>
        <w:t>Loans for refinancing and the construction of new housing with no transfer of ownership will not be associated with housing sales and are therefore excluded from this analysis.</w:t>
      </w:r>
    </w:p>
    <w:p>
      <w:pPr>
        <w:sectPr>
          <w:type w:val="continuous"/>
          <w:pgSz w:w="9978" w:h="14173"/>
          <w:pgMar w:left="1140" w:right="578" w:gutter="0" w:header="0" w:top="822" w:footer="0" w:bottom="0"/>
          <w:cols w:num="2" w:equalWidth="false" w:sep="false">
            <w:col w:w="3740" w:space="300"/>
            <w:col w:w="4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020" w:leader="none"/>
        </w:tabs>
        <w:spacing w:lineRule="atLeast" w:line="0"/>
        <w:ind w:start="5300" w:end="0"/>
        <w:rPr/>
      </w:pPr>
      <w:r>
        <w:rPr>
          <w:rFonts w:eastAsia="Arial" w:cs="Arial" w:ascii="Arial" w:hAnsi="Arial"/>
          <w:color w:val="005766"/>
          <w:sz w:val="14"/>
        </w:rPr>
        <w:t xml:space="preserve">BULLETIN </w:t>
      </w:r>
      <w:r>
        <w:rPr>
          <w:rFonts w:eastAsia="Arial" w:cs="Arial" w:ascii="Arial" w:hAnsi="Arial"/>
          <w:b/>
          <w:color w:val="005766"/>
          <w:sz w:val="14"/>
        </w:rPr>
        <w:t>|</w:t>
      </w:r>
      <w:r>
        <w:rPr>
          <w:rFonts w:eastAsia="Arial" w:cs="Arial" w:ascii="Arial" w:hAnsi="Arial"/>
          <w:b/>
          <w:color w:val="000000"/>
          <w:sz w:val="14"/>
        </w:rPr>
        <w:t xml:space="preserve"> MARCH QUARTER 2017</w:t>
      </w:r>
      <w:r>
        <w:rPr>
          <w:rFonts w:eastAsia="Times New Roman" w:cs="Times New Roman" w:ascii="Times New Roman" w:hAnsi="Times New Roman"/>
        </w:rPr>
        <w:tab/>
      </w:r>
      <w:r>
        <w:rPr>
          <w:rFonts w:eastAsia="Arial" w:cs="Arial" w:ascii="Arial" w:hAnsi="Arial"/>
          <w:b/>
          <w:sz w:val="15"/>
        </w:rPr>
        <w:t>2 9</w:t>
      </w:r>
    </w:p>
    <w:p>
      <w:pPr>
        <w:sectPr>
          <w:type w:val="continuous"/>
          <w:pgSz w:w="9978" w:h="14173"/>
          <w:pgMar w:left="1140" w:right="578" w:gutter="0" w:header="0" w:top="822" w:footer="0" w:bottom="0"/>
          <w:formProt w:val="false"/>
          <w:textDirection w:val="lrTb"/>
          <w:docGrid w:type="default" w:linePitch="360" w:charSpace="0"/>
        </w:sectPr>
      </w:pPr>
    </w:p>
    <w:p>
      <w:pPr>
        <w:pStyle w:val="Normal"/>
        <w:spacing w:lineRule="atLeast" w:line="0"/>
        <w:ind w:start="420" w:end="0"/>
        <w:rPr>
          <w:rFonts w:ascii="Arial" w:hAnsi="Arial" w:eastAsia="Arial" w:cs="Arial"/>
          <w:color w:val="005766"/>
          <w:sz w:val="14"/>
        </w:rPr>
      </w:pPr>
      <w:bookmarkStart w:id="13" w:name="page10"/>
      <w:bookmarkEnd w:id="13"/>
      <w:r>
        <w:rPr>
          <w:rFonts w:eastAsia="Arial" w:cs="Arial" w:ascii="Arial" w:hAnsi="Arial"/>
          <w:color w:val="005766"/>
          <w:sz w:val="14"/>
        </w:rPr>
        <w:t>HOUSING MARKET TURNOVER</w:t>
      </w:r>
    </w:p>
    <w:p>
      <w:pPr>
        <w:pStyle w:val="Normal"/>
        <w:spacing w:lineRule="exact" w:line="20"/>
        <w:rPr>
          <w:rFonts w:ascii="Times New Roman" w:hAnsi="Times New Roman" w:eastAsia="Times New Roman" w:cs="Times New Roman"/>
          <w:color w:val="005766"/>
          <w:sz w:val="14"/>
        </w:rPr>
      </w:pPr>
      <w:r>
        <w:rPr>
          <w:rFonts w:eastAsia="Times New Roman" w:cs="Times New Roman" w:ascii="Times New Roman" w:hAnsi="Times New Roman"/>
          <w:color w:val="005766"/>
          <w:sz w:val="14"/>
        </w:rPr>
        <mc:AlternateContent>
          <mc:Choice Requires="wps">
            <w:drawing>
              <wp:anchor behindDoc="1" distT="0" distB="0" distL="114935" distR="114935" simplePos="0" locked="0" layoutInCell="1" allowOverlap="1" relativeHeight="109">
                <wp:simplePos x="0" y="0"/>
                <wp:positionH relativeFrom="column">
                  <wp:posOffset>69215</wp:posOffset>
                </wp:positionH>
                <wp:positionV relativeFrom="paragraph">
                  <wp:posOffset>275590</wp:posOffset>
                </wp:positionV>
                <wp:extent cx="5885815" cy="2029460"/>
                <wp:effectExtent l="5715" t="5080" r="4445" b="5080"/>
                <wp:wrapNone/>
                <wp:docPr id="108" name=""/>
                <a:graphic xmlns:a="http://schemas.openxmlformats.org/drawingml/2006/main">
                  <a:graphicData uri="http://schemas.microsoft.com/office/word/2010/wordprocessingShape">
                    <wps:wsp>
                      <wps:cNvSpPr/>
                      <wps:spPr>
                        <a:xfrm>
                          <a:off x="0" y="0"/>
                          <a:ext cx="5885640" cy="2029320"/>
                        </a:xfrm>
                        <a:prstGeom prst="rect">
                          <a:avLst/>
                        </a:prstGeom>
                        <a:solidFill>
                          <a:srgbClr val="edf3f3"/>
                        </a:solidFill>
                        <a:ln w="9360">
                          <a:solidFill>
                            <a:srgbClr val="ffffff"/>
                          </a:solidFill>
                          <a:miter/>
                        </a:ln>
                      </wps:spPr>
                      <wps:style>
                        <a:lnRef idx="0"/>
                        <a:fillRef idx="0"/>
                        <a:effectRef idx="0"/>
                        <a:fontRef idx="minor"/>
                      </wps:style>
                      <wps:bodyPr/>
                    </wps:wsp>
                  </a:graphicData>
                </a:graphic>
              </wp:anchor>
            </w:drawing>
          </mc:Choice>
          <mc:Fallback>
            <w:pict>
              <v:rect id="shape_0" fillcolor="#edf3f3" stroked="t" o:allowincell="f" style="position:absolute;margin-left:5.45pt;margin-top:21.7pt;width:463.4pt;height:159.75pt;mso-wrap-style:none;v-text-anchor:middle">
                <v:fill o:detectmouseclick="t" type="solid" color2="#120c0c"/>
                <v:stroke color="white" weight="9360" joinstyle="miter" endcap="flat"/>
                <w10:wrap type="none"/>
              </v:rect>
            </w:pict>
          </mc:Fallback>
        </mc:AlternateContent>
      </w:r>
    </w:p>
    <w:p>
      <w:pPr>
        <w:sectPr>
          <w:type w:val="nextPage"/>
          <w:pgSz w:w="9978" w:h="14173"/>
          <w:pgMar w:left="600" w:right="1138" w:gutter="0" w:header="0" w:top="822"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6"/>
        <w:ind w:start="420" w:end="0"/>
        <w:rPr>
          <w:rFonts w:ascii="Arial" w:hAnsi="Arial" w:eastAsia="Arial" w:cs="Arial"/>
          <w:sz w:val="17"/>
        </w:rPr>
      </w:pPr>
      <w:r>
        <w:rPr>
          <w:rFonts w:eastAsia="Arial" w:cs="Arial" w:ascii="Arial" w:hAnsi="Arial"/>
          <w:sz w:val="17"/>
        </w:rPr>
        <w:t>The contribution to loan approvals from the completion of new housing has been relatively small over the sample period, although it has been making a more noticeable contribution recently. The increase in off-the-plan apartment sales can be expected to contribute to more finance for new housing as these buildings are completed in coming years.</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4"/>
        <w:ind w:end="40"/>
        <w:rPr/>
      </w:pPr>
      <w:r>
        <w:rPr>
          <w:rFonts w:eastAsia="Arial" w:cs="Arial" w:ascii="Arial" w:hAnsi="Arial"/>
          <w:sz w:val="18"/>
        </w:rPr>
        <w:t>Lastly, it should be noted that the sale of new housing will generally contribute more to the outstanding stock of housing credit than the sale of existing housing. This is because the seller of an existing home will typically be another household rather than a property developer, which is likely to be the case when a new home is sold. As such, the funds raised from the sale of the existing home may be used to pay off existing housing debt.</w:t>
      </w:r>
      <w:r>
        <w:rPr>
          <w:rFonts w:eastAsia="Arial" w:cs="Arial" w:ascii="Arial" w:hAnsi="Arial"/>
          <w:sz w:val="12"/>
        </w:rPr>
        <w:t xml:space="preserve"> R</w:t>
      </w:r>
    </w:p>
    <w:p>
      <w:pPr>
        <w:sectPr>
          <w:type w:val="continuous"/>
          <w:pgSz w:w="9978" w:h="14173"/>
          <w:pgMar w:left="600" w:right="1138" w:gutter="0" w:header="0" w:top="822" w:footer="0" w:bottom="0"/>
          <w:cols w:num="2" w:equalWidth="false" w:sep="false">
            <w:col w:w="4000" w:space="500"/>
            <w:col w:w="37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Arial" w:hAnsi="Arial" w:eastAsia="Arial" w:cs="Arial"/>
          <w:color w:val="005766"/>
          <w:sz w:val="26"/>
        </w:rPr>
      </w:pPr>
      <w:r>
        <w:rPr>
          <w:rFonts w:eastAsia="Arial" w:cs="Arial" w:ascii="Arial" w:hAnsi="Arial"/>
          <w:color w:val="005766"/>
          <w:sz w:val="26"/>
        </w:rPr>
        <w:t>References</w:t>
      </w:r>
    </w:p>
    <w:p>
      <w:pPr>
        <w:pStyle w:val="Normal"/>
        <w:spacing w:lineRule="exact" w:line="108"/>
        <w:rPr>
          <w:rFonts w:ascii="Times New Roman" w:hAnsi="Times New Roman" w:eastAsia="Times New Roman" w:cs="Times New Roman"/>
          <w:color w:val="005766"/>
          <w:sz w:val="26"/>
        </w:rPr>
      </w:pPr>
      <w:r>
        <w:rPr>
          <w:rFonts w:eastAsia="Times New Roman" w:cs="Times New Roman" w:ascii="Times New Roman" w:hAnsi="Times New Roman"/>
          <w:color w:val="005766"/>
          <w:sz w:val="26"/>
        </w:rPr>
      </w:r>
    </w:p>
    <w:p>
      <w:pPr>
        <w:pStyle w:val="Normal"/>
        <w:spacing w:lineRule="auto" w:line="391"/>
        <w:ind w:start="420" w:end="0"/>
        <w:rPr/>
      </w:pPr>
      <w:r>
        <w:rPr>
          <w:rFonts w:eastAsia="Arial" w:cs="Arial" w:ascii="Arial" w:hAnsi="Arial"/>
          <w:b/>
          <w:sz w:val="14"/>
        </w:rPr>
        <w:t>Bachmann R and D Cooper (2014),</w:t>
      </w:r>
      <w:r>
        <w:rPr>
          <w:rFonts w:eastAsia="Arial" w:cs="Arial" w:ascii="Arial" w:hAnsi="Arial"/>
          <w:sz w:val="14"/>
        </w:rPr>
        <w:t xml:space="preserve"> ‘The Ins and Arounds in the US Housing Market’, Federal Reserve Bank of Boston Research Department Working Papers No 14-3.</w:t>
      </w:r>
    </w:p>
    <w:p>
      <w:pPr>
        <w:pStyle w:val="Normal"/>
        <w:spacing w:lineRule="exact" w:line="16"/>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345"/>
        <w:ind w:start="420" w:end="40"/>
        <w:rPr/>
      </w:pPr>
      <w:r>
        <w:rPr>
          <w:rFonts w:eastAsia="Arial" w:cs="Arial" w:ascii="Arial" w:hAnsi="Arial"/>
          <w:b/>
          <w:sz w:val="15"/>
        </w:rPr>
        <w:t>Flatau P, M Forbes, G Wood, P Hendershott and L O’Dwyer (2002),</w:t>
      </w:r>
      <w:r>
        <w:rPr>
          <w:rFonts w:eastAsia="Arial" w:cs="Arial" w:ascii="Arial" w:hAnsi="Arial"/>
          <w:sz w:val="15"/>
        </w:rPr>
        <w:t xml:space="preserve"> ‘Home Ownership and Unemployment: Does the Oswald Thesis Hold for Australian Regions?’, Murdoch University School of Management and Government Working Paper No 189.</w:t>
      </w:r>
    </w:p>
    <w:p>
      <w:pPr>
        <w:pStyle w:val="Normal"/>
        <w:spacing w:lineRule="exact" w:line="42"/>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391"/>
        <w:ind w:start="420" w:end="0"/>
        <w:rPr/>
      </w:pPr>
      <w:r>
        <w:rPr>
          <w:rFonts w:eastAsia="Arial" w:cs="Arial" w:ascii="Arial" w:hAnsi="Arial"/>
          <w:b/>
          <w:sz w:val="14"/>
        </w:rPr>
        <w:t>Genesove D and C Mayer (2001),</w:t>
      </w:r>
      <w:r>
        <w:rPr>
          <w:rFonts w:eastAsia="Arial" w:cs="Arial" w:ascii="Arial" w:hAnsi="Arial"/>
          <w:sz w:val="14"/>
        </w:rPr>
        <w:t xml:space="preserve"> ‘Loss Aversion and Seller Behavior: Evidence from the Housing Market’, </w:t>
      </w:r>
      <w:r>
        <w:rPr>
          <w:rFonts w:eastAsia="Arial" w:cs="Arial" w:ascii="Arial" w:hAnsi="Arial"/>
          <w:i/>
          <w:sz w:val="14"/>
        </w:rPr>
        <w:t>The Quarterly Journal of Economics</w:t>
      </w:r>
      <w:r>
        <w:rPr>
          <w:rFonts w:eastAsia="Arial" w:cs="Arial" w:ascii="Arial" w:hAnsi="Arial"/>
          <w:sz w:val="14"/>
        </w:rPr>
        <w:t>, 116(4), pp 1233–1260.</w:t>
      </w:r>
    </w:p>
    <w:p>
      <w:pPr>
        <w:pStyle w:val="Normal"/>
        <w:spacing w:lineRule="exact" w:line="16"/>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326"/>
        <w:ind w:start="420" w:end="80"/>
        <w:rPr/>
      </w:pPr>
      <w:r>
        <w:rPr>
          <w:rFonts w:eastAsia="Arial" w:cs="Arial" w:ascii="Arial" w:hAnsi="Arial"/>
          <w:b/>
          <w:sz w:val="16"/>
        </w:rPr>
        <w:t>Greenspan A and J Kennedy (2008),</w:t>
      </w:r>
      <w:r>
        <w:rPr>
          <w:rFonts w:eastAsia="Arial" w:cs="Arial" w:ascii="Arial" w:hAnsi="Arial"/>
          <w:sz w:val="16"/>
        </w:rPr>
        <w:t xml:space="preserve"> ‘Sources and Uses of Equity Extracted from Homes’, </w:t>
      </w:r>
      <w:r>
        <w:rPr>
          <w:rFonts w:eastAsia="Arial" w:cs="Arial" w:ascii="Arial" w:hAnsi="Arial"/>
          <w:i/>
          <w:sz w:val="16"/>
        </w:rPr>
        <w:t>Oxford Review of Economic Policy</w:t>
      </w:r>
      <w:r>
        <w:rPr>
          <w:rFonts w:eastAsia="Arial" w:cs="Arial" w:ascii="Arial" w:hAnsi="Arial"/>
          <w:sz w:val="16"/>
        </w:rPr>
        <w:t>, 24(1), pp 120–144.</w:t>
      </w:r>
    </w:p>
    <w:p>
      <w:pPr>
        <w:pStyle w:val="Normal"/>
        <w:spacing w:lineRule="exact" w:line="5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48"/>
        <w:ind w:start="420" w:end="360"/>
        <w:rPr/>
      </w:pPr>
      <w:r>
        <w:rPr>
          <w:rFonts w:eastAsia="Arial" w:cs="Arial" w:ascii="Arial" w:hAnsi="Arial"/>
          <w:b/>
          <w:sz w:val="15"/>
        </w:rPr>
        <w:t xml:space="preserve">Kaplan G and S Schulhofer-Wohl (2015), </w:t>
      </w:r>
      <w:r>
        <w:rPr>
          <w:rFonts w:eastAsia="Arial" w:cs="Arial" w:ascii="Arial" w:hAnsi="Arial"/>
          <w:sz w:val="15"/>
        </w:rPr>
        <w:t>‘Understanding the Long-run Decline in Interstate Migration’, Federal Reserve Bank of Minneapolis Working Paper Working Paper No 697.</w:t>
      </w:r>
    </w:p>
    <w:p>
      <w:pPr>
        <w:pStyle w:val="Normal"/>
        <w:spacing w:lineRule="exact" w:line="39"/>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319"/>
        <w:ind w:start="420" w:end="140"/>
        <w:rPr/>
      </w:pPr>
      <w:r>
        <w:rPr>
          <w:rFonts w:eastAsia="Arial" w:cs="Arial" w:ascii="Arial" w:hAnsi="Arial"/>
          <w:b/>
          <w:sz w:val="16"/>
        </w:rPr>
        <w:t>Khoo S-E, P McDonald, J Temple and B Edgar (2012),</w:t>
      </w:r>
      <w:r>
        <w:rPr>
          <w:rFonts w:eastAsia="Arial" w:cs="Arial" w:ascii="Arial" w:hAnsi="Arial"/>
          <w:sz w:val="16"/>
        </w:rPr>
        <w:t xml:space="preserve"> ‘Scoping Study of Migration and Housing Needs’, Report for National Housing Supply Council Unit, Department of the Treasury, 31 May. Available at &lt;http://apo.org.au/node/32970&gt;.</w:t>
      </w:r>
    </w:p>
    <w:p>
      <w:pPr>
        <w:pStyle w:val="Normal"/>
        <w:spacing w:lineRule="exact" w:line="5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26"/>
        <w:ind w:start="420" w:end="80"/>
        <w:jc w:val="both"/>
        <w:rPr/>
      </w:pPr>
      <w:r>
        <w:rPr>
          <w:rFonts w:eastAsia="Arial" w:cs="Arial" w:ascii="Arial" w:hAnsi="Arial"/>
          <w:b/>
          <w:sz w:val="16"/>
        </w:rPr>
        <w:t>Molloy R, C Smith and A Wozniak (2014),</w:t>
      </w:r>
      <w:r>
        <w:rPr>
          <w:rFonts w:eastAsia="Arial" w:cs="Arial" w:ascii="Arial" w:hAnsi="Arial"/>
          <w:sz w:val="16"/>
        </w:rPr>
        <w:t xml:space="preserve"> ‘Declining Migration within the US: The Role of the Labor Market’, NBER Working Paper No 20065.</w:t>
      </w:r>
    </w:p>
    <w:p>
      <w:pPr>
        <w:pStyle w:val="Normal"/>
        <w:spacing w:lineRule="exact" w:line="5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00"/>
        <w:ind w:start="420" w:end="320"/>
        <w:rPr/>
      </w:pPr>
      <w:r>
        <w:rPr>
          <w:rFonts w:eastAsia="Arial" w:cs="Arial" w:ascii="Arial" w:hAnsi="Arial"/>
          <w:b/>
          <w:sz w:val="17"/>
        </w:rPr>
        <w:t>Muellbauer J and A Murphy (1990),</w:t>
      </w:r>
      <w:r>
        <w:rPr>
          <w:rFonts w:eastAsia="Arial" w:cs="Arial" w:ascii="Arial" w:hAnsi="Arial"/>
          <w:sz w:val="17"/>
        </w:rPr>
        <w:t xml:space="preserve"> ‘Is the UK Balance of Payments Sustainable?’, </w:t>
      </w:r>
      <w:r>
        <w:rPr>
          <w:rFonts w:eastAsia="Arial" w:cs="Arial" w:ascii="Arial" w:hAnsi="Arial"/>
          <w:i/>
          <w:sz w:val="17"/>
        </w:rPr>
        <w:t>Economic Policy,</w:t>
      </w:r>
      <w:r>
        <w:rPr>
          <w:rFonts w:eastAsia="Arial" w:cs="Arial" w:ascii="Arial" w:hAnsi="Arial"/>
          <w:sz w:val="17"/>
        </w:rPr>
        <w:t xml:space="preserve"> 5(11), pp 347–395.</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0"/>
        <w:ind w:end="220"/>
        <w:rPr/>
      </w:pPr>
      <w:r>
        <w:rPr>
          <w:rFonts w:eastAsia="Arial" w:cs="Arial" w:ascii="Arial" w:hAnsi="Arial"/>
          <w:b/>
          <w:sz w:val="15"/>
        </w:rPr>
        <w:t>Olsberg D and M Winters (2005),</w:t>
      </w:r>
      <w:r>
        <w:rPr>
          <w:rFonts w:eastAsia="Arial" w:cs="Arial" w:ascii="Arial" w:hAnsi="Arial"/>
          <w:sz w:val="15"/>
        </w:rPr>
        <w:t xml:space="preserve"> ‘Ageing in Place: Intergenerational and Intrafamilial Housing Transfers and Shifts in Later Life’, AHURI Final Report No 88, Australian Housing and Urban Research Institute Limited, 1 October. Available at &lt;https://www.ahuri. edu.au/research/final-reports/88&gt;.</w:t>
      </w:r>
    </w:p>
    <w:p>
      <w:pPr>
        <w:pStyle w:val="Normal"/>
        <w:spacing w:lineRule="exact" w:line="46"/>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420"/>
        <w:ind w:end="240"/>
        <w:jc w:val="both"/>
        <w:rPr/>
      </w:pPr>
      <w:r>
        <w:rPr>
          <w:rFonts w:eastAsia="Arial" w:cs="Arial" w:ascii="Arial" w:hAnsi="Arial"/>
          <w:b/>
          <w:sz w:val="14"/>
        </w:rPr>
        <w:t>RBA (Reserve Bank of Australia) (2003),</w:t>
      </w:r>
      <w:r>
        <w:rPr>
          <w:rFonts w:eastAsia="Arial" w:cs="Arial" w:ascii="Arial" w:hAnsi="Arial"/>
          <w:sz w:val="14"/>
        </w:rPr>
        <w:t xml:space="preserve"> ‘Housing Equity Withdrawal’, RBA </w:t>
      </w:r>
      <w:r>
        <w:rPr>
          <w:rFonts w:eastAsia="Arial" w:cs="Arial" w:ascii="Arial" w:hAnsi="Arial"/>
          <w:i/>
          <w:sz w:val="14"/>
        </w:rPr>
        <w:t>Bulletin</w:t>
      </w:r>
      <w:r>
        <w:rPr>
          <w:rFonts w:eastAsia="Arial" w:cs="Arial" w:ascii="Arial" w:hAnsi="Arial"/>
          <w:sz w:val="14"/>
        </w:rPr>
        <w:t>, February, pp 50–54.</w:t>
      </w:r>
    </w:p>
    <w:p>
      <w:pPr>
        <w:pStyle w:val="Normal"/>
        <w:spacing w:lineRule="auto" w:line="420"/>
        <w:jc w:val="both"/>
        <w:rPr/>
      </w:pPr>
      <w:r>
        <w:rPr>
          <w:rFonts w:eastAsia="Arial" w:cs="Arial" w:ascii="Arial" w:hAnsi="Arial"/>
          <w:b/>
          <w:sz w:val="14"/>
        </w:rPr>
        <w:t>RBA (2012),</w:t>
      </w:r>
      <w:r>
        <w:rPr>
          <w:rFonts w:eastAsia="Arial" w:cs="Arial" w:ascii="Arial" w:hAnsi="Arial"/>
          <w:sz w:val="14"/>
        </w:rPr>
        <w:t xml:space="preserve"> ‘Box B: Households’ Mortgage Prepayment Buffers’, </w:t>
      </w:r>
      <w:r>
        <w:rPr>
          <w:rFonts w:eastAsia="Arial" w:cs="Arial" w:ascii="Arial" w:hAnsi="Arial"/>
          <w:i/>
          <w:sz w:val="14"/>
        </w:rPr>
        <w:t>Financial Stability Review</w:t>
      </w:r>
      <w:r>
        <w:rPr>
          <w:rFonts w:eastAsia="Arial" w:cs="Arial" w:ascii="Arial" w:hAnsi="Arial"/>
          <w:sz w:val="14"/>
        </w:rPr>
        <w:t>, September, pp 49–50.</w:t>
      </w:r>
    </w:p>
    <w:p>
      <w:pPr>
        <w:pStyle w:val="Normal"/>
        <w:spacing w:lineRule="auto" w:line="297"/>
        <w:ind w:end="320"/>
        <w:rPr/>
      </w:pPr>
      <w:r>
        <w:rPr>
          <w:rFonts w:eastAsia="Arial" w:cs="Arial" w:ascii="Arial" w:hAnsi="Arial"/>
          <w:b/>
          <w:sz w:val="17"/>
        </w:rPr>
        <w:t>RBA (2015),</w:t>
      </w:r>
      <w:r>
        <w:rPr>
          <w:rFonts w:eastAsia="Arial" w:cs="Arial" w:ascii="Arial" w:hAnsi="Arial"/>
          <w:sz w:val="17"/>
        </w:rPr>
        <w:t xml:space="preserve"> ‘Submission to the Inquiry into Home Ownership’, House of Representatives Standing Committee on Economics Inquiry into Home Ownership, June.</w:t>
      </w:r>
    </w:p>
    <w:p>
      <w:pPr>
        <w:pStyle w:val="Normal"/>
        <w:spacing w:lineRule="exact" w:line="7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00"/>
        <w:ind w:end="140"/>
        <w:jc w:val="both"/>
        <w:rPr/>
      </w:pPr>
      <w:r>
        <w:rPr>
          <w:rFonts w:eastAsia="Arial" w:cs="Arial" w:ascii="Arial" w:hAnsi="Arial"/>
          <w:b/>
          <w:sz w:val="17"/>
        </w:rPr>
        <w:t>Reinold K (2011),</w:t>
      </w:r>
      <w:r>
        <w:rPr>
          <w:rFonts w:eastAsia="Arial" w:cs="Arial" w:ascii="Arial" w:hAnsi="Arial"/>
          <w:sz w:val="17"/>
        </w:rPr>
        <w:t xml:space="preserve"> ‘Housing Equity Withdrawal since the Financial Crisis’, Bank of England </w:t>
      </w:r>
      <w:r>
        <w:rPr>
          <w:rFonts w:eastAsia="Arial" w:cs="Arial" w:ascii="Arial" w:hAnsi="Arial"/>
          <w:i/>
          <w:sz w:val="17"/>
        </w:rPr>
        <w:t>Quarterly Bulletin</w:t>
      </w:r>
      <w:r>
        <w:rPr>
          <w:rFonts w:eastAsia="Arial" w:cs="Arial" w:ascii="Arial" w:hAnsi="Arial"/>
          <w:sz w:val="17"/>
        </w:rPr>
        <w:t>, 51(2), pp 127–133.</w:t>
      </w:r>
    </w:p>
    <w:p>
      <w:pPr>
        <w:pStyle w:val="Normal"/>
        <w:spacing w:lineRule="exact" w:line="7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97"/>
        <w:ind w:end="200"/>
        <w:jc w:val="both"/>
        <w:rPr/>
      </w:pPr>
      <w:r>
        <w:rPr>
          <w:rFonts w:eastAsia="Arial" w:cs="Arial" w:ascii="Arial" w:hAnsi="Arial"/>
          <w:b/>
          <w:sz w:val="17"/>
        </w:rPr>
        <w:t>Schwartz C, T Hampton, C Lewis and D Norman (2006),</w:t>
      </w:r>
      <w:r>
        <w:rPr>
          <w:rFonts w:eastAsia="Arial" w:cs="Arial" w:ascii="Arial" w:hAnsi="Arial"/>
          <w:sz w:val="17"/>
        </w:rPr>
        <w:t xml:space="preserve"> ‘A Survey of Housing Equity Withdrawal and Injection in Australia’, RBA Research Discussion Paper No 2006-08.</w:t>
      </w:r>
    </w:p>
    <w:p>
      <w:pPr>
        <w:pStyle w:val="Normal"/>
        <w:spacing w:lineRule="exact" w:line="7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420"/>
        <w:ind w:end="100"/>
        <w:rPr/>
      </w:pPr>
      <w:r>
        <w:rPr>
          <w:rFonts w:eastAsia="Arial" w:cs="Arial" w:ascii="Arial" w:hAnsi="Arial"/>
          <w:b/>
          <w:sz w:val="14"/>
        </w:rPr>
        <w:t>Shoory M (2016),</w:t>
      </w:r>
      <w:r>
        <w:rPr>
          <w:rFonts w:eastAsia="Arial" w:cs="Arial" w:ascii="Arial" w:hAnsi="Arial"/>
          <w:sz w:val="14"/>
        </w:rPr>
        <w:t xml:space="preserve"> ‘The Growth in Apartment Construction in Australia’, RBA </w:t>
      </w:r>
      <w:r>
        <w:rPr>
          <w:rFonts w:eastAsia="Arial" w:cs="Arial" w:ascii="Arial" w:hAnsi="Arial"/>
          <w:i/>
          <w:sz w:val="14"/>
        </w:rPr>
        <w:t>Bulletin</w:t>
      </w:r>
      <w:r>
        <w:rPr>
          <w:rFonts w:eastAsia="Arial" w:cs="Arial" w:ascii="Arial" w:hAnsi="Arial"/>
          <w:sz w:val="14"/>
        </w:rPr>
        <w:t>, June, pp 19–26.</w:t>
      </w:r>
    </w:p>
    <w:p>
      <w:pPr>
        <w:pStyle w:val="Normal"/>
        <w:spacing w:lineRule="auto" w:line="391"/>
        <w:ind w:end="60"/>
        <w:rPr/>
      </w:pPr>
      <w:r>
        <w:rPr>
          <w:rFonts w:eastAsia="Arial" w:cs="Arial" w:ascii="Arial" w:hAnsi="Arial"/>
          <w:b/>
          <w:sz w:val="14"/>
        </w:rPr>
        <w:t>Stein JC (1995),</w:t>
      </w:r>
      <w:r>
        <w:rPr>
          <w:rFonts w:eastAsia="Arial" w:cs="Arial" w:ascii="Arial" w:hAnsi="Arial"/>
          <w:sz w:val="14"/>
        </w:rPr>
        <w:t xml:space="preserve"> ‘Prices and Trading Volume in the Housing Market: A Model with Down-Payment Effects’,</w:t>
      </w:r>
      <w:r>
        <w:rPr>
          <w:rFonts w:eastAsia="Arial" w:cs="Arial" w:ascii="Arial" w:hAnsi="Arial"/>
          <w:i/>
          <w:sz w:val="14"/>
        </w:rPr>
        <w:t xml:space="preserve"> The Quarterly Journal of Economics</w:t>
      </w:r>
      <w:r>
        <w:rPr>
          <w:rFonts w:eastAsia="Arial" w:cs="Arial" w:ascii="Arial" w:hAnsi="Arial"/>
          <w:sz w:val="14"/>
        </w:rPr>
        <w:t>, 110(2), pp 379–406.</w:t>
      </w:r>
    </w:p>
    <w:p>
      <w:pPr>
        <w:pStyle w:val="Normal"/>
        <w:spacing w:lineRule="exact" w:line="16"/>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326"/>
        <w:ind w:end="180"/>
        <w:jc w:val="both"/>
        <w:rPr/>
      </w:pPr>
      <w:r>
        <w:rPr>
          <w:rFonts w:eastAsia="Arial" w:cs="Arial" w:ascii="Arial" w:hAnsi="Arial"/>
          <w:b/>
          <w:sz w:val="16"/>
        </w:rPr>
        <w:t>Wheaton W (1990),</w:t>
      </w:r>
      <w:r>
        <w:rPr>
          <w:rFonts w:eastAsia="Arial" w:cs="Arial" w:ascii="Arial" w:hAnsi="Arial"/>
          <w:sz w:val="16"/>
        </w:rPr>
        <w:t xml:space="preserve"> ‘Vacancy, Search, and Prices in a Housing Market Matching Model’, </w:t>
      </w:r>
      <w:r>
        <w:rPr>
          <w:rFonts w:eastAsia="Arial" w:cs="Arial" w:ascii="Arial" w:hAnsi="Arial"/>
          <w:i/>
          <w:sz w:val="16"/>
        </w:rPr>
        <w:t>Journal of Political Economy</w:t>
      </w:r>
      <w:r>
        <w:rPr>
          <w:rFonts w:eastAsia="Arial" w:cs="Arial" w:ascii="Arial" w:hAnsi="Arial"/>
          <w:sz w:val="16"/>
        </w:rPr>
        <w:t>, 98(6), pp 1270–1292.</w:t>
      </w:r>
    </w:p>
    <w:p>
      <w:pPr>
        <w:sectPr>
          <w:type w:val="continuous"/>
          <w:pgSz w:w="9978" w:h="14173"/>
          <w:pgMar w:left="600" w:right="1138" w:gutter="0" w:header="0" w:top="822" w:footer="0" w:bottom="0"/>
          <w:cols w:num="2" w:equalWidth="false" w:sep="false">
            <w:col w:w="4160" w:space="340"/>
            <w:col w:w="3740"/>
          </w:cols>
          <w:formProt w:val="false"/>
          <w:textDirection w:val="lrTb"/>
          <w:docGrid w:type="default" w:linePitch="360" w:charSpace="0"/>
        </w:sectPr>
      </w:pPr>
    </w:p>
    <w:p>
      <w:pPr>
        <w:pStyle w:val="Normal"/>
        <w:spacing w:lineRule="exact" w:line="344"/>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400" w:leader="none"/>
        </w:tabs>
        <w:spacing w:lineRule="atLeast" w:line="0"/>
        <w:rPr/>
      </w:pPr>
      <w:r>
        <w:rPr>
          <w:rFonts w:eastAsia="Arial" w:cs="Arial" w:ascii="Arial" w:hAnsi="Arial"/>
          <w:b/>
          <w:sz w:val="16"/>
        </w:rPr>
        <w:t>3 0</w:t>
      </w:r>
      <w:r>
        <w:rPr>
          <w:rFonts w:eastAsia="Times New Roman" w:cs="Times New Roman" w:ascii="Times New Roman" w:hAnsi="Times New Roman"/>
        </w:rPr>
        <w:tab/>
      </w:r>
      <w:r>
        <w:rPr>
          <w:rFonts w:eastAsia="Arial" w:cs="Arial" w:ascii="Arial" w:hAnsi="Arial"/>
          <w:sz w:val="14"/>
        </w:rPr>
        <w:t>RESERVE BANK OF AUSTRALIA</w:t>
      </w:r>
    </w:p>
    <w:sectPr>
      <w:type w:val="continuous"/>
      <w:pgSz w:w="9978" w:h="14173"/>
      <w:pgMar w:left="600" w:right="1138" w:gutter="0" w:header="0" w:top="822"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2"/>
      <w:numFmt w:val="decimal"/>
      <w:lvlText w:val="%1"/>
      <w:lvlJc w:val="start"/>
      <w:pPr>
        <w:tabs>
          <w:tab w:val="num" w:pos="0"/>
        </w:tabs>
        <w:ind w:start="0" w:hanging="0"/>
      </w:pPr>
    </w:lvl>
  </w:abstractNum>
  <w:abstractNum w:abstractNumId="4">
    <w:lvl w:ilvl="0">
      <w:start w:val="3"/>
      <w:numFmt w:val="decimal"/>
      <w:lvlText w:val="%1"/>
      <w:lvlJc w:val="start"/>
      <w:pPr>
        <w:tabs>
          <w:tab w:val="num" w:pos="0"/>
        </w:tabs>
        <w:ind w:start="0" w:hanging="0"/>
      </w:pPr>
    </w:lvl>
  </w:abstractNum>
  <w:abstractNum w:abstractNumId="5">
    <w:lvl w:ilvl="0">
      <w:start w:val="4"/>
      <w:numFmt w:val="decimal"/>
      <w:lvlText w:val="%1"/>
      <w:lvlJc w:val="start"/>
      <w:pPr>
        <w:tabs>
          <w:tab w:val="num" w:pos="0"/>
        </w:tabs>
        <w:ind w:start="0" w:hanging="0"/>
      </w:pPr>
    </w:lvl>
  </w:abstractNum>
  <w:abstractNum w:abstractNumId="6">
    <w:lvl w:ilvl="0">
      <w:start w:val="6"/>
      <w:numFmt w:val="decimal"/>
      <w:lvlText w:val="%1"/>
      <w:lvlJc w:val="start"/>
      <w:pPr>
        <w:tabs>
          <w:tab w:val="num" w:pos="0"/>
        </w:tabs>
        <w:ind w:start="0" w:hanging="0"/>
      </w:pPr>
    </w:lvl>
  </w:abstractNum>
  <w:abstractNum w:abstractNumId="7">
    <w:lvl w:ilvl="0">
      <w:start w:val="7"/>
      <w:numFmt w:val="decimal"/>
      <w:lvlText w:val="%1"/>
      <w:lvlJc w:val="start"/>
      <w:pPr>
        <w:tabs>
          <w:tab w:val="num" w:pos="0"/>
        </w:tabs>
        <w:ind w:start="0" w:hanging="0"/>
      </w:pPr>
    </w:lvl>
  </w:abstractNum>
  <w:abstractNum w:abstractNumId="8">
    <w:lvl w:ilvl="0">
      <w:start w:val="8"/>
      <w:numFmt w:val="decimal"/>
      <w:lvlText w:val="%1"/>
      <w:lvlJc w:val="start"/>
      <w:pPr>
        <w:tabs>
          <w:tab w:val="num" w:pos="0"/>
        </w:tabs>
        <w:ind w:start="0" w:hanging="0"/>
      </w:pPr>
    </w:lvl>
  </w:abstractNum>
  <w:abstractNum w:abstractNumId="9">
    <w:lvl w:ilvl="0">
      <w:start w:val="9"/>
      <w:numFmt w:val="decimal"/>
      <w:lvlText w:val="%1"/>
      <w:lvlJc w:val="start"/>
      <w:pPr>
        <w:tabs>
          <w:tab w:val="num" w:pos="0"/>
        </w:tabs>
        <w:ind w:start="0" w:hanging="0"/>
      </w:pPr>
    </w:lvl>
  </w:abstractNum>
  <w:abstractNum w:abstractNumId="10">
    <w:lvl w:ilvl="0">
      <w:start w:val="11"/>
      <w:numFmt w:val="decimal"/>
      <w:lvlText w:val="%1"/>
      <w:lvlJc w:val="start"/>
      <w:pPr>
        <w:tabs>
          <w:tab w:val="num" w:pos="0"/>
        </w:tabs>
        <w:ind w:start="0" w:hanging="0"/>
      </w:pPr>
    </w:lvl>
  </w:abstractNum>
  <w:abstractNum w:abstractNumId="11">
    <w:lvl w:ilvl="0">
      <w:start w:val="13"/>
      <w:numFmt w:val="decimal"/>
      <w:lvlText w:val="%1"/>
      <w:lvlJc w:val="start"/>
      <w:pPr>
        <w:tabs>
          <w:tab w:val="num" w:pos="0"/>
        </w:tabs>
        <w:ind w:start="0" w:hanging="0"/>
      </w:pPr>
    </w:lvl>
  </w:abstractNum>
  <w:abstractNum w:abstractNumId="12">
    <w:lvl w:ilvl="0">
      <w:start w:val="1"/>
      <w:numFmt w:val="decimal"/>
      <w:lvlText w:val="%1"/>
      <w:lvlJc w:val="start"/>
      <w:pPr>
        <w:tabs>
          <w:tab w:val="num" w:pos="0"/>
        </w:tabs>
        <w:ind w:start="0" w:hanging="0"/>
      </w:p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10</Pages>
  <Words>5063</Words>
  <Characters>27329</Characters>
  <CharactersWithSpaces>31878</CharactersWithSpaces>
  <Paragraphs>492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