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AUTHORIZING RESOLUTION</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pPr>
      <w:r>
        <w:rPr>
          <w:rFonts w:eastAsia="Times New Roman" w:cs="Times New Roman" w:ascii="Times New Roman" w:hAnsi="Times New Roman"/>
          <w:i/>
          <w:sz w:val="24"/>
        </w:rPr>
        <w:t>(NY Williamson I, LLC Project – Assignment of Project Ownership)</w:t>
      </w:r>
    </w:p>
    <w:p>
      <w:pPr>
        <w:pStyle w:val="Normal"/>
        <w:spacing w:lineRule="exact" w:line="27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8"/>
        <w:ind w:firstLine="742" w:end="0"/>
        <w:rPr>
          <w:rFonts w:ascii="Times New Roman" w:hAnsi="Times New Roman" w:eastAsia="Times New Roman" w:cs="Times New Roman"/>
          <w:sz w:val="24"/>
        </w:rPr>
      </w:pPr>
      <w:r>
        <w:rPr>
          <w:rFonts w:eastAsia="Times New Roman" w:cs="Times New Roman" w:ascii="Times New Roman" w:hAnsi="Times New Roman"/>
          <w:sz w:val="24"/>
        </w:rPr>
        <w:t>A regular meeting of Wayne County Industrial Development Agency was convened on Wednesday, November 17, 2021 at 9:30 a.m.</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The following resolution was duly offered and seconded, to wit: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Resolution No. 11/2021 - 02</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20" w:end="720"/>
        <w:jc w:val="both"/>
        <w:rPr>
          <w:rFonts w:ascii="Times New Roman" w:hAnsi="Times New Roman" w:eastAsia="Times New Roman" w:cs="Times New Roman"/>
          <w:sz w:val="24"/>
        </w:rPr>
      </w:pPr>
      <w:r>
        <w:rPr>
          <w:rFonts w:eastAsia="Times New Roman" w:cs="Times New Roman" w:ascii="Times New Roman" w:hAnsi="Times New Roman"/>
          <w:sz w:val="24"/>
        </w:rPr>
        <w:t>RESOLUTION OF THE WAYNE COUNTY INDUSTRIAL DEVELOPMENT AGENCY AUTHORIZING THE ASSIGNMENT OF PROJECT OWNERSHIP FOR A CERTAIN PREVIOUSLY-APPROVED PROJECT FOR THE BENEFIT OF NY WILLIAMSON I, LLC</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WHEREAS, by Title 1 of Article 18 -A of the General Municipal Law of the State of New York, as amended, and Chapter 916 of the Laws of 1969 of the State of New York, (the “Act”), the </w:t>
      </w:r>
      <w:r>
        <w:rPr>
          <w:rFonts w:eastAsia="Times New Roman" w:cs="Times New Roman" w:ascii="Times New Roman" w:hAnsi="Times New Roman"/>
          <w:b/>
          <w:sz w:val="24"/>
        </w:rPr>
        <w:t>WAYNE COUNTY INDUSTRIAL DEVELOPMENT AGENCY</w:t>
      </w:r>
      <w:r>
        <w:rPr>
          <w:rFonts w:eastAsia="Times New Roman" w:cs="Times New Roman" w:ascii="Times New Roman" w:hAnsi="Times New Roman"/>
          <w:sz w:val="24"/>
        </w:rPr>
        <w:t xml:space="preserve"> (the “Agency”) was created with the authority and power to promote, develop, encourage and assist in acquiring, constructing, reconstructing, improving, maintaining, equipping and furnishing industrial, manufacturing, warehousing, commercial, research, and recreational facilities as authorized by the Act, and in connection therewith to issue its revenue bonds, and/or enter into straight lease transactions and provide other forms of financial assistance; and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WHEREAS, pursuant to and in accordance with the Act, and pursuant to a certain Project Authorizing Resolution adopted August 25, 2021 (the “Resolution”), the Agency previously appointed </w:t>
      </w:r>
      <w:r>
        <w:rPr>
          <w:rFonts w:eastAsia="Times New Roman" w:cs="Times New Roman" w:ascii="Times New Roman" w:hAnsi="Times New Roman"/>
          <w:b/>
          <w:sz w:val="24"/>
        </w:rPr>
        <w:t>NY WILLIAMSON I, LLC</w:t>
      </w:r>
      <w:r>
        <w:rPr>
          <w:rFonts w:eastAsia="Times New Roman" w:cs="Times New Roman" w:ascii="Times New Roman" w:hAnsi="Times New Roman"/>
          <w:sz w:val="24"/>
        </w:rPr>
        <w:t xml:space="preserve"> (the “Company”) as agent to undertake a certain project (the “Project”) consisting of: (i) the acquisition by the Agency of a leasehold interest in approximately 13 acres of real property located at 5520 Eddy Ridge Road in the Town of Williamson, New York (the “Land”, being more particularly described as a portion of tax parcel No. 65116-00-366701, as may be subdivided); (ii) the planning, design, construction and operation of a 2.338 MWac PV solar electrical generation system, including panel foundations, inverters, transformers, interconnect wiring, utility connections, sitework, landscaping, fencing, security and related improvements (collectively, the “Improvements”); (iii) the acquisition of and installation in and around the Land and Improvements by the Company of machinery, equipment, fixtures and other items of tangible personal property (the “Equipment” and, collectively with, the Land and the Improvements, the “Facility”; and (iv) entering into a straight lease transaction (within the meaning of subdivision (15) of Section 854 of the Act), pursuant to which the Agency will retain a leasehold interest in the Facility for a period of time and sublease such interest in the Facility back to the Company (the ”Straight Lease Transaction“); and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0"/>
        <w:jc w:val="both"/>
        <w:rPr/>
      </w:pPr>
      <w:r>
        <w:rPr>
          <w:rFonts w:eastAsia="Times New Roman" w:cs="Times New Roman" w:ascii="Times New Roman" w:hAnsi="Times New Roman"/>
          <w:sz w:val="24"/>
        </w:rPr>
        <w:t>WHEREAS, the original application submitted by the Company was submitted by Delaware River Solar, LLC, acting by and through NY DRS FINCO IV, LLC (hereinafter , the “Assignor”), as sole member of the Company; 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09" w:footer="0" w:bottom="314"/>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i/>
          <w:i/>
        </w:rPr>
      </w:pPr>
      <w:r>
        <w:rPr>
          <w:rFonts w:eastAsia="Times New Roman" w:cs="Times New Roman" w:ascii="Times New Roman" w:hAnsi="Times New Roman"/>
          <w:i/>
        </w:rPr>
        <w:t>Page 1</w:t>
      </w:r>
    </w:p>
    <w:p>
      <w:pPr>
        <w:pStyle w:val="Normal"/>
        <w:spacing w:lineRule="auto" w:line="256"/>
        <w:ind w:firstLine="720" w:end="0"/>
        <w:jc w:val="both"/>
        <w:rPr/>
      </w:pPr>
      <w:bookmarkStart w:id="1" w:name="page2"/>
      <w:bookmarkEnd w:id="1"/>
      <w:r>
        <w:rPr>
          <w:rFonts w:eastAsia="Times New Roman" w:cs="Times New Roman" w:ascii="Times New Roman" w:hAnsi="Times New Roman"/>
          <w:sz w:val="24"/>
        </w:rPr>
        <w:t>WHEREAS, the Assignor has advised the Agency that the Company will be acquired by Generate C&amp;I Warehouse II, LLC (the “Assignee”) following the closing of the Straight Lease Transaction with the Agency; and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0"/>
        <w:jc w:val="both"/>
        <w:rPr/>
      </w:pPr>
      <w:r>
        <w:rPr>
          <w:rFonts w:eastAsia="Times New Roman" w:cs="Times New Roman" w:ascii="Times New Roman" w:hAnsi="Times New Roman"/>
          <w:sz w:val="24"/>
        </w:rPr>
        <w:t>WHEREAS, at the request of the Agency, the Assignor and Assignee have caused to be submitted an updated application (the “Updated Application”) reflecting the ownership of the Company by the Assignee, along with a request for the Agency’s approval to accept and authorize same (collectively, the “Assignment”); and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WHEREAS, the Agency desires to authorize the prospective Assignment, subject to the terms and conditions as set forth herein.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NOW, THEREFORE, BE IT RESOLVED BY THE MEMBERS OF THE WAYNE COUNTY INDUSTRIAL DEVELOPMENT AGENCY AS FOLLOWS: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0"/>
        <w:jc w:val="both"/>
        <w:rPr/>
      </w:pPr>
      <w:r>
        <w:rPr>
          <w:rFonts w:eastAsia="Times New Roman" w:cs="Times New Roman" w:ascii="Times New Roman" w:hAnsi="Times New Roman"/>
          <w:sz w:val="24"/>
          <w:u w:val="single"/>
        </w:rPr>
        <w:t>Section 1</w:t>
      </w:r>
      <w:r>
        <w:rPr>
          <w:rFonts w:eastAsia="Times New Roman" w:cs="Times New Roman" w:ascii="Times New Roman" w:hAnsi="Times New Roman"/>
          <w:sz w:val="24"/>
        </w:rPr>
        <w:t>. Based upon the representations made by the Assignee to the Agency in the Updated Application, the Agency hereby accepts the Updated Application submitted on behalf of the Assignee.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u w:val="single"/>
        </w:rPr>
        <w:t>Section 2</w:t>
      </w:r>
      <w:r>
        <w:rPr>
          <w:rFonts w:eastAsia="Times New Roman" w:cs="Times New Roman" w:ascii="Times New Roman" w:hAnsi="Times New Roman"/>
          <w:sz w:val="24"/>
        </w:rPr>
        <w:t>. The Agency hereby authorizes and approves the prospective Assignment, subject to the following conditions: (i) immediate payment of all outstanding costs and fees of the Agency incurred in connection with the original applications submitted by the Assignor, including all legal costs, (ii) that the Company shall close the Straight Lease Transaction prior to December 31, 2021 and the commencement of any construction on the Project, (iii) on or before the date of the Assignment, the Assignor and Assignee shall deliver to the Agency a copy of the Membership Interest Purchase Agreement (“MIPA”), an updated General Certificate of the Company reflecting the Assignee’s ownership of same, and (iv) the Assignor and Assignee shall pay all costs and fees of the Agency associated with verifying and documenting the Assignment. The foregoing conditions shall be included within the Straight Lease Transaction documents and satisfied by the Assignor, Assignee and/or Company in order to rely upon any of the approvals of the Agency contained within the Resolution.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pPr>
      <w:r>
        <w:rPr>
          <w:rFonts w:eastAsia="Times New Roman" w:cs="Times New Roman" w:ascii="Times New Roman" w:hAnsi="Times New Roman"/>
          <w:sz w:val="24"/>
          <w:u w:val="single"/>
        </w:rPr>
        <w:t>Section 3</w:t>
      </w:r>
      <w:r>
        <w:rPr>
          <w:rFonts w:eastAsia="Times New Roman" w:cs="Times New Roman" w:ascii="Times New Roman" w:hAnsi="Times New Roman"/>
          <w:sz w:val="24"/>
        </w:rPr>
        <w:t>. Subject to the conditions set forth within Section 2, above, all other provisions and approvals contained within the Resolution shall remain in full force and effect.</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40" w:leader="none"/>
        </w:tabs>
        <w:spacing w:lineRule="atLeast" w:line="0"/>
        <w:ind w:start="720" w:end="0"/>
        <w:rPr/>
      </w:pPr>
      <w:r>
        <w:rPr>
          <w:rFonts w:eastAsia="Times New Roman" w:cs="Times New Roman" w:ascii="Times New Roman" w:hAnsi="Times New Roman"/>
          <w:sz w:val="24"/>
          <w:u w:val="single"/>
        </w:rPr>
        <w:t>Section 4</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3"/>
        </w:rPr>
        <w:t>These Resolutions shall take effect immediately upon adoption.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08" w:footer="0" w:bottom="314"/>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i/>
          <w:i/>
        </w:rPr>
      </w:pPr>
      <w:r>
        <w:rPr>
          <w:rFonts w:eastAsia="Times New Roman" w:cs="Times New Roman" w:ascii="Times New Roman" w:hAnsi="Times New Roman"/>
          <w:i/>
        </w:rPr>
        <w:t>Page 2</w:t>
      </w:r>
    </w:p>
    <w:p>
      <w:pPr>
        <w:pStyle w:val="Normal"/>
        <w:spacing w:lineRule="exact" w:line="245"/>
        <w:rPr>
          <w:rFonts w:ascii="Times New Roman" w:hAnsi="Times New Roman" w:eastAsia="Times New Roman" w:cs="Times New Roman"/>
          <w:i/>
          <w:i/>
        </w:rPr>
      </w:pPr>
      <w:r>
        <w:rPr>
          <w:rFonts w:eastAsia="Times New Roman" w:cs="Times New Roman" w:ascii="Times New Roman" w:hAnsi="Times New Roman"/>
          <w:i/>
        </w:rPr>
      </w:r>
      <w:bookmarkStart w:id="2" w:name="page3"/>
      <w:bookmarkStart w:id="3" w:name="page3"/>
      <w:bookmarkEnd w:id="3"/>
    </w:p>
    <w:p>
      <w:pPr>
        <w:pStyle w:val="Normal"/>
        <w:spacing w:lineRule="auto" w:line="278"/>
        <w:ind w:firstLine="720" w:end="0"/>
        <w:rPr>
          <w:rFonts w:ascii="Times New Roman" w:hAnsi="Times New Roman" w:eastAsia="Times New Roman" w:cs="Times New Roman"/>
          <w:sz w:val="24"/>
        </w:rPr>
      </w:pPr>
      <w:r>
        <w:rPr>
          <w:rFonts w:eastAsia="Times New Roman" w:cs="Times New Roman" w:ascii="Times New Roman" w:hAnsi="Times New Roman"/>
          <w:sz w:val="24"/>
        </w:rPr>
        <w:t>The question of the adoption of the foregoing resolutions was duly put to vote on roll call, which resulted as follows:</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tbl>
      <w:tblPr>
        <w:tblW w:w="8060" w:type="dxa"/>
        <w:jc w:val="start"/>
        <w:tblInd w:w="660" w:type="dxa"/>
        <w:tblLayout w:type="fixed"/>
        <w:tblCellMar>
          <w:top w:w="0" w:type="dxa"/>
          <w:start w:w="0" w:type="dxa"/>
          <w:bottom w:w="0" w:type="dxa"/>
          <w:end w:w="0" w:type="dxa"/>
        </w:tblCellMar>
      </w:tblPr>
      <w:tblGrid>
        <w:gridCol w:w="3580"/>
        <w:gridCol w:w="1040"/>
        <w:gridCol w:w="920"/>
        <w:gridCol w:w="1200"/>
        <w:gridCol w:w="1320"/>
      </w:tblGrid>
      <w:tr>
        <w:trPr>
          <w:trHeight w:val="286" w:hRule="atLeast"/>
        </w:trPr>
        <w:tc>
          <w:tcPr>
            <w:tcW w:w="358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op w:val="single" w:sz="8" w:space="0" w:color="000000"/>
              <w:bottom w:val="single" w:sz="8" w:space="0" w:color="000000"/>
              <w:end w:val="single" w:sz="8" w:space="0" w:color="000000"/>
            </w:tcBorders>
          </w:tcPr>
          <w:p>
            <w:pPr>
              <w:pStyle w:val="Normal"/>
              <w:spacing w:lineRule="atLeast" w:line="0"/>
              <w:ind w:start="320" w:end="0"/>
              <w:rPr>
                <w:rFonts w:ascii="Times New Roman" w:hAnsi="Times New Roman" w:eastAsia="Times New Roman" w:cs="Times New Roman"/>
                <w:b/>
                <w:i/>
                <w:i/>
                <w:sz w:val="24"/>
              </w:rPr>
            </w:pPr>
            <w:r>
              <w:rPr>
                <w:rFonts w:eastAsia="Times New Roman" w:cs="Times New Roman" w:ascii="Times New Roman" w:hAnsi="Times New Roman"/>
                <w:b/>
                <w:i/>
                <w:sz w:val="24"/>
              </w:rPr>
              <w:t>Yea</w:t>
            </w:r>
          </w:p>
        </w:tc>
        <w:tc>
          <w:tcPr>
            <w:tcW w:w="920" w:type="dxa"/>
            <w:tcBorders>
              <w:top w:val="single" w:sz="8" w:space="0" w:color="000000"/>
              <w:bottom w:val="single" w:sz="8" w:space="0" w:color="000000"/>
              <w:end w:val="single" w:sz="8" w:space="0" w:color="000000"/>
            </w:tcBorders>
          </w:tcPr>
          <w:p>
            <w:pPr>
              <w:pStyle w:val="Normal"/>
              <w:spacing w:lineRule="atLeast" w:line="0"/>
              <w:ind w:start="240" w:end="0"/>
              <w:rPr>
                <w:rFonts w:ascii="Times New Roman" w:hAnsi="Times New Roman" w:eastAsia="Times New Roman" w:cs="Times New Roman"/>
                <w:b/>
                <w:i/>
                <w:i/>
                <w:sz w:val="24"/>
              </w:rPr>
            </w:pPr>
            <w:r>
              <w:rPr>
                <w:rFonts w:eastAsia="Times New Roman" w:cs="Times New Roman" w:ascii="Times New Roman" w:hAnsi="Times New Roman"/>
                <w:b/>
                <w:i/>
                <w:sz w:val="24"/>
              </w:rPr>
              <w:t>Nay</w:t>
            </w:r>
          </w:p>
        </w:tc>
        <w:tc>
          <w:tcPr>
            <w:tcW w:w="1200" w:type="dxa"/>
            <w:tcBorders>
              <w:top w:val="single" w:sz="8" w:space="0" w:color="000000"/>
              <w:bottom w:val="single" w:sz="8" w:space="0" w:color="000000"/>
              <w:end w:val="single" w:sz="8" w:space="0" w:color="000000"/>
            </w:tcBorders>
          </w:tcPr>
          <w:p>
            <w:pPr>
              <w:pStyle w:val="Normal"/>
              <w:spacing w:lineRule="atLeast" w:line="0"/>
              <w:ind w:start="240" w:end="0"/>
              <w:rPr>
                <w:rFonts w:ascii="Times New Roman" w:hAnsi="Times New Roman" w:eastAsia="Times New Roman" w:cs="Times New Roman"/>
                <w:b/>
                <w:i/>
                <w:i/>
                <w:sz w:val="24"/>
              </w:rPr>
            </w:pPr>
            <w:r>
              <w:rPr>
                <w:rFonts w:eastAsia="Times New Roman" w:cs="Times New Roman" w:ascii="Times New Roman" w:hAnsi="Times New Roman"/>
                <w:b/>
                <w:i/>
                <w:sz w:val="24"/>
              </w:rPr>
              <w:t>Absent</w:t>
            </w:r>
          </w:p>
        </w:tc>
        <w:tc>
          <w:tcPr>
            <w:tcW w:w="1320" w:type="dxa"/>
            <w:tcBorders>
              <w:top w:val="single" w:sz="8" w:space="0" w:color="000000"/>
              <w:bottom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b/>
                <w:i/>
                <w:i/>
                <w:sz w:val="24"/>
              </w:rPr>
            </w:pPr>
            <w:r>
              <w:rPr>
                <w:rFonts w:eastAsia="Times New Roman" w:cs="Times New Roman" w:ascii="Times New Roman" w:hAnsi="Times New Roman"/>
                <w:b/>
                <w:i/>
                <w:sz w:val="24"/>
              </w:rPr>
              <w:t>Abstain</w:t>
            </w:r>
          </w:p>
        </w:tc>
      </w:tr>
      <w:tr>
        <w:trPr>
          <w:trHeight w:val="266" w:hRule="atLeast"/>
        </w:trPr>
        <w:tc>
          <w:tcPr>
            <w:tcW w:w="3580" w:type="dxa"/>
            <w:tcBorders>
              <w:start w:val="single" w:sz="8" w:space="0" w:color="000000"/>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David Spickerman, Sr.</w:t>
            </w:r>
          </w:p>
        </w:tc>
        <w:tc>
          <w:tcPr>
            <w:tcW w:w="104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580" w:type="dxa"/>
            <w:tcBorders>
              <w:start w:val="single" w:sz="8" w:space="0" w:color="000000"/>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Jeannie Brockmyre</w:t>
            </w:r>
          </w:p>
        </w:tc>
        <w:tc>
          <w:tcPr>
            <w:tcW w:w="104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8" w:hRule="atLeast"/>
        </w:trPr>
        <w:tc>
          <w:tcPr>
            <w:tcW w:w="3580" w:type="dxa"/>
            <w:tcBorders>
              <w:start w:val="single" w:sz="8" w:space="0" w:color="000000"/>
              <w:bottom w:val="single" w:sz="8" w:space="0" w:color="000000"/>
              <w:end w:val="single" w:sz="8" w:space="0" w:color="000000"/>
            </w:tcBorders>
          </w:tcPr>
          <w:p>
            <w:pPr>
              <w:pStyle w:val="Normal"/>
              <w:spacing w:lineRule="exact" w:line="268"/>
              <w:ind w:start="100" w:end="0"/>
              <w:rPr>
                <w:rFonts w:ascii="Times New Roman" w:hAnsi="Times New Roman" w:eastAsia="Times New Roman" w:cs="Times New Roman"/>
                <w:sz w:val="24"/>
              </w:rPr>
            </w:pPr>
            <w:r>
              <w:rPr>
                <w:rFonts w:eastAsia="Times New Roman" w:cs="Times New Roman" w:ascii="Times New Roman" w:hAnsi="Times New Roman"/>
                <w:sz w:val="24"/>
              </w:rPr>
              <w:t>Julie Dilella</w:t>
            </w:r>
          </w:p>
        </w:tc>
        <w:tc>
          <w:tcPr>
            <w:tcW w:w="1040" w:type="dxa"/>
            <w:tcBorders>
              <w:bottom w:val="single" w:sz="8" w:space="0" w:color="000000"/>
              <w:end w:val="single" w:sz="8" w:space="0" w:color="000000"/>
            </w:tcBorders>
          </w:tcPr>
          <w:p>
            <w:pPr>
              <w:pStyle w:val="Normal"/>
              <w:spacing w:lineRule="exact" w:line="268"/>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580" w:type="dxa"/>
            <w:tcBorders>
              <w:start w:val="single" w:sz="8" w:space="0" w:color="000000"/>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Kaye Stone-Gansz</w:t>
            </w:r>
          </w:p>
        </w:tc>
        <w:tc>
          <w:tcPr>
            <w:tcW w:w="104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580" w:type="dxa"/>
            <w:tcBorders>
              <w:start w:val="single" w:sz="8" w:space="0" w:color="000000"/>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Ken Miller</w:t>
            </w:r>
          </w:p>
        </w:tc>
        <w:tc>
          <w:tcPr>
            <w:tcW w:w="104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580" w:type="dxa"/>
            <w:tcBorders>
              <w:start w:val="single" w:sz="8" w:space="0" w:color="000000"/>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Pamela Heald</w:t>
            </w:r>
          </w:p>
        </w:tc>
        <w:tc>
          <w:tcPr>
            <w:tcW w:w="104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580" w:type="dxa"/>
            <w:tcBorders>
              <w:start w:val="single" w:sz="8" w:space="0" w:color="000000"/>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Robert DeBadts</w:t>
            </w:r>
          </w:p>
        </w:tc>
        <w:tc>
          <w:tcPr>
            <w:tcW w:w="1040" w:type="dxa"/>
            <w:tcBorders>
              <w:bottom w:val="single" w:sz="8" w:space="0" w:color="000000"/>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X</w:t>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resolutions were thereupon duly adopted.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rPr>
      </w:pPr>
      <w:r>
        <w:rPr>
          <w:rFonts w:eastAsia="Times New Roman" w:cs="Times New Roman" w:ascii="Times New Roman" w:hAnsi="Times New Roman"/>
          <w:i/>
        </w:rPr>
        <w:t>Page 3</w:t>
      </w:r>
    </w:p>
    <w:p>
      <w:pPr>
        <w:sectPr>
          <w:type w:val="nextPage"/>
          <w:pgSz w:w="12240" w:h="15840"/>
          <w:pgMar w:left="1440" w:right="1440" w:gutter="0" w:header="0" w:top="1440" w:footer="0" w:bottom="314"/>
          <w:pgNumType w:fmt="decimal"/>
          <w:formProt w:val="false"/>
          <w:textDirection w:val="lrTb"/>
          <w:docGrid w:type="default" w:linePitch="360" w:charSpace="0"/>
        </w:sectPr>
      </w:pPr>
    </w:p>
    <w:p>
      <w:pPr>
        <w:pStyle w:val="Normal"/>
        <w:spacing w:lineRule="auto" w:line="300"/>
        <w:rPr>
          <w:rFonts w:ascii="Times New Roman" w:hAnsi="Times New Roman" w:eastAsia="Times New Roman" w:cs="Times New Roman"/>
          <w:sz w:val="23"/>
        </w:rPr>
      </w:pPr>
      <w:bookmarkStart w:id="4" w:name="page4"/>
      <w:bookmarkEnd w:id="4"/>
      <w:r>
        <w:rPr>
          <w:rFonts w:eastAsia="Times New Roman" w:cs="Times New Roman" w:ascii="Times New Roman" w:hAnsi="Times New Roman"/>
          <w:sz w:val="23"/>
        </w:rPr>
        <w:t>STATE OF NEW YORK COUNTY OF WAYNE</w:t>
      </w:r>
    </w:p>
    <w:p>
      <w:pPr>
        <w:pStyle w:val="Normal"/>
        <w:spacing w:lineRule="atLeast" w:line="0"/>
        <w:rPr>
          <w:rFonts w:ascii="Times New Roman" w:hAnsi="Times New Roman" w:eastAsia="Times New Roman" w:cs="Times New Roman"/>
          <w:sz w:val="24"/>
        </w:rPr>
      </w:pPr>
      <w:r>
        <w:br w:type="column"/>
      </w:r>
      <w:r>
        <w:rPr>
          <w:rFonts w:eastAsia="Times New Roman" w:cs="Times New Roman" w:ascii="Times New Roman" w:hAnsi="Times New Roman"/>
          <w:sz w:val="24"/>
        </w:rPr>
        <w: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ss:</w:t>
      </w:r>
    </w:p>
    <w:p>
      <w:pPr>
        <w:sectPr>
          <w:type w:val="nextPage"/>
          <w:pgSz w:w="12240" w:h="15840"/>
          <w:pgMar w:left="1440" w:right="1440" w:gutter="0" w:header="0" w:top="1408" w:footer="0" w:bottom="314"/>
          <w:pgNumType w:fmt="decimal"/>
          <w:cols w:num="2" w:equalWidth="false" w:sep="false">
            <w:col w:w="2460" w:space="420"/>
            <w:col w:w="6480"/>
          </w:cols>
          <w:formProt w:val="false"/>
          <w:textDirection w:val="lrTb"/>
          <w:docGrid w:type="default" w:linePitch="360" w:charSpace="0"/>
        </w:sectPr>
      </w:pPr>
    </w:p>
    <w:p>
      <w:pPr>
        <w:pStyle w:val="Normal"/>
        <w:spacing w:lineRule="exact" w:line="1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 the undersigned Secretary of the Wayne County Industrial Development Agency, DO HEREBY CERTIFY:</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That I have compared the foregoing extract of the minutes of the meeting of the Wayne County Industrial Development Agency (the “Agency”) including the resolution contained therein, held on November 17, 2021, with the original thereof on file in my office, and that the same is a true and correct copy of the proceedings of the Agency and of such resolution set forth therein and of the whole of said original insofar as the same relates to the subject matters therein referred to.</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 FURTHER CERTIFY that all members of said Agency had due notice of said meeting, that the meeting was in all respects duly held and that, pursuant to Article 7 of the Public Officers Law (Open Meetings Law), said meeting was open to the general public, and that public notice of the time and place of said meeting was duly given in accordance with Article 7.</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 FURTHER CERTIFY that there was a quorum of the members of the Agency present throughout said meeting.</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 FURTHER CERTIFY that as of the date hereof, the attached resolution is in full force and effect and has not been amended, repealed or modified.</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WITNESS WHEREOF, I have hereunto set my hand and seal of said Agency this 17 day of November, 2021.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2743200</wp:posOffset>
            </wp:positionH>
            <wp:positionV relativeFrom="paragraph">
              <wp:posOffset>12700</wp:posOffset>
            </wp:positionV>
            <wp:extent cx="3200400" cy="6216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29" r="-6" b="-29"/>
                    <a:stretch>
                      <a:fillRect/>
                    </a:stretch>
                  </pic:blipFill>
                  <pic:spPr bwMode="auto">
                    <a:xfrm>
                      <a:off x="0" y="0"/>
                      <a:ext cx="3200400" cy="6216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Secretary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rPr>
      </w:pPr>
      <w:r>
        <w:rPr>
          <w:rFonts w:eastAsia="Times New Roman" w:cs="Times New Roman" w:ascii="Times New Roman" w:hAnsi="Times New Roman"/>
          <w:i/>
        </w:rPr>
        <w:t>Page 4</w:t>
      </w:r>
    </w:p>
    <w:sectPr>
      <w:type w:val="continuous"/>
      <w:pgSz w:w="12240" w:h="15840"/>
      <w:pgMar w:left="1440" w:right="1440" w:gutter="0" w:header="0" w:top="1408" w:footer="0" w:bottom="31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