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numbering.xml" ContentType="application/vnd.openxmlformats-officedocument.wordprocessingml.numbering+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Override PartName="/word/header4.xml" ContentType="application/vnd.openxmlformats-officedocument.wordprocessingml.header+xml"/>
  <Override PartName="/word/theme/theme1.xml" ContentType="application/vnd.openxmlformats-officedocument.theme+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header3.xml" ContentType="application/vnd.openxmlformats-officedocument.wordprocessingml.header+xml"/>
  <Override PartName="/word/settings.xml" ContentType="application/vnd.openxmlformats-officedocument.wordprocessingml.settings+xml"/>
  <Override PartName="/word/footer4.xml" ContentType="application/vnd.openxmlformats-officedocument.wordprocessingml.footer+xml"/>
  <Override PartName="/word/footnotes.xml" ContentType="application/vnd.openxmlformats-officedocument.wordprocessingml.footnote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UK12Block"/>
        <w:tabs>
          <w:tab w:val="clear" w:pos="720"/>
          <w:tab w:val="left" w:pos="3360" w:leader="none"/>
        </w:tabs>
        <w:jc w:val="center"/>
        <w:rPr>
          <w:rFonts w:ascii="Arial" w:hAnsi="Arial" w:cs="Arial"/>
          <w:b/>
          <w:bCs/>
          <w:sz w:val="22"/>
          <w:szCs w:val="22"/>
        </w:rPr>
      </w:pPr>
      <w:bookmarkStart w:id="0" w:name="TOCHeading"/>
      <w:bookmarkEnd w:id="0"/>
      <w:r>
        <w:rPr>
          <w:rFonts w:cs="Arial" w:ascii="Arial" w:hAnsi="Arial"/>
          <w:b/>
          <w:bCs/>
          <w:sz w:val="22"/>
          <w:szCs w:val="22"/>
        </w:rPr>
        <w:t>SUPPLEMENTAL AGREEMENT</w:t>
      </w:r>
    </w:p>
    <w:p>
      <w:pPr>
        <w:pStyle w:val="UK12Block"/>
        <w:jc w:val="center"/>
        <w:rPr>
          <w:rFonts w:ascii="Arial" w:hAnsi="Arial" w:cs="Arial"/>
          <w:b/>
          <w:bCs/>
          <w:sz w:val="22"/>
          <w:szCs w:val="22"/>
        </w:rPr>
      </w:pPr>
      <w:r>
        <w:rPr>
          <w:rFonts w:cs="Arial" w:ascii="Arial" w:hAnsi="Arial"/>
          <w:b/>
          <w:bCs/>
          <w:sz w:val="22"/>
          <w:szCs w:val="22"/>
        </w:rPr>
      </w:r>
    </w:p>
    <w:p>
      <w:pPr>
        <w:pStyle w:val="UK12Block"/>
        <w:jc w:val="center"/>
        <w:rPr>
          <w:rFonts w:ascii="Arial" w:hAnsi="Arial" w:cs="Arial"/>
          <w:b/>
          <w:bCs/>
          <w:sz w:val="22"/>
          <w:szCs w:val="22"/>
        </w:rPr>
      </w:pPr>
      <w:r>
        <w:rPr>
          <w:rFonts w:cs="Arial" w:ascii="Arial" w:hAnsi="Arial"/>
          <w:b/>
          <w:bCs/>
          <w:sz w:val="22"/>
          <w:szCs w:val="22"/>
        </w:rPr>
        <w:t>between</w:t>
      </w:r>
    </w:p>
    <w:p>
      <w:pPr>
        <w:pStyle w:val="UK12Block"/>
        <w:jc w:val="center"/>
        <w:rPr>
          <w:rFonts w:ascii="Arial" w:hAnsi="Arial" w:cs="Arial"/>
          <w:b/>
          <w:bCs/>
          <w:sz w:val="22"/>
          <w:szCs w:val="22"/>
        </w:rPr>
      </w:pPr>
      <w:r>
        <w:rPr>
          <w:rFonts w:cs="Arial" w:ascii="Arial" w:hAnsi="Arial"/>
          <w:b/>
          <w:bCs/>
          <w:sz w:val="22"/>
          <w:szCs w:val="22"/>
        </w:rPr>
      </w:r>
    </w:p>
    <w:p>
      <w:pPr>
        <w:pStyle w:val="UK12Block"/>
        <w:jc w:val="center"/>
        <w:rPr>
          <w:rFonts w:ascii="Arial" w:hAnsi="Arial" w:cs="Arial"/>
          <w:b/>
          <w:bCs/>
          <w:sz w:val="22"/>
          <w:szCs w:val="22"/>
        </w:rPr>
      </w:pPr>
      <w:r>
        <w:rPr>
          <w:rFonts w:cs="Arial" w:ascii="Arial" w:hAnsi="Arial"/>
          <w:b/>
          <w:bCs/>
          <w:sz w:val="22"/>
          <w:szCs w:val="22"/>
        </w:rPr>
        <w:t>NETWORK RAIL INFRASTRUCTURE LIMITED</w:t>
      </w:r>
    </w:p>
    <w:p>
      <w:pPr>
        <w:pStyle w:val="UK12Block"/>
        <w:jc w:val="center"/>
        <w:rPr>
          <w:rFonts w:ascii="Arial" w:hAnsi="Arial" w:cs="Arial"/>
          <w:b/>
          <w:bCs/>
          <w:sz w:val="22"/>
          <w:szCs w:val="22"/>
        </w:rPr>
      </w:pPr>
      <w:r>
        <w:rPr>
          <w:rFonts w:cs="Arial" w:ascii="Arial" w:hAnsi="Arial"/>
          <w:b/>
          <w:bCs/>
          <w:sz w:val="22"/>
          <w:szCs w:val="22"/>
        </w:rPr>
      </w:r>
    </w:p>
    <w:p>
      <w:pPr>
        <w:pStyle w:val="UK12Block"/>
        <w:jc w:val="center"/>
        <w:rPr>
          <w:rFonts w:ascii="Arial" w:hAnsi="Arial" w:cs="Arial"/>
          <w:b/>
          <w:bCs/>
          <w:sz w:val="22"/>
          <w:szCs w:val="22"/>
        </w:rPr>
      </w:pPr>
      <w:r>
        <w:rPr>
          <w:rFonts w:cs="Arial" w:ascii="Arial" w:hAnsi="Arial"/>
          <w:b/>
          <w:bCs/>
          <w:sz w:val="22"/>
          <w:szCs w:val="22"/>
        </w:rPr>
        <w:t xml:space="preserve">and </w:t>
      </w:r>
    </w:p>
    <w:p>
      <w:pPr>
        <w:pStyle w:val="UK12Block"/>
        <w:jc w:val="center"/>
        <w:rPr>
          <w:rFonts w:ascii="Arial" w:hAnsi="Arial" w:cs="Arial"/>
          <w:b/>
          <w:bCs/>
          <w:sz w:val="22"/>
          <w:szCs w:val="22"/>
        </w:rPr>
      </w:pPr>
      <w:r>
        <w:rPr>
          <w:rFonts w:cs="Arial" w:ascii="Arial" w:hAnsi="Arial"/>
          <w:b/>
          <w:bCs/>
          <w:sz w:val="22"/>
          <w:szCs w:val="22"/>
        </w:rPr>
      </w:r>
    </w:p>
    <w:p>
      <w:pPr>
        <w:pStyle w:val="UK12Block"/>
        <w:jc w:val="center"/>
        <w:rPr>
          <w:rFonts w:ascii="Arial" w:hAnsi="Arial" w:cs="Arial"/>
          <w:b/>
          <w:bCs/>
          <w:sz w:val="22"/>
          <w:szCs w:val="22"/>
        </w:rPr>
      </w:pPr>
      <w:r>
        <w:rPr>
          <w:rFonts w:cs="Arial" w:ascii="Arial" w:hAnsi="Arial"/>
          <w:b/>
          <w:bCs/>
          <w:sz w:val="22"/>
          <w:szCs w:val="22"/>
          <w:highlight w:val="yellow"/>
        </w:rPr>
        <w:t>[</w:t>
      </w:r>
      <w:r>
        <w:rPr>
          <w:rFonts w:cs="Arial" w:ascii="Arial" w:hAnsi="Arial"/>
          <w:b/>
          <w:bCs/>
          <w:i/>
          <w:iCs/>
          <w:sz w:val="22"/>
          <w:szCs w:val="22"/>
          <w:highlight w:val="yellow"/>
        </w:rPr>
        <w:t>insert name of train operator</w:t>
      </w:r>
      <w:r>
        <w:rPr>
          <w:rFonts w:cs="Arial" w:ascii="Arial" w:hAnsi="Arial"/>
          <w:b/>
          <w:bCs/>
          <w:sz w:val="22"/>
          <w:szCs w:val="22"/>
          <w:highlight w:val="yellow"/>
        </w:rPr>
        <w:t>]</w:t>
      </w:r>
    </w:p>
    <w:p>
      <w:pPr>
        <w:pStyle w:val="UK12Block"/>
        <w:jc w:val="center"/>
        <w:rPr>
          <w:rFonts w:ascii="Arial" w:hAnsi="Arial" w:cs="Arial"/>
          <w:b/>
          <w:bCs/>
          <w:sz w:val="22"/>
          <w:szCs w:val="22"/>
        </w:rPr>
      </w:pPr>
      <w:r>
        <w:rPr>
          <w:rFonts w:cs="Arial" w:ascii="Arial" w:hAnsi="Arial"/>
          <w:b/>
          <w:bCs/>
          <w:sz w:val="22"/>
          <w:szCs w:val="22"/>
        </w:rPr>
      </w:r>
    </w:p>
    <w:p>
      <w:pPr>
        <w:pStyle w:val="UK12Block"/>
        <w:jc w:val="center"/>
        <w:rPr>
          <w:rFonts w:ascii="Arial" w:hAnsi="Arial" w:cs="Arial"/>
          <w:b/>
          <w:bCs/>
          <w:sz w:val="22"/>
          <w:szCs w:val="22"/>
        </w:rPr>
      </w:pPr>
      <w:r>
        <w:rPr>
          <w:rFonts w:cs="Arial" w:ascii="Arial" w:hAnsi="Arial"/>
          <w:b/>
          <w:bCs/>
          <w:sz w:val="22"/>
          <w:szCs w:val="22"/>
        </w:rPr>
      </w:r>
    </w:p>
    <w:p>
      <w:pPr>
        <w:pStyle w:val="UK12Block"/>
        <w:jc w:val="center"/>
        <w:rPr>
          <w:rFonts w:ascii="Arial" w:hAnsi="Arial" w:cs="Arial"/>
          <w:b/>
          <w:bCs/>
          <w:sz w:val="22"/>
          <w:szCs w:val="22"/>
        </w:rPr>
      </w:pPr>
      <w:r>
        <w:rPr>
          <w:rFonts w:cs="Arial" w:ascii="Arial" w:hAnsi="Arial"/>
          <w:b/>
          <w:bCs/>
          <w:sz w:val="22"/>
          <w:szCs w:val="22"/>
        </w:rPr>
      </w:r>
    </w:p>
    <w:p>
      <w:pPr>
        <w:pStyle w:val="UK12Block"/>
        <w:jc w:val="center"/>
        <w:rPr>
          <w:rFonts w:ascii="Arial" w:hAnsi="Arial" w:cs="Arial"/>
          <w:b/>
          <w:bCs/>
          <w:sz w:val="22"/>
          <w:szCs w:val="22"/>
        </w:rPr>
      </w:pPr>
      <w:r>
        <w:rPr>
          <w:rFonts w:cs="Arial" w:ascii="Arial" w:hAnsi="Arial"/>
          <w:b/>
          <w:bCs/>
          <w:sz w:val="22"/>
          <w:szCs w:val="22"/>
        </w:rPr>
        <w:t>_____________________________________</w:t>
      </w:r>
    </w:p>
    <w:p>
      <w:pPr>
        <w:pStyle w:val="UK12Block"/>
        <w:jc w:val="center"/>
        <w:rPr/>
      </w:pPr>
      <w:r>
        <w:rPr>
          <w:rFonts w:cs="Arial" w:ascii="Arial" w:hAnsi="Arial"/>
          <w:b/>
          <w:bCs/>
          <w:sz w:val="22"/>
          <w:szCs w:val="22"/>
        </w:rPr>
        <w:t xml:space="preserve">relating to amendments to a Track Access </w:t>
        <w:br/>
        <w:t xml:space="preserve">Contract </w:t>
      </w:r>
      <w:r>
        <w:rPr>
          <w:rFonts w:cs="Arial" w:ascii="Arial" w:hAnsi="Arial"/>
          <w:b/>
          <w:bCs/>
          <w:sz w:val="22"/>
          <w:szCs w:val="22"/>
          <w:highlight w:val="yellow"/>
        </w:rPr>
        <w:t>([</w:t>
      </w:r>
      <w:r>
        <w:rPr>
          <w:rFonts w:cs="Arial" w:ascii="Arial" w:hAnsi="Arial"/>
          <w:b/>
          <w:bCs/>
          <w:i/>
          <w:iCs/>
          <w:sz w:val="22"/>
          <w:szCs w:val="22"/>
          <w:highlight w:val="yellow"/>
        </w:rPr>
        <w:t>Non-Franchised Passenger</w:t>
      </w:r>
      <w:r>
        <w:rPr>
          <w:rFonts w:cs="Arial" w:ascii="Arial" w:hAnsi="Arial"/>
          <w:b/>
          <w:bCs/>
          <w:sz w:val="22"/>
          <w:szCs w:val="22"/>
          <w:highlight w:val="yellow"/>
        </w:rPr>
        <w:t>/</w:t>
      </w:r>
      <w:r>
        <w:rPr>
          <w:rFonts w:cs="Arial" w:ascii="Arial" w:hAnsi="Arial"/>
          <w:b/>
          <w:bCs/>
          <w:i/>
          <w:iCs/>
          <w:sz w:val="22"/>
          <w:szCs w:val="22"/>
          <w:highlight w:val="yellow"/>
        </w:rPr>
        <w:t>Passenger – delete as appropriate</w:t>
      </w:r>
      <w:r>
        <w:rPr>
          <w:rFonts w:cs="Arial" w:ascii="Arial" w:hAnsi="Arial"/>
          <w:b/>
          <w:bCs/>
          <w:sz w:val="22"/>
          <w:szCs w:val="22"/>
          <w:highlight w:val="yellow"/>
        </w:rPr>
        <w:t>]</w:t>
      </w:r>
      <w:r>
        <w:rPr>
          <w:rFonts w:cs="Arial" w:ascii="Arial" w:hAnsi="Arial"/>
          <w:b/>
          <w:bCs/>
          <w:sz w:val="22"/>
          <w:szCs w:val="22"/>
        </w:rPr>
        <w:t xml:space="preserve"> Services) dated </w:t>
      </w:r>
      <w:r>
        <w:rPr>
          <w:rFonts w:cs="Arial" w:ascii="Arial" w:hAnsi="Arial"/>
          <w:b/>
          <w:bCs/>
          <w:sz w:val="22"/>
          <w:szCs w:val="22"/>
          <w:highlight w:val="yellow"/>
        </w:rPr>
        <w:t>[</w:t>
      </w:r>
      <w:r>
        <w:rPr>
          <w:rFonts w:cs="Arial" w:ascii="Arial" w:hAnsi="Arial"/>
          <w:b/>
          <w:bCs/>
          <w:i/>
          <w:iCs/>
          <w:sz w:val="22"/>
          <w:szCs w:val="22"/>
          <w:highlight w:val="yellow"/>
        </w:rPr>
        <w:t>insert date</w:t>
      </w:r>
      <w:r>
        <w:rPr>
          <w:rFonts w:cs="Arial" w:ascii="Arial" w:hAnsi="Arial"/>
          <w:b/>
          <w:bCs/>
          <w:sz w:val="22"/>
          <w:szCs w:val="22"/>
          <w:highlight w:val="yellow"/>
        </w:rPr>
        <w:t>]</w:t>
      </w:r>
      <w:r>
        <w:rPr>
          <w:rFonts w:cs="Arial" w:ascii="Arial" w:hAnsi="Arial"/>
          <w:b/>
          <w:bCs/>
          <w:sz w:val="22"/>
          <w:szCs w:val="22"/>
        </w:rPr>
        <w:t xml:space="preserve"> – </w:t>
        <w:br/>
        <w:t>Interim treatment of the 2013 Periodic Review</w:t>
      </w:r>
    </w:p>
    <w:p>
      <w:pPr>
        <w:pStyle w:val="UK12Block"/>
        <w:jc w:val="center"/>
        <w:rPr>
          <w:rFonts w:ascii="Arial" w:hAnsi="Arial" w:cs="Arial"/>
          <w:b/>
          <w:bCs/>
          <w:sz w:val="22"/>
          <w:szCs w:val="22"/>
        </w:rPr>
      </w:pPr>
      <w:r>
        <w:rPr>
          <w:rFonts w:cs="Arial" w:ascii="Arial" w:hAnsi="Arial"/>
          <w:b/>
          <w:bCs/>
          <w:sz w:val="22"/>
          <w:szCs w:val="22"/>
        </w:rPr>
        <w:t>_____________________________________</w:t>
      </w:r>
    </w:p>
    <w:p>
      <w:pPr>
        <w:pStyle w:val="UK12Block"/>
        <w:jc w:val="center"/>
        <w:rPr>
          <w:rFonts w:ascii="Arial" w:hAnsi="Arial" w:cs="Arial"/>
          <w:b/>
          <w:bCs/>
          <w:sz w:val="22"/>
          <w:szCs w:val="22"/>
        </w:rPr>
      </w:pPr>
      <w:r>
        <w:rPr>
          <w:rFonts w:cs="Arial" w:ascii="Arial" w:hAnsi="Arial"/>
          <w:b/>
          <w:bCs/>
          <w:sz w:val="22"/>
          <w:szCs w:val="22"/>
        </w:rPr>
      </w:r>
    </w:p>
    <w:p>
      <w:pPr>
        <w:pStyle w:val="UK12Block"/>
        <w:jc w:val="center"/>
        <w:rPr>
          <w:rFonts w:ascii="Arial" w:hAnsi="Arial" w:cs="Arial"/>
          <w:b/>
          <w:bCs/>
          <w:sz w:val="22"/>
          <w:szCs w:val="22"/>
        </w:rPr>
      </w:pPr>
      <w:r>
        <w:rPr>
          <w:rFonts w:cs="Arial" w:ascii="Arial" w:hAnsi="Arial"/>
          <w:b/>
          <w:bCs/>
          <w:sz w:val="22"/>
          <w:szCs w:val="22"/>
        </w:rPr>
      </w:r>
    </w:p>
    <w:p>
      <w:pPr>
        <w:pStyle w:val="UK12Block"/>
        <w:jc w:val="center"/>
        <w:rPr>
          <w:rFonts w:ascii="Arial" w:hAnsi="Arial" w:cs="Arial"/>
          <w:b/>
          <w:bCs/>
          <w:sz w:val="22"/>
          <w:szCs w:val="22"/>
        </w:rPr>
      </w:pPr>
      <w:r>
        <w:rPr>
          <w:rFonts w:cs="Arial" w:ascii="Arial" w:hAnsi="Arial"/>
          <w:b/>
          <w:bCs/>
          <w:sz w:val="22"/>
          <w:szCs w:val="22"/>
        </w:rPr>
      </w:r>
    </w:p>
    <w:p>
      <w:pPr>
        <w:pStyle w:val="UK12Block"/>
        <w:jc w:val="center"/>
        <w:rPr>
          <w:rFonts w:ascii="Arial" w:hAnsi="Arial" w:cs="Arial"/>
          <w:b/>
          <w:bCs/>
          <w:sz w:val="22"/>
          <w:szCs w:val="22"/>
        </w:rPr>
      </w:pPr>
      <w:r>
        <w:rPr>
          <w:rFonts w:cs="Arial" w:ascii="Arial" w:hAnsi="Arial"/>
          <w:b/>
          <w:bCs/>
          <w:sz w:val="22"/>
          <w:szCs w:val="22"/>
        </w:rPr>
      </w:r>
    </w:p>
    <w:p>
      <w:pPr>
        <w:sectPr>
          <w:headerReference w:type="default" r:id="rId2"/>
          <w:headerReference w:type="first" r:id="rId3"/>
          <w:footerReference w:type="default" r:id="rId4"/>
          <w:footerReference w:type="first" r:id="rId5"/>
          <w:type w:val="nextPage"/>
          <w:pgSz w:w="11906" w:h="16838"/>
          <w:pgMar w:left="1440" w:right="1440" w:gutter="0" w:header="720" w:top="1797" w:footer="618" w:bottom="1440"/>
          <w:pgNumType w:fmt="decimal"/>
          <w:formProt w:val="false"/>
          <w:vAlign w:val="center"/>
          <w:titlePg/>
          <w:textDirection w:val="lrTb"/>
          <w:docGrid w:type="default" w:linePitch="360" w:charSpace="0"/>
        </w:sectPr>
        <w:pStyle w:val="UK12Block"/>
        <w:jc w:val="center"/>
        <w:rPr>
          <w:rFonts w:ascii="Arial" w:hAnsi="Arial" w:cs="Arial"/>
          <w:b/>
          <w:bCs/>
          <w:sz w:val="22"/>
          <w:szCs w:val="22"/>
        </w:rPr>
      </w:pPr>
      <w:r>
        <w:rPr>
          <w:rFonts w:cs="Arial" w:ascii="Arial" w:hAnsi="Arial"/>
          <w:b/>
          <w:bCs/>
          <w:sz w:val="22"/>
          <w:szCs w:val="22"/>
        </w:rPr>
      </w:r>
    </w:p>
    <w:p>
      <w:pPr>
        <w:pStyle w:val="UK12Block"/>
        <w:rPr/>
      </w:pPr>
      <w:bookmarkStart w:id="1" w:name="TOCHeading"/>
      <w:bookmarkStart w:id="2" w:name="docxsave"/>
      <w:bookmarkEnd w:id="1"/>
      <w:bookmarkEnd w:id="2"/>
      <w:r>
        <w:rPr>
          <w:rFonts w:cs="Arial" w:ascii="Arial" w:hAnsi="Arial"/>
          <w:b/>
          <w:sz w:val="22"/>
          <w:szCs w:val="22"/>
        </w:rPr>
        <w:t xml:space="preserve">THIS SUPPLEMENTAL AGREEMENT is dated </w:t>
      </w:r>
      <w:r>
        <w:rPr>
          <w:rFonts w:cs="Arial" w:ascii="Arial" w:hAnsi="Arial"/>
          <w:b/>
          <w:sz w:val="22"/>
          <w:szCs w:val="22"/>
          <w:highlight w:val="yellow"/>
        </w:rPr>
        <w:t>[</w:t>
      </w:r>
      <w:r>
        <w:rPr>
          <w:rFonts w:cs="Arial" w:ascii="Arial" w:hAnsi="Arial"/>
          <w:b/>
          <w:i/>
          <w:iCs/>
          <w:sz w:val="22"/>
          <w:szCs w:val="22"/>
          <w:highlight w:val="yellow"/>
        </w:rPr>
        <w:t>insert date</w:t>
      </w:r>
      <w:r>
        <w:rPr>
          <w:rFonts w:cs="Arial" w:ascii="Arial" w:hAnsi="Arial"/>
          <w:b/>
          <w:sz w:val="22"/>
          <w:szCs w:val="22"/>
          <w:highlight w:val="yellow"/>
        </w:rPr>
        <w:t>]</w:t>
      </w:r>
      <w:r>
        <w:rPr>
          <w:rFonts w:cs="Arial" w:ascii="Arial" w:hAnsi="Arial"/>
          <w:b/>
          <w:sz w:val="22"/>
          <w:szCs w:val="22"/>
        </w:rPr>
        <w:t xml:space="preserve"> 2013 and made between:</w:t>
      </w:r>
    </w:p>
    <w:p>
      <w:pPr>
        <w:pStyle w:val="Normal"/>
        <w:numPr>
          <w:ilvl w:val="0"/>
          <w:numId w:val="4"/>
        </w:numPr>
        <w:spacing w:before="0" w:after="0"/>
        <w:jc w:val="both"/>
        <w:rPr>
          <w:rStyle w:val="UK12Block05Char"/>
          <w:rFonts w:cs="Arial"/>
          <w:szCs w:val="22"/>
        </w:rPr>
      </w:pPr>
      <w:r>
        <w:rPr>
          <w:rStyle w:val="UK12Block05Char"/>
          <w:rFonts w:cs="Arial"/>
          <w:b/>
          <w:szCs w:val="22"/>
        </w:rPr>
        <w:t>NETWORK RAIL INFRASTRUCTURE LIMITED</w:t>
      </w:r>
      <w:r>
        <w:rPr>
          <w:rStyle w:val="UK12Block05Char"/>
          <w:rFonts w:cs="Arial"/>
          <w:szCs w:val="22"/>
        </w:rPr>
        <w:t>, a company registered in England under company number 02904587, having its registered office at Kings Place, 90 York Way, London N1 9AG ("</w:t>
      </w:r>
      <w:r>
        <w:rPr>
          <w:rStyle w:val="UK12Block05Char"/>
          <w:rFonts w:cs="Arial"/>
          <w:b/>
          <w:szCs w:val="22"/>
        </w:rPr>
        <w:t>Network Rail</w:t>
      </w:r>
      <w:r>
        <w:rPr>
          <w:rStyle w:val="UK12Block05Char"/>
          <w:rFonts w:cs="Arial"/>
          <w:szCs w:val="22"/>
        </w:rPr>
        <w:t xml:space="preserve">"); and </w:t>
      </w:r>
    </w:p>
    <w:p>
      <w:pPr>
        <w:pStyle w:val="Normal"/>
        <w:spacing w:before="0" w:after="0"/>
        <w:ind w:start="720" w:end="0"/>
        <w:jc w:val="both"/>
        <w:rPr>
          <w:rStyle w:val="UK12Block05Char"/>
          <w:rFonts w:cs="Arial"/>
          <w:szCs w:val="22"/>
        </w:rPr>
      </w:pPr>
      <w:r>
        <w:rPr/>
      </w:r>
    </w:p>
    <w:p>
      <w:pPr>
        <w:pStyle w:val="Normal"/>
        <w:numPr>
          <w:ilvl w:val="0"/>
          <w:numId w:val="4"/>
        </w:numPr>
        <w:spacing w:before="0" w:after="0"/>
        <w:jc w:val="both"/>
        <w:rPr>
          <w:rStyle w:val="UK12Block05Char"/>
          <w:rFonts w:cs="Arial"/>
          <w:szCs w:val="22"/>
        </w:rPr>
      </w:pPr>
      <w:r>
        <w:rPr>
          <w:rStyle w:val="UK12Block05Char"/>
          <w:rFonts w:cs="Arial"/>
          <w:szCs w:val="22"/>
          <w:highlight w:val="yellow"/>
        </w:rPr>
        <w:t>[</w:t>
      </w:r>
      <w:r>
        <w:rPr>
          <w:rStyle w:val="UK12Block05Char"/>
          <w:rFonts w:cs="Arial"/>
          <w:i/>
          <w:iCs/>
          <w:szCs w:val="22"/>
          <w:highlight w:val="yellow"/>
        </w:rPr>
        <w:t>insert name of train operator</w:t>
      </w:r>
      <w:r>
        <w:rPr>
          <w:rStyle w:val="UK12Block05Char"/>
          <w:rFonts w:cs="Arial"/>
          <w:szCs w:val="22"/>
          <w:highlight w:val="yellow"/>
        </w:rPr>
        <w:t>]</w:t>
      </w:r>
      <w:r>
        <w:rPr>
          <w:rStyle w:val="UK12Block05Char"/>
          <w:rFonts w:cs="Arial"/>
          <w:szCs w:val="22"/>
        </w:rPr>
        <w:t xml:space="preserve">, a company registered in England and Wales under company number </w:t>
      </w:r>
      <w:r>
        <w:rPr>
          <w:rStyle w:val="UK12Block05Char"/>
          <w:rFonts w:cs="Arial"/>
          <w:szCs w:val="22"/>
          <w:highlight w:val="yellow"/>
        </w:rPr>
        <w:t>[</w:t>
      </w:r>
      <w:r>
        <w:rPr>
          <w:rStyle w:val="UK12Block05Char"/>
          <w:rFonts w:cs="Arial"/>
          <w:i/>
          <w:iCs/>
          <w:szCs w:val="22"/>
          <w:highlight w:val="yellow"/>
        </w:rPr>
        <w:t>insert number</w:t>
      </w:r>
      <w:r>
        <w:rPr>
          <w:rStyle w:val="UK12Block05Char"/>
          <w:rFonts w:cs="Arial"/>
          <w:szCs w:val="22"/>
          <w:highlight w:val="yellow"/>
        </w:rPr>
        <w:t>]</w:t>
      </w:r>
      <w:r>
        <w:rPr>
          <w:rStyle w:val="UK12Block05Char"/>
          <w:rFonts w:cs="Arial"/>
          <w:szCs w:val="22"/>
        </w:rPr>
        <w:t xml:space="preserve">, having its registered office at </w:t>
      </w:r>
      <w:r>
        <w:rPr>
          <w:rStyle w:val="UK12Block05Char"/>
          <w:rFonts w:cs="Arial"/>
          <w:szCs w:val="22"/>
          <w:highlight w:val="yellow"/>
        </w:rPr>
        <w:t>[</w:t>
      </w:r>
      <w:r>
        <w:rPr>
          <w:rStyle w:val="UK12Block05Char"/>
          <w:rFonts w:cs="Arial"/>
          <w:i/>
          <w:iCs/>
          <w:szCs w:val="22"/>
          <w:highlight w:val="yellow"/>
        </w:rPr>
        <w:t>insert address</w:t>
      </w:r>
      <w:r>
        <w:rPr>
          <w:rStyle w:val="UK12Block05Char"/>
          <w:rFonts w:cs="Arial"/>
          <w:szCs w:val="22"/>
          <w:highlight w:val="yellow"/>
        </w:rPr>
        <w:t>]</w:t>
      </w:r>
      <w:r>
        <w:rPr>
          <w:rStyle w:val="UK12Block05Char"/>
          <w:rFonts w:cs="Arial"/>
          <w:szCs w:val="22"/>
        </w:rPr>
        <w:t xml:space="preserve"> (the "</w:t>
      </w:r>
      <w:r>
        <w:rPr>
          <w:rStyle w:val="UK12Block05Char"/>
          <w:rFonts w:cs="Arial"/>
          <w:b/>
          <w:szCs w:val="22"/>
        </w:rPr>
        <w:t>Train Operator</w:t>
      </w:r>
      <w:r>
        <w:rPr>
          <w:rStyle w:val="UK12Block05Char"/>
          <w:rFonts w:cs="Arial"/>
          <w:szCs w:val="22"/>
        </w:rPr>
        <w:t>").</w:t>
      </w:r>
    </w:p>
    <w:p>
      <w:pPr>
        <w:pStyle w:val="UK12Block"/>
        <w:rPr/>
      </w:pPr>
      <w:r>
        <w:rPr>
          <w:rFonts w:cs="Arial" w:ascii="Arial" w:hAnsi="Arial"/>
          <w:b/>
          <w:sz w:val="22"/>
          <w:szCs w:val="22"/>
        </w:rPr>
        <w:t>Background:</w:t>
      </w:r>
    </w:p>
    <w:p>
      <w:pPr>
        <w:pStyle w:val="UK12Block"/>
        <w:ind w:hanging="720" w:start="720" w:end="0"/>
        <w:rPr/>
      </w:pPr>
      <w:r>
        <w:rPr>
          <w:rFonts w:cs="Arial" w:ascii="Arial" w:hAnsi="Arial"/>
          <w:sz w:val="22"/>
          <w:szCs w:val="22"/>
        </w:rPr>
        <w:t>(A)</w:t>
        <w:tab/>
        <w:t>The parties entered into a Track Access Contract (</w:t>
      </w:r>
      <w:r>
        <w:rPr>
          <w:rFonts w:cs="Arial" w:ascii="Arial" w:hAnsi="Arial"/>
          <w:sz w:val="22"/>
          <w:szCs w:val="22"/>
          <w:highlight w:val="yellow"/>
        </w:rPr>
        <w:t>[</w:t>
      </w:r>
      <w:r>
        <w:rPr>
          <w:rFonts w:cs="Arial" w:ascii="Arial" w:hAnsi="Arial"/>
          <w:i/>
          <w:iCs/>
          <w:sz w:val="22"/>
          <w:szCs w:val="22"/>
          <w:highlight w:val="yellow"/>
        </w:rPr>
        <w:t>Non-Franchised Passenger/Passenger – delete as appropriate</w:t>
      </w:r>
      <w:r>
        <w:rPr>
          <w:rFonts w:cs="Arial" w:ascii="Arial" w:hAnsi="Arial"/>
          <w:sz w:val="22"/>
          <w:szCs w:val="22"/>
          <w:highlight w:val="yellow"/>
        </w:rPr>
        <w:t>]</w:t>
      </w:r>
      <w:r>
        <w:rPr>
          <w:rFonts w:cs="Arial" w:ascii="Arial" w:hAnsi="Arial"/>
          <w:sz w:val="22"/>
          <w:szCs w:val="22"/>
        </w:rPr>
        <w:t xml:space="preserve"> Services) dated </w:t>
      </w:r>
      <w:r>
        <w:rPr>
          <w:rFonts w:cs="Arial" w:ascii="Arial" w:hAnsi="Arial"/>
          <w:sz w:val="22"/>
          <w:szCs w:val="22"/>
          <w:highlight w:val="yellow"/>
        </w:rPr>
        <w:t>[</w:t>
      </w:r>
      <w:r>
        <w:rPr>
          <w:rFonts w:cs="Arial" w:ascii="Arial" w:hAnsi="Arial"/>
          <w:i/>
          <w:iCs/>
          <w:sz w:val="22"/>
          <w:szCs w:val="22"/>
          <w:highlight w:val="yellow"/>
        </w:rPr>
        <w:t>insert date</w:t>
      </w:r>
      <w:r>
        <w:rPr>
          <w:rFonts w:cs="Arial" w:ascii="Arial" w:hAnsi="Arial"/>
          <w:sz w:val="22"/>
          <w:szCs w:val="22"/>
          <w:highlight w:val="yellow"/>
        </w:rPr>
        <w:t>]</w:t>
      </w:r>
      <w:r>
        <w:rPr>
          <w:rFonts w:cs="Arial" w:ascii="Arial" w:hAnsi="Arial"/>
          <w:sz w:val="22"/>
          <w:szCs w:val="22"/>
        </w:rPr>
        <w:t xml:space="preserve"> as amended by various supplemental agreements (which track access contract as subsequently amended is hereafter referred to as the "</w:t>
      </w:r>
      <w:r>
        <w:rPr>
          <w:rFonts w:cs="Arial" w:ascii="Arial" w:hAnsi="Arial"/>
          <w:b/>
          <w:sz w:val="22"/>
          <w:szCs w:val="22"/>
        </w:rPr>
        <w:t>Contract</w:t>
      </w:r>
      <w:r>
        <w:rPr>
          <w:rFonts w:cs="Arial" w:ascii="Arial" w:hAnsi="Arial"/>
          <w:sz w:val="22"/>
          <w:szCs w:val="22"/>
        </w:rPr>
        <w:t>").</w:t>
      </w:r>
    </w:p>
    <w:p>
      <w:pPr>
        <w:pStyle w:val="UK12Block"/>
        <w:ind w:hanging="720" w:start="720" w:end="0"/>
        <w:rPr>
          <w:rFonts w:ascii="Arial" w:hAnsi="Arial" w:cs="Arial"/>
          <w:sz w:val="22"/>
          <w:szCs w:val="22"/>
        </w:rPr>
      </w:pPr>
      <w:r>
        <w:rPr>
          <w:rFonts w:cs="Arial" w:ascii="Arial" w:hAnsi="Arial"/>
          <w:sz w:val="22"/>
          <w:szCs w:val="22"/>
        </w:rPr>
        <w:t>(B)</w:t>
        <w:tab/>
        <w:t xml:space="preserve">The parties wish to amend the Contract to incorporate a mechanism which will provide for the treatment of revised track access charges and certain other matters forming the subject of the Office of Rail Regulation’s 2013 periodic review pending the conclusion of the periodic review process. This Supplemental Agreement provides for the insertion of a new Clause </w:t>
      </w:r>
      <w:r>
        <w:rPr>
          <w:rFonts w:cs="Arial" w:ascii="Arial" w:hAnsi="Arial"/>
          <w:sz w:val="22"/>
          <w:szCs w:val="22"/>
          <w:highlight w:val="yellow"/>
        </w:rPr>
        <w:t>[</w:t>
      </w:r>
      <w:r>
        <w:rPr>
          <w:rFonts w:cs="Arial" w:ascii="Arial" w:hAnsi="Arial"/>
          <w:i/>
          <w:iCs/>
          <w:sz w:val="22"/>
          <w:szCs w:val="22"/>
          <w:highlight w:val="yellow"/>
        </w:rPr>
        <w:t>insert relevant clause number</w:t>
      </w:r>
      <w:r>
        <w:rPr>
          <w:rFonts w:cs="Arial" w:ascii="Arial" w:hAnsi="Arial"/>
          <w:sz w:val="22"/>
          <w:szCs w:val="22"/>
          <w:highlight w:val="yellow"/>
        </w:rPr>
        <w:t>]</w:t>
      </w:r>
      <w:r>
        <w:rPr>
          <w:rFonts w:cs="Arial" w:ascii="Arial" w:hAnsi="Arial"/>
          <w:sz w:val="22"/>
          <w:szCs w:val="22"/>
        </w:rPr>
        <w:t xml:space="preserve"> in order to incorporate such a mechanism into the Contract.</w:t>
      </w:r>
    </w:p>
    <w:p>
      <w:pPr>
        <w:pStyle w:val="UK12Block"/>
        <w:ind w:hanging="720" w:start="720" w:end="0"/>
        <w:rPr>
          <w:rFonts w:ascii="Arial" w:hAnsi="Arial" w:cs="Arial"/>
          <w:sz w:val="22"/>
          <w:szCs w:val="22"/>
        </w:rPr>
      </w:pPr>
      <w:r>
        <w:rPr>
          <w:rFonts w:cs="Arial" w:ascii="Arial" w:hAnsi="Arial"/>
          <w:sz w:val="22"/>
          <w:szCs w:val="22"/>
        </w:rPr>
        <w:t>(C)</w:t>
        <w:tab/>
        <w:t>This Supplemental Agreement is entered into pursuant to the Supplemental Agreement (Interim Treatment of the 2013 Periodic Review) General Approval 2013.</w:t>
      </w:r>
    </w:p>
    <w:p>
      <w:pPr>
        <w:pStyle w:val="UK12Block"/>
        <w:rPr/>
      </w:pPr>
      <w:r>
        <w:rPr>
          <w:rFonts w:cs="Arial" w:ascii="Arial" w:hAnsi="Arial"/>
          <w:b/>
          <w:sz w:val="22"/>
          <w:szCs w:val="22"/>
        </w:rPr>
        <w:t>IT IS HEREBY AGREED</w:t>
      </w:r>
      <w:r>
        <w:rPr>
          <w:rFonts w:cs="Arial" w:ascii="Arial" w:hAnsi="Arial"/>
          <w:sz w:val="22"/>
          <w:szCs w:val="22"/>
        </w:rPr>
        <w:t xml:space="preserve"> as follows:</w:t>
      </w:r>
    </w:p>
    <w:p>
      <w:pPr>
        <w:pStyle w:val="Heading1"/>
        <w:numPr>
          <w:ilvl w:val="0"/>
          <w:numId w:val="5"/>
        </w:numPr>
        <w:spacing w:lineRule="atLeast" w:line="246"/>
        <w:rPr>
          <w:rFonts w:cs="Arial"/>
          <w:sz w:val="22"/>
          <w:szCs w:val="22"/>
        </w:rPr>
      </w:pPr>
      <w:r>
        <w:rPr>
          <w:rFonts w:cs="Arial"/>
          <w:sz w:val="22"/>
          <w:szCs w:val="22"/>
        </w:rPr>
        <w:t>INTERPRETATION</w:t>
      </w:r>
    </w:p>
    <w:p>
      <w:pPr>
        <w:pStyle w:val="UK12Block05"/>
        <w:ind w:start="360" w:end="0"/>
        <w:rPr>
          <w:rFonts w:ascii="Arial" w:hAnsi="Arial" w:cs="Arial"/>
          <w:szCs w:val="22"/>
        </w:rPr>
      </w:pPr>
      <w:r>
        <w:rPr>
          <w:rFonts w:cs="Arial" w:ascii="Arial" w:hAnsi="Arial"/>
          <w:szCs w:val="22"/>
        </w:rPr>
        <w:t>In this Supplemental Agreement words and expressions defined in and rules of interpretation set out in the Contract shall have the same meaning and effect when used in this Supplemental Agreement except where the context requires otherwise.</w:t>
      </w:r>
    </w:p>
    <w:p>
      <w:pPr>
        <w:pStyle w:val="UK12Block05"/>
        <w:ind w:start="360" w:end="0"/>
        <w:rPr>
          <w:rFonts w:ascii="Arial" w:hAnsi="Arial" w:cs="Arial"/>
          <w:szCs w:val="22"/>
        </w:rPr>
      </w:pPr>
      <w:r>
        <w:rPr>
          <w:rFonts w:cs="Arial" w:ascii="Arial" w:hAnsi="Arial"/>
          <w:szCs w:val="22"/>
        </w:rPr>
      </w:r>
    </w:p>
    <w:p>
      <w:pPr>
        <w:pStyle w:val="Heading1"/>
        <w:numPr>
          <w:ilvl w:val="0"/>
          <w:numId w:val="5"/>
        </w:numPr>
        <w:spacing w:lineRule="atLeast" w:line="246"/>
        <w:rPr>
          <w:rFonts w:cs="Arial"/>
          <w:sz w:val="22"/>
          <w:szCs w:val="22"/>
        </w:rPr>
      </w:pPr>
      <w:r>
        <w:rPr>
          <w:rFonts w:cs="Arial"/>
          <w:sz w:val="22"/>
          <w:szCs w:val="22"/>
        </w:rPr>
        <w:t>EFFECTIVE DATE AND TERM</w:t>
      </w:r>
    </w:p>
    <w:p>
      <w:pPr>
        <w:pStyle w:val="UK12Block05"/>
        <w:ind w:start="360" w:end="0"/>
        <w:rPr/>
      </w:pPr>
      <w:r>
        <w:rPr>
          <w:rFonts w:cs="Arial" w:ascii="Arial" w:hAnsi="Arial"/>
          <w:szCs w:val="22"/>
        </w:rPr>
        <w:t>The amendments to the Contract made pursuant to this Supplemental Agreement shall have effect from the date of this Supplemental Agreement and shall cease to have effect at 23:59 hours on the Expiry Date or earlier termination of the Contract.</w:t>
      </w:r>
    </w:p>
    <w:p>
      <w:pPr>
        <w:pStyle w:val="UK12Block05"/>
        <w:rPr>
          <w:rFonts w:ascii="Arial" w:hAnsi="Arial" w:cs="Arial"/>
          <w:szCs w:val="22"/>
        </w:rPr>
      </w:pPr>
      <w:r>
        <w:rPr>
          <w:rFonts w:cs="Arial" w:ascii="Arial" w:hAnsi="Arial"/>
          <w:szCs w:val="22"/>
        </w:rPr>
      </w:r>
    </w:p>
    <w:p>
      <w:pPr>
        <w:pStyle w:val="Heading1"/>
        <w:numPr>
          <w:ilvl w:val="0"/>
          <w:numId w:val="5"/>
        </w:numPr>
        <w:spacing w:lineRule="atLeast" w:line="246"/>
        <w:rPr>
          <w:rFonts w:cs="Arial"/>
          <w:sz w:val="22"/>
          <w:szCs w:val="22"/>
        </w:rPr>
      </w:pPr>
      <w:r>
        <w:rPr>
          <w:rFonts w:cs="Arial"/>
          <w:sz w:val="22"/>
          <w:szCs w:val="22"/>
        </w:rPr>
        <w:t>AMENDMENTS TO THE CONTRACT</w:t>
      </w:r>
    </w:p>
    <w:p>
      <w:pPr>
        <w:pStyle w:val="UK12Block05"/>
        <w:ind w:start="0" w:end="0"/>
        <w:rPr/>
      </w:pPr>
      <w:r>
        <w:rPr>
          <w:rFonts w:cs="Arial" w:ascii="Arial" w:hAnsi="Arial"/>
          <w:szCs w:val="22"/>
          <w:highlight w:val="yellow"/>
        </w:rPr>
        <w:t xml:space="preserve">[Delete Clause </w:t>
      </w:r>
      <w:r>
        <w:rPr>
          <w:rFonts w:cs="Arial" w:ascii="Arial" w:hAnsi="Arial"/>
          <w:szCs w:val="22"/>
          <w:highlight w:val="lightGray"/>
        </w:rPr>
        <w:t>[</w:t>
      </w:r>
      <w:r>
        <w:rPr>
          <w:rFonts w:cs="Arial" w:ascii="Arial" w:hAnsi="Arial"/>
          <w:i/>
          <w:iCs/>
          <w:szCs w:val="22"/>
          <w:highlight w:val="lightGray"/>
        </w:rPr>
        <w:t>insert number</w:t>
      </w:r>
      <w:r>
        <w:rPr>
          <w:rFonts w:cs="Arial" w:ascii="Arial" w:hAnsi="Arial"/>
          <w:szCs w:val="22"/>
          <w:highlight w:val="lightGray"/>
        </w:rPr>
        <w:t>]</w:t>
      </w:r>
      <w:r>
        <w:rPr>
          <w:rFonts w:cs="Arial" w:ascii="Arial" w:hAnsi="Arial"/>
          <w:szCs w:val="22"/>
          <w:highlight w:val="yellow"/>
        </w:rPr>
        <w:t xml:space="preserve"> “Interim Treatment of Access Charges Review” from the Contract.]</w:t>
      </w:r>
      <w:r>
        <w:rPr>
          <w:rStyle w:val="FootnoteCharacters"/>
          <w:rStyle w:val="FootnoteReference"/>
          <w:rFonts w:cs="Arial"/>
          <w:sz w:val="22"/>
          <w:szCs w:val="22"/>
        </w:rPr>
        <w:footnoteReference w:id="2"/>
      </w:r>
      <w:r>
        <w:rPr>
          <w:rFonts w:cs="Arial" w:ascii="Arial" w:hAnsi="Arial"/>
          <w:szCs w:val="22"/>
        </w:rPr>
        <w:t xml:space="preserve"> A new Clause </w:t>
      </w:r>
      <w:r>
        <w:rPr>
          <w:rFonts w:cs="Arial" w:ascii="Arial" w:hAnsi="Arial"/>
          <w:szCs w:val="22"/>
          <w:highlight w:val="yellow"/>
        </w:rPr>
        <w:t>[</w:t>
      </w:r>
      <w:r>
        <w:rPr>
          <w:rFonts w:cs="Arial" w:ascii="Arial" w:hAnsi="Arial"/>
          <w:i/>
          <w:szCs w:val="22"/>
          <w:highlight w:val="yellow"/>
        </w:rPr>
        <w:t>insert number</w:t>
      </w:r>
      <w:r>
        <w:rPr>
          <w:rFonts w:cs="Arial" w:ascii="Arial" w:hAnsi="Arial"/>
          <w:szCs w:val="22"/>
          <w:highlight w:val="yellow"/>
        </w:rPr>
        <w:t>]</w:t>
      </w:r>
      <w:r>
        <w:rPr>
          <w:rFonts w:cs="Arial" w:ascii="Arial" w:hAnsi="Arial"/>
          <w:szCs w:val="22"/>
        </w:rPr>
        <w:t xml:space="preserve"> shall be inserted into the Contract as follows:</w:t>
      </w:r>
    </w:p>
    <w:p>
      <w:pPr>
        <w:pStyle w:val="UK12Block05"/>
        <w:ind w:firstLine="720" w:start="0" w:end="0"/>
        <w:rPr>
          <w:rFonts w:ascii="Arial" w:hAnsi="Arial" w:cs="Arial"/>
          <w:b/>
          <w:szCs w:val="22"/>
          <w:lang w:eastAsia="zh-CN"/>
        </w:rPr>
      </w:pPr>
      <w:r>
        <w:rPr>
          <w:rFonts w:cs="Arial" w:ascii="Arial" w:hAnsi="Arial"/>
          <w:b/>
          <w:szCs w:val="22"/>
          <w:lang w:eastAsia="zh-CN"/>
        </w:rPr>
        <w:t>"</w:t>
      </w:r>
      <w:r>
        <w:rPr>
          <w:rFonts w:cs="Arial" w:ascii="Arial" w:hAnsi="Arial"/>
          <w:b/>
          <w:szCs w:val="22"/>
          <w:highlight w:val="yellow"/>
          <w:lang w:eastAsia="zh-CN"/>
        </w:rPr>
        <w:t>[</w:t>
      </w:r>
      <w:r>
        <w:rPr>
          <w:rFonts w:cs="Arial" w:ascii="Arial" w:hAnsi="Arial"/>
          <w:b/>
          <w:i/>
          <w:iCs/>
          <w:szCs w:val="22"/>
          <w:highlight w:val="yellow"/>
          <w:lang w:eastAsia="zh-CN"/>
        </w:rPr>
        <w:t>insert number</w:t>
      </w:r>
      <w:r>
        <w:rPr>
          <w:rFonts w:cs="Arial" w:ascii="Arial" w:hAnsi="Arial"/>
          <w:b/>
          <w:szCs w:val="22"/>
          <w:highlight w:val="yellow"/>
          <w:lang w:eastAsia="zh-CN"/>
        </w:rPr>
        <w:t>]</w:t>
      </w:r>
      <w:r>
        <w:rPr>
          <w:rFonts w:cs="Arial" w:ascii="Arial" w:hAnsi="Arial"/>
          <w:b/>
          <w:szCs w:val="22"/>
          <w:lang w:eastAsia="zh-CN"/>
        </w:rPr>
        <w:t xml:space="preserve"> INTERIM TREATMENT OF 2013 PERIODIC REVIEW</w:t>
      </w:r>
    </w:p>
    <w:p>
      <w:pPr>
        <w:pStyle w:val="UK12Block05"/>
        <w:ind w:firstLine="720" w:start="0" w:end="0"/>
        <w:rPr>
          <w:rFonts w:ascii="Arial" w:hAnsi="Arial" w:cs="Arial"/>
          <w:b/>
          <w:szCs w:val="22"/>
          <w:lang w:eastAsia="zh-CN"/>
        </w:rPr>
      </w:pPr>
      <w:r>
        <w:rPr>
          <w:rFonts w:cs="Arial" w:ascii="Arial" w:hAnsi="Arial"/>
          <w:b/>
          <w:szCs w:val="22"/>
          <w:highlight w:val="yellow"/>
          <w:lang w:eastAsia="zh-CN"/>
        </w:rPr>
        <w:t>[</w:t>
      </w:r>
      <w:r>
        <w:rPr>
          <w:rFonts w:cs="Arial" w:ascii="Arial" w:hAnsi="Arial"/>
          <w:b/>
          <w:i/>
          <w:iCs/>
          <w:szCs w:val="22"/>
          <w:highlight w:val="yellow"/>
          <w:lang w:eastAsia="zh-CN"/>
        </w:rPr>
        <w:t>insert number</w:t>
      </w:r>
      <w:r>
        <w:rPr>
          <w:rFonts w:cs="Arial" w:ascii="Arial" w:hAnsi="Arial"/>
          <w:b/>
          <w:szCs w:val="22"/>
          <w:highlight w:val="yellow"/>
          <w:lang w:eastAsia="zh-CN"/>
        </w:rPr>
        <w:t>]</w:t>
      </w:r>
      <w:r>
        <w:rPr>
          <w:rFonts w:cs="Arial" w:ascii="Arial" w:hAnsi="Arial"/>
          <w:b/>
          <w:szCs w:val="22"/>
          <w:lang w:eastAsia="zh-CN"/>
        </w:rPr>
        <w:t>.1 Treatment prior to implementation</w:t>
      </w:r>
    </w:p>
    <w:p>
      <w:pPr>
        <w:pStyle w:val="UK12Block05"/>
        <w:rPr>
          <w:rFonts w:ascii="Arial" w:hAnsi="Arial" w:cs="Arial"/>
          <w:szCs w:val="22"/>
          <w:lang w:eastAsia="zh-CN"/>
        </w:rPr>
      </w:pPr>
      <w:r>
        <w:rPr>
          <w:rFonts w:cs="Arial" w:ascii="Arial" w:hAnsi="Arial"/>
          <w:szCs w:val="22"/>
          <w:lang w:eastAsia="zh-CN"/>
        </w:rPr>
        <w:t>If the terms of a Proposed Review Notice proposing amendments to the Contract are not implemented in accordance with paragraph 7 of Schedule 4A to the Act on 1 April 2014 for any reason, then, irrespective of such terms not having been so implemented, each proposed amendment to the Contract set out in the Proposed Review Notice shall have effect on that date or from any later date (or dates) specified in the Proposed Review Notice in respect of any individual amendment, in each case until such time as:</w:t>
      </w:r>
    </w:p>
    <w:p>
      <w:pPr>
        <w:pStyle w:val="UK12Block05"/>
        <w:numPr>
          <w:ilvl w:val="0"/>
          <w:numId w:val="3"/>
        </w:numPr>
        <w:rPr>
          <w:rFonts w:ascii="Arial" w:hAnsi="Arial" w:cs="Arial"/>
          <w:b/>
          <w:szCs w:val="22"/>
          <w:lang w:eastAsia="zh-CN"/>
        </w:rPr>
      </w:pPr>
      <w:r>
        <w:rPr>
          <w:rFonts w:cs="Arial" w:ascii="Arial" w:hAnsi="Arial"/>
          <w:szCs w:val="22"/>
          <w:lang w:eastAsia="zh-CN"/>
        </w:rPr>
        <w:t>a Review Implementation Notice is served; or</w:t>
      </w:r>
    </w:p>
    <w:p>
      <w:pPr>
        <w:pStyle w:val="UK12Block05"/>
        <w:numPr>
          <w:ilvl w:val="0"/>
          <w:numId w:val="3"/>
        </w:numPr>
        <w:rPr>
          <w:rFonts w:ascii="Arial" w:hAnsi="Arial" w:cs="Arial"/>
          <w:b/>
          <w:szCs w:val="22"/>
          <w:lang w:eastAsia="zh-CN"/>
        </w:rPr>
      </w:pPr>
      <w:r>
        <w:rPr>
          <w:rFonts w:cs="Arial" w:ascii="Arial" w:hAnsi="Arial"/>
          <w:szCs w:val="22"/>
          <w:lang w:eastAsia="zh-CN"/>
        </w:rPr>
        <w:t>following a reference to the Competition Commission in accordance with paragraph 9 of Schedule 4A to the Act, any amendments to the Contract, made in accordance with paragraphs 12(8), 12(9) or 14(3) of Schedule 4A to the Act, come into operation.</w:t>
      </w:r>
    </w:p>
    <w:p>
      <w:pPr>
        <w:pStyle w:val="UK12Block05"/>
        <w:ind w:firstLine="720" w:start="0" w:end="0"/>
        <w:rPr/>
      </w:pPr>
      <w:r>
        <w:rPr>
          <w:rFonts w:cs="Arial" w:ascii="Arial" w:hAnsi="Arial"/>
          <w:b/>
          <w:szCs w:val="22"/>
          <w:highlight w:val="yellow"/>
          <w:lang w:eastAsia="zh-CN"/>
        </w:rPr>
        <w:t>[</w:t>
      </w:r>
      <w:r>
        <w:rPr>
          <w:rFonts w:cs="Arial" w:ascii="Arial" w:hAnsi="Arial"/>
          <w:b/>
          <w:bCs/>
          <w:i/>
          <w:iCs/>
          <w:szCs w:val="22"/>
          <w:highlight w:val="yellow"/>
          <w:lang w:eastAsia="zh-CN"/>
        </w:rPr>
        <w:t>insert number</w:t>
      </w:r>
      <w:r>
        <w:rPr>
          <w:rFonts w:cs="Arial" w:ascii="Arial" w:hAnsi="Arial"/>
          <w:b/>
          <w:szCs w:val="22"/>
          <w:highlight w:val="yellow"/>
          <w:lang w:eastAsia="zh-CN"/>
        </w:rPr>
        <w:t>]</w:t>
      </w:r>
      <w:r>
        <w:rPr>
          <w:rFonts w:cs="Arial" w:ascii="Arial" w:hAnsi="Arial"/>
          <w:b/>
          <w:szCs w:val="22"/>
          <w:lang w:eastAsia="zh-CN"/>
        </w:rPr>
        <w:t>.2 Definitions</w:t>
      </w:r>
    </w:p>
    <w:p>
      <w:pPr>
        <w:pStyle w:val="UK12Block05"/>
        <w:ind w:firstLine="720" w:start="0" w:end="0"/>
        <w:rPr/>
      </w:pPr>
      <w:r>
        <w:rPr>
          <w:rFonts w:cs="Arial" w:ascii="Arial" w:hAnsi="Arial"/>
          <w:szCs w:val="22"/>
          <w:lang w:eastAsia="zh-CN"/>
        </w:rPr>
        <w:t xml:space="preserve">In this Clause </w:t>
      </w:r>
      <w:r>
        <w:rPr>
          <w:rFonts w:cs="Arial" w:ascii="Arial" w:hAnsi="Arial"/>
          <w:szCs w:val="22"/>
          <w:highlight w:val="yellow"/>
          <w:lang w:eastAsia="zh-CN"/>
        </w:rPr>
        <w:t>[</w:t>
      </w:r>
      <w:r>
        <w:rPr>
          <w:rFonts w:cs="Arial" w:ascii="Arial" w:hAnsi="Arial"/>
          <w:i/>
          <w:iCs/>
          <w:szCs w:val="22"/>
          <w:highlight w:val="yellow"/>
          <w:lang w:eastAsia="zh-CN"/>
        </w:rPr>
        <w:t>insert number</w:t>
      </w:r>
      <w:r>
        <w:rPr>
          <w:rFonts w:cs="Arial" w:ascii="Arial" w:hAnsi="Arial"/>
          <w:szCs w:val="22"/>
          <w:highlight w:val="yellow"/>
          <w:lang w:eastAsia="zh-CN"/>
        </w:rPr>
        <w:t>]</w:t>
      </w:r>
      <w:r>
        <w:rPr>
          <w:rFonts w:cs="Arial" w:ascii="Arial" w:hAnsi="Arial"/>
          <w:szCs w:val="22"/>
          <w:lang w:eastAsia="zh-CN"/>
        </w:rPr>
        <w:t>:</w:t>
      </w:r>
    </w:p>
    <w:p>
      <w:pPr>
        <w:pStyle w:val="UK12Block05"/>
        <w:rPr/>
      </w:pPr>
      <w:r>
        <w:rPr>
          <w:rFonts w:cs="Arial" w:ascii="Arial" w:hAnsi="Arial"/>
          <w:szCs w:val="22"/>
        </w:rPr>
        <w:t>“</w:t>
      </w:r>
      <w:r>
        <w:rPr>
          <w:rFonts w:cs="Arial" w:ascii="Arial" w:hAnsi="Arial"/>
          <w:b/>
          <w:szCs w:val="22"/>
        </w:rPr>
        <w:t>Current Control Period</w:t>
      </w:r>
      <w:r>
        <w:rPr>
          <w:rFonts w:cs="Arial" w:ascii="Arial" w:hAnsi="Arial"/>
          <w:szCs w:val="22"/>
        </w:rPr>
        <w:t>” means the period of five years commencing at 0000 hours on 1 April 2009 and ending at 2359 hours on 31 March 2014;</w:t>
      </w:r>
    </w:p>
    <w:p>
      <w:pPr>
        <w:pStyle w:val="UK12Block05"/>
        <w:rPr/>
      </w:pPr>
      <w:r>
        <w:rPr>
          <w:rFonts w:cs="Arial" w:ascii="Arial" w:hAnsi="Arial"/>
          <w:szCs w:val="22"/>
        </w:rPr>
        <w:t>“</w:t>
      </w:r>
      <w:r>
        <w:rPr>
          <w:rFonts w:cs="Arial" w:ascii="Arial" w:hAnsi="Arial"/>
          <w:b/>
          <w:szCs w:val="22"/>
        </w:rPr>
        <w:t>Proposed Review Notice</w:t>
      </w:r>
      <w:r>
        <w:rPr>
          <w:rFonts w:cs="Arial" w:ascii="Arial" w:hAnsi="Arial"/>
          <w:szCs w:val="22"/>
        </w:rPr>
        <w:t>” means as at the last day of the Current Control Period the most recently proposed Review Notice given by ORR in accordance with Schedule 4A of the Act;</w:t>
      </w:r>
    </w:p>
    <w:p>
      <w:pPr>
        <w:pStyle w:val="UK12Block05"/>
        <w:rPr>
          <w:rFonts w:ascii="Arial" w:hAnsi="Arial" w:cs="Arial"/>
          <w:szCs w:val="22"/>
        </w:rPr>
      </w:pPr>
      <w:r>
        <w:rPr>
          <w:rFonts w:cs="Arial" w:ascii="Arial" w:hAnsi="Arial"/>
          <w:szCs w:val="22"/>
        </w:rPr>
        <w:t>“</w:t>
      </w:r>
      <w:r>
        <w:rPr>
          <w:rFonts w:cs="Arial" w:ascii="Arial" w:hAnsi="Arial"/>
          <w:b/>
          <w:szCs w:val="22"/>
        </w:rPr>
        <w:t>Review Implementation Notice</w:t>
      </w:r>
      <w:r>
        <w:rPr>
          <w:rFonts w:cs="Arial" w:ascii="Arial" w:hAnsi="Arial"/>
          <w:szCs w:val="22"/>
        </w:rPr>
        <w:t>” has the meaning given to “review implementation notice” in paragraph 7 of Schedule 4A to the Act; and</w:t>
      </w:r>
    </w:p>
    <w:p>
      <w:pPr>
        <w:pStyle w:val="UK12Block05"/>
        <w:rPr>
          <w:rFonts w:ascii="Arial" w:hAnsi="Arial" w:cs="Arial"/>
          <w:szCs w:val="22"/>
        </w:rPr>
      </w:pPr>
      <w:r>
        <w:rPr>
          <w:rFonts w:cs="Arial" w:ascii="Arial" w:hAnsi="Arial"/>
          <w:szCs w:val="22"/>
        </w:rPr>
        <w:t>"</w:t>
      </w:r>
      <w:r>
        <w:rPr>
          <w:rFonts w:cs="Arial" w:ascii="Arial" w:hAnsi="Arial"/>
          <w:b/>
          <w:szCs w:val="22"/>
        </w:rPr>
        <w:t>Review Notice</w:t>
      </w:r>
      <w:r>
        <w:rPr>
          <w:rFonts w:cs="Arial" w:ascii="Arial" w:hAnsi="Arial"/>
          <w:szCs w:val="22"/>
        </w:rPr>
        <w:t xml:space="preserve">" has the meaning given to “review notice” in paragraph 4 of Schedule 4A of the Act. </w:t>
      </w:r>
    </w:p>
    <w:p>
      <w:pPr>
        <w:pStyle w:val="Heading1"/>
        <w:numPr>
          <w:ilvl w:val="0"/>
          <w:numId w:val="5"/>
        </w:numPr>
        <w:spacing w:lineRule="atLeast" w:line="246"/>
        <w:rPr>
          <w:rFonts w:cs="Arial"/>
          <w:sz w:val="22"/>
          <w:szCs w:val="22"/>
          <w:lang w:eastAsia="zh-CN"/>
        </w:rPr>
      </w:pPr>
      <w:r>
        <w:rPr>
          <w:rFonts w:cs="Arial"/>
          <w:sz w:val="22"/>
          <w:szCs w:val="22"/>
          <w:lang w:eastAsia="zh-CN"/>
        </w:rPr>
        <w:t>EFFECT OF THIS SUPPLEMENTAL AGREEMENT ON THE CONTRACT</w:t>
      </w:r>
    </w:p>
    <w:p>
      <w:pPr>
        <w:pStyle w:val="UK12Block05"/>
        <w:ind w:start="360" w:end="0"/>
        <w:rPr>
          <w:rFonts w:ascii="Arial" w:hAnsi="Arial" w:cs="Arial"/>
          <w:szCs w:val="22"/>
          <w:lang w:eastAsia="zh-CN"/>
        </w:rPr>
      </w:pPr>
      <w:r>
        <w:rPr>
          <w:rFonts w:cs="Arial" w:ascii="Arial" w:hAnsi="Arial"/>
          <w:szCs w:val="22"/>
          <w:lang w:eastAsia="zh-CN"/>
        </w:rPr>
        <w:t>The parties agree that the Contract, as amended by this Supplemental Agreement, shall remain in full force and effect in accordance with its terms, and with effect from and including the date hereof and during the period in which the amendments made by this Supplemental Agreement are to have effect, all references in the Contract to the "Contract", "herein", "hereof", "hereunder" and other similar expressions shall, unless the context requires otherwise, be read and construed as a reference to the Contract as amended by this Supplemental Agreement.</w:t>
      </w:r>
    </w:p>
    <w:p>
      <w:pPr>
        <w:pStyle w:val="UK12Block05"/>
        <w:rPr>
          <w:rFonts w:ascii="Arial" w:hAnsi="Arial" w:cs="Arial"/>
          <w:szCs w:val="22"/>
          <w:lang w:eastAsia="zh-CN"/>
        </w:rPr>
      </w:pPr>
      <w:r>
        <w:rPr>
          <w:rFonts w:cs="Arial" w:ascii="Arial" w:hAnsi="Arial"/>
          <w:szCs w:val="22"/>
          <w:lang w:eastAsia="zh-CN"/>
        </w:rPr>
      </w:r>
    </w:p>
    <w:p>
      <w:pPr>
        <w:pStyle w:val="Heading1"/>
        <w:numPr>
          <w:ilvl w:val="0"/>
          <w:numId w:val="5"/>
        </w:numPr>
        <w:spacing w:lineRule="atLeast" w:line="246"/>
        <w:rPr>
          <w:rFonts w:cs="Arial"/>
          <w:sz w:val="22"/>
          <w:szCs w:val="22"/>
          <w:lang w:eastAsia="zh-CN"/>
        </w:rPr>
      </w:pPr>
      <w:r>
        <w:rPr>
          <w:rFonts w:cs="Arial"/>
          <w:sz w:val="22"/>
          <w:szCs w:val="22"/>
          <w:lang w:eastAsia="zh-CN"/>
        </w:rPr>
        <w:t>LAW</w:t>
      </w:r>
    </w:p>
    <w:p>
      <w:pPr>
        <w:pStyle w:val="UK12Block05"/>
        <w:ind w:start="360" w:end="0"/>
        <w:rPr/>
      </w:pPr>
      <w:r>
        <w:rPr>
          <w:rFonts w:cs="Arial" w:ascii="Arial" w:hAnsi="Arial"/>
          <w:szCs w:val="22"/>
          <w:lang w:eastAsia="zh-CN"/>
        </w:rPr>
        <w:t xml:space="preserve">This Supplemental Agreement shall be governed by, construed and given effect to in all respects in accordance with the laws of </w:t>
      </w:r>
      <w:r>
        <w:rPr>
          <w:rFonts w:cs="Arial" w:ascii="Arial" w:hAnsi="Arial"/>
          <w:szCs w:val="22"/>
          <w:highlight w:val="yellow"/>
          <w:lang w:eastAsia="zh-CN"/>
        </w:rPr>
        <w:t xml:space="preserve">[England and Wales/Scotland – </w:t>
      </w:r>
      <w:r>
        <w:rPr>
          <w:rFonts w:cs="Arial" w:ascii="Arial" w:hAnsi="Arial"/>
          <w:i/>
          <w:iCs/>
          <w:szCs w:val="22"/>
          <w:highlight w:val="yellow"/>
          <w:lang w:eastAsia="zh-CN"/>
        </w:rPr>
        <w:t>delete as appropriate</w:t>
      </w:r>
      <w:r>
        <w:rPr>
          <w:rFonts w:cs="Arial" w:ascii="Arial" w:hAnsi="Arial"/>
          <w:szCs w:val="22"/>
          <w:highlight w:val="yellow"/>
          <w:lang w:eastAsia="zh-CN"/>
        </w:rPr>
        <w:t>]</w:t>
      </w:r>
      <w:r>
        <w:rPr>
          <w:rFonts w:cs="Arial" w:ascii="Arial" w:hAnsi="Arial"/>
          <w:szCs w:val="22"/>
          <w:lang w:eastAsia="zh-CN"/>
        </w:rPr>
        <w:t>.</w:t>
      </w:r>
    </w:p>
    <w:p>
      <w:pPr>
        <w:pStyle w:val="UK12Block05"/>
        <w:rPr>
          <w:rFonts w:ascii="Arial" w:hAnsi="Arial" w:cs="Arial"/>
          <w:szCs w:val="22"/>
          <w:lang w:eastAsia="zh-CN"/>
        </w:rPr>
      </w:pPr>
      <w:r>
        <w:rPr>
          <w:rFonts w:cs="Arial" w:ascii="Arial" w:hAnsi="Arial"/>
          <w:szCs w:val="22"/>
          <w:lang w:eastAsia="zh-CN"/>
        </w:rPr>
      </w:r>
    </w:p>
    <w:p>
      <w:pPr>
        <w:pStyle w:val="Heading1"/>
        <w:numPr>
          <w:ilvl w:val="0"/>
          <w:numId w:val="5"/>
        </w:numPr>
        <w:spacing w:lineRule="atLeast" w:line="246"/>
        <w:rPr>
          <w:rFonts w:cs="Arial"/>
          <w:sz w:val="22"/>
          <w:szCs w:val="22"/>
          <w:lang w:eastAsia="zh-CN"/>
        </w:rPr>
      </w:pPr>
      <w:r>
        <w:rPr>
          <w:rFonts w:cs="Arial"/>
          <w:sz w:val="22"/>
          <w:szCs w:val="22"/>
          <w:lang w:eastAsia="zh-CN"/>
        </w:rPr>
        <w:t>THIRD PARTY RIGHTS</w:t>
      </w:r>
    </w:p>
    <w:p>
      <w:pPr>
        <w:pStyle w:val="UK12Block05"/>
        <w:ind w:start="360" w:end="0"/>
        <w:rPr>
          <w:rFonts w:ascii="Arial" w:hAnsi="Arial" w:cs="Arial"/>
          <w:szCs w:val="22"/>
          <w:lang w:eastAsia="zh-CN"/>
        </w:rPr>
      </w:pPr>
      <w:r>
        <w:rPr>
          <w:rFonts w:cs="Arial" w:ascii="Arial" w:hAnsi="Arial"/>
          <w:szCs w:val="22"/>
          <w:lang w:eastAsia="zh-CN"/>
        </w:rPr>
        <w:t>No person who is not a party to this Supplemental Agreement shall have any right under the Contracts (Rights of Third Parties) Act 1999 to enforce any term of this Supplemental Agreement.</w:t>
      </w:r>
    </w:p>
    <w:p>
      <w:pPr>
        <w:pStyle w:val="UK12Block05"/>
        <w:rPr>
          <w:rFonts w:ascii="Arial" w:hAnsi="Arial" w:cs="Arial"/>
          <w:szCs w:val="22"/>
          <w:lang w:eastAsia="zh-CN"/>
        </w:rPr>
      </w:pPr>
      <w:r>
        <w:rPr>
          <w:rFonts w:cs="Arial" w:ascii="Arial" w:hAnsi="Arial"/>
          <w:szCs w:val="22"/>
          <w:lang w:eastAsia="zh-CN"/>
        </w:rPr>
      </w:r>
    </w:p>
    <w:p>
      <w:pPr>
        <w:pStyle w:val="Heading1"/>
        <w:numPr>
          <w:ilvl w:val="0"/>
          <w:numId w:val="5"/>
        </w:numPr>
        <w:spacing w:lineRule="atLeast" w:line="246"/>
        <w:rPr>
          <w:rFonts w:cs="Arial"/>
          <w:sz w:val="22"/>
          <w:szCs w:val="22"/>
          <w:lang w:eastAsia="zh-CN"/>
        </w:rPr>
      </w:pPr>
      <w:r>
        <w:rPr>
          <w:rFonts w:cs="Arial"/>
          <w:sz w:val="22"/>
          <w:szCs w:val="22"/>
          <w:lang w:eastAsia="zh-CN"/>
        </w:rPr>
        <w:t>COUNTERPARTS</w:t>
      </w:r>
    </w:p>
    <w:p>
      <w:pPr>
        <w:pStyle w:val="UK12Block05"/>
        <w:ind w:start="360" w:end="0"/>
        <w:rPr>
          <w:rFonts w:ascii="Arial" w:hAnsi="Arial" w:cs="Arial"/>
          <w:b/>
          <w:szCs w:val="22"/>
          <w:u w:val="single"/>
          <w:lang w:eastAsia="zh-CN"/>
        </w:rPr>
      </w:pPr>
      <w:r>
        <w:rPr>
          <w:rFonts w:cs="Arial" w:ascii="Arial" w:hAnsi="Arial"/>
          <w:szCs w:val="22"/>
          <w:lang w:eastAsia="zh-CN"/>
        </w:rPr>
        <w:t>This Supplemental Agreement may be executed in any number of counterparts, each of which when executed and delivered shall constitute an original, but all the counterparts shall together constitute one and the same instrument.</w:t>
      </w:r>
    </w:p>
    <w:p>
      <w:pPr>
        <w:pStyle w:val="UK12Block05"/>
        <w:ind w:start="360" w:end="0"/>
        <w:rPr>
          <w:rFonts w:ascii="Arial" w:hAnsi="Arial" w:cs="Arial"/>
          <w:b/>
          <w:szCs w:val="22"/>
          <w:u w:val="single"/>
          <w:lang w:eastAsia="zh-CN"/>
        </w:rPr>
      </w:pPr>
      <w:r>
        <w:rPr>
          <w:rFonts w:cs="Arial" w:ascii="Arial" w:hAnsi="Arial"/>
          <w:b/>
          <w:szCs w:val="22"/>
          <w:u w:val="single"/>
          <w:lang w:eastAsia="zh-CN"/>
        </w:rPr>
      </w:r>
    </w:p>
    <w:p>
      <w:pPr>
        <w:pStyle w:val="UK12Block05"/>
        <w:ind w:start="360" w:end="0"/>
        <w:rPr/>
      </w:pPr>
      <w:r>
        <w:rPr>
          <w:rFonts w:cs="Arial" w:ascii="Arial" w:hAnsi="Arial"/>
          <w:b/>
          <w:szCs w:val="22"/>
          <w:u w:val="single"/>
          <w:lang w:eastAsia="zh-CN"/>
        </w:rPr>
        <w:t>IN WITNESS</w:t>
      </w:r>
      <w:r>
        <w:rPr>
          <w:rFonts w:cs="Arial" w:ascii="Arial" w:hAnsi="Arial"/>
          <w:szCs w:val="22"/>
          <w:lang w:eastAsia="zh-CN"/>
        </w:rPr>
        <w:t xml:space="preserve"> of which Network Rail and the Train Operator have, by their duly authorised representatives, respectively entered into this Supplemental Agreement on the date first above written.</w:t>
      </w:r>
    </w:p>
    <w:p>
      <w:pPr>
        <w:pStyle w:val="UK12Block05"/>
        <w:ind w:start="0" w:end="0"/>
        <w:rPr>
          <w:rFonts w:ascii="Arial" w:hAnsi="Arial" w:cs="Arial"/>
          <w:szCs w:val="22"/>
          <w:lang w:eastAsia="zh-CN"/>
        </w:rPr>
      </w:pPr>
      <w:r>
        <w:rPr>
          <w:rFonts w:cs="Arial" w:ascii="Arial" w:hAnsi="Arial"/>
          <w:szCs w:val="22"/>
          <w:lang w:eastAsia="zh-CN"/>
        </w:rPr>
      </w:r>
    </w:p>
    <w:p>
      <w:pPr>
        <w:pStyle w:val="UK12Block05"/>
        <w:ind w:start="0" w:end="0"/>
        <w:rPr>
          <w:rFonts w:ascii="Arial" w:hAnsi="Arial" w:cs="Arial"/>
          <w:szCs w:val="22"/>
          <w:lang w:eastAsia="zh-CN"/>
        </w:rPr>
      </w:pPr>
      <w:r>
        <w:rPr>
          <w:rFonts w:cs="Arial" w:ascii="Arial" w:hAnsi="Arial"/>
          <w:szCs w:val="22"/>
          <w:lang w:eastAsia="zh-CN"/>
        </w:rPr>
      </w:r>
    </w:p>
    <w:tbl>
      <w:tblPr>
        <w:tblW w:w="7700" w:type="dxa"/>
        <w:jc w:val="start"/>
        <w:tblInd w:w="0" w:type="dxa"/>
        <w:tblLayout w:type="fixed"/>
        <w:tblCellMar>
          <w:top w:w="0" w:type="dxa"/>
          <w:start w:w="108" w:type="dxa"/>
          <w:bottom w:w="0" w:type="dxa"/>
          <w:end w:w="108" w:type="dxa"/>
        </w:tblCellMar>
      </w:tblPr>
      <w:tblGrid>
        <w:gridCol w:w="3593"/>
        <w:gridCol w:w="4107"/>
      </w:tblGrid>
      <w:tr>
        <w:trPr/>
        <w:tc>
          <w:tcPr>
            <w:tcW w:w="3593" w:type="dxa"/>
            <w:tcBorders/>
          </w:tcPr>
          <w:p>
            <w:pPr>
              <w:pStyle w:val="UK12Block05"/>
              <w:spacing w:before="0" w:after="240"/>
              <w:ind w:start="0" w:end="0"/>
              <w:rPr>
                <w:rFonts w:ascii="Arial" w:hAnsi="Arial" w:cs="Arial"/>
                <w:szCs w:val="22"/>
                <w:lang w:eastAsia="zh-CN"/>
              </w:rPr>
            </w:pPr>
            <w:r>
              <w:rPr>
                <w:rFonts w:cs="Arial" w:ascii="Arial" w:hAnsi="Arial"/>
                <w:szCs w:val="22"/>
                <w:lang w:eastAsia="zh-CN"/>
              </w:rPr>
              <w:t>SIGNED BY</w:t>
            </w:r>
          </w:p>
        </w:tc>
        <w:tc>
          <w:tcPr>
            <w:tcW w:w="4107" w:type="dxa"/>
            <w:tcBorders/>
          </w:tcPr>
          <w:p>
            <w:pPr>
              <w:pStyle w:val="UK12Block05"/>
              <w:spacing w:before="0" w:after="240"/>
              <w:ind w:start="0" w:end="0"/>
              <w:rPr>
                <w:rFonts w:ascii="Arial" w:hAnsi="Arial" w:cs="Arial"/>
                <w:szCs w:val="22"/>
                <w:lang w:eastAsia="zh-CN"/>
              </w:rPr>
            </w:pPr>
            <w:r>
              <w:rPr>
                <w:rFonts w:cs="Arial" w:ascii="Arial" w:hAnsi="Arial"/>
                <w:szCs w:val="22"/>
                <w:lang w:eastAsia="zh-CN"/>
              </w:rPr>
              <w:t>)</w:t>
            </w:r>
          </w:p>
        </w:tc>
      </w:tr>
      <w:tr>
        <w:trPr/>
        <w:tc>
          <w:tcPr>
            <w:tcW w:w="3593" w:type="dxa"/>
            <w:tcBorders/>
          </w:tcPr>
          <w:p>
            <w:pPr>
              <w:pStyle w:val="UK12Block05"/>
              <w:spacing w:before="0" w:after="240"/>
              <w:ind w:start="0" w:end="0"/>
              <w:jc w:val="start"/>
              <w:rPr/>
            </w:pPr>
            <w:r>
              <w:rPr>
                <w:rFonts w:cs="Arial" w:ascii="Arial" w:hAnsi="Arial"/>
                <w:szCs w:val="22"/>
                <w:lang w:eastAsia="zh-CN"/>
              </w:rPr>
              <w:t xml:space="preserve">for and on behalf of      </w:t>
              <w:br/>
            </w:r>
            <w:r>
              <w:rPr>
                <w:rFonts w:cs="Arial" w:ascii="Arial" w:hAnsi="Arial"/>
                <w:b/>
                <w:szCs w:val="22"/>
                <w:lang w:eastAsia="zh-CN"/>
              </w:rPr>
              <w:t>NETWORK RAIL INFRASTRUCTURE LIMITED</w:t>
            </w:r>
            <w:r>
              <w:rPr>
                <w:rFonts w:cs="Arial" w:ascii="Arial" w:hAnsi="Arial"/>
                <w:szCs w:val="22"/>
                <w:lang w:eastAsia="zh-CN"/>
              </w:rPr>
              <w:t xml:space="preserve">  </w:t>
            </w:r>
          </w:p>
        </w:tc>
        <w:tc>
          <w:tcPr>
            <w:tcW w:w="4107" w:type="dxa"/>
            <w:tcBorders/>
          </w:tcPr>
          <w:p>
            <w:pPr>
              <w:pStyle w:val="UK12Block05"/>
              <w:spacing w:before="0" w:after="240"/>
              <w:ind w:start="0" w:end="0"/>
              <w:rPr>
                <w:rFonts w:ascii="Arial" w:hAnsi="Arial" w:cs="Arial"/>
                <w:szCs w:val="22"/>
                <w:lang w:eastAsia="zh-CN"/>
              </w:rPr>
            </w:pPr>
            <w:r>
              <w:rPr>
                <w:rFonts w:cs="Arial" w:ascii="Arial" w:hAnsi="Arial"/>
                <w:szCs w:val="22"/>
                <w:lang w:eastAsia="zh-CN"/>
              </w:rPr>
              <w:t>)</w:t>
              <w:br/>
              <w:t>)</w:t>
              <w:br/>
              <w:t>)</w:t>
            </w:r>
          </w:p>
        </w:tc>
      </w:tr>
      <w:tr>
        <w:trPr/>
        <w:tc>
          <w:tcPr>
            <w:tcW w:w="3593" w:type="dxa"/>
            <w:tcBorders/>
          </w:tcPr>
          <w:p>
            <w:pPr>
              <w:pStyle w:val="UK12Block05"/>
              <w:snapToGrid w:val="false"/>
              <w:spacing w:before="0" w:after="240"/>
              <w:ind w:start="0" w:end="0"/>
              <w:rPr>
                <w:rFonts w:ascii="Arial" w:hAnsi="Arial" w:cs="Arial"/>
                <w:sz w:val="22"/>
                <w:szCs w:val="22"/>
                <w:lang w:eastAsia="zh-CN"/>
              </w:rPr>
            </w:pPr>
            <w:r>
              <w:rPr>
                <w:rFonts w:cs="Arial" w:ascii="Arial" w:hAnsi="Arial"/>
                <w:sz w:val="22"/>
                <w:szCs w:val="22"/>
                <w:lang w:eastAsia="zh-CN"/>
              </w:rPr>
            </w:r>
          </w:p>
        </w:tc>
        <w:tc>
          <w:tcPr>
            <w:tcW w:w="4107" w:type="dxa"/>
            <w:tcBorders/>
          </w:tcPr>
          <w:p>
            <w:pPr>
              <w:pStyle w:val="UK12Block05"/>
              <w:snapToGrid w:val="false"/>
              <w:spacing w:before="0" w:after="240"/>
              <w:ind w:start="0" w:end="0"/>
              <w:rPr>
                <w:rFonts w:ascii="Arial" w:hAnsi="Arial" w:cs="Arial"/>
                <w:szCs w:val="22"/>
                <w:lang w:eastAsia="zh-CN"/>
              </w:rPr>
            </w:pPr>
            <w:r>
              <w:rPr>
                <w:rFonts w:cs="Arial" w:ascii="Arial" w:hAnsi="Arial"/>
                <w:szCs w:val="22"/>
                <w:lang w:eastAsia="zh-CN"/>
              </w:rPr>
            </w:r>
          </w:p>
        </w:tc>
      </w:tr>
      <w:tr>
        <w:trPr/>
        <w:tc>
          <w:tcPr>
            <w:tcW w:w="3593" w:type="dxa"/>
            <w:tcBorders/>
          </w:tcPr>
          <w:p>
            <w:pPr>
              <w:pStyle w:val="UK12Block05"/>
              <w:spacing w:before="0" w:after="240"/>
              <w:ind w:start="0" w:end="0"/>
              <w:rPr>
                <w:rFonts w:ascii="Arial" w:hAnsi="Arial" w:cs="Arial"/>
                <w:szCs w:val="22"/>
                <w:lang w:eastAsia="zh-CN"/>
              </w:rPr>
            </w:pPr>
            <w:r>
              <w:rPr>
                <w:rFonts w:cs="Arial" w:ascii="Arial" w:hAnsi="Arial"/>
                <w:szCs w:val="22"/>
                <w:lang w:eastAsia="zh-CN"/>
              </w:rPr>
              <w:t>SIGNED BY</w:t>
            </w:r>
          </w:p>
        </w:tc>
        <w:tc>
          <w:tcPr>
            <w:tcW w:w="4107" w:type="dxa"/>
            <w:tcBorders/>
          </w:tcPr>
          <w:p>
            <w:pPr>
              <w:pStyle w:val="UK12Block05"/>
              <w:spacing w:before="0" w:after="240"/>
              <w:ind w:start="0" w:end="0"/>
              <w:rPr>
                <w:rFonts w:ascii="Arial" w:hAnsi="Arial" w:cs="Arial"/>
                <w:szCs w:val="22"/>
                <w:lang w:eastAsia="zh-CN"/>
              </w:rPr>
            </w:pPr>
            <w:r>
              <w:rPr>
                <w:rFonts w:cs="Arial" w:ascii="Arial" w:hAnsi="Arial"/>
                <w:szCs w:val="22"/>
                <w:lang w:eastAsia="zh-CN"/>
              </w:rPr>
              <w:t>)</w:t>
            </w:r>
          </w:p>
        </w:tc>
      </w:tr>
      <w:tr>
        <w:trPr/>
        <w:tc>
          <w:tcPr>
            <w:tcW w:w="3593" w:type="dxa"/>
            <w:tcBorders/>
          </w:tcPr>
          <w:p>
            <w:pPr>
              <w:pStyle w:val="Normal"/>
              <w:spacing w:lineRule="atLeast" w:line="246" w:before="0" w:after="240"/>
              <w:rPr/>
            </w:pPr>
            <w:r>
              <w:rPr>
                <w:rFonts w:cs="Arial"/>
                <w:sz w:val="22"/>
                <w:szCs w:val="22"/>
                <w:lang w:eastAsia="zh-CN"/>
              </w:rPr>
              <w:t xml:space="preserve">for and on behalf of </w:t>
              <w:br/>
            </w:r>
            <w:r>
              <w:rPr>
                <w:rFonts w:cs="Arial"/>
                <w:sz w:val="22"/>
                <w:szCs w:val="22"/>
                <w:highlight w:val="yellow"/>
                <w:lang w:eastAsia="zh-CN"/>
              </w:rPr>
              <w:t>[</w:t>
            </w:r>
            <w:r>
              <w:rPr>
                <w:rFonts w:cs="Arial"/>
                <w:b/>
                <w:i/>
                <w:sz w:val="22"/>
                <w:szCs w:val="22"/>
                <w:highlight w:val="yellow"/>
                <w:lang w:eastAsia="zh-CN"/>
              </w:rPr>
              <w:t>Relevant Train Operator</w:t>
            </w:r>
            <w:r>
              <w:rPr>
                <w:rFonts w:cs="Arial"/>
                <w:sz w:val="22"/>
                <w:szCs w:val="22"/>
                <w:highlight w:val="yellow"/>
                <w:lang w:eastAsia="zh-CN"/>
              </w:rPr>
              <w:t>]</w:t>
            </w:r>
            <w:r>
              <w:rPr>
                <w:rFonts w:cs="Arial"/>
                <w:sz w:val="22"/>
                <w:szCs w:val="22"/>
                <w:lang w:eastAsia="zh-CN"/>
              </w:rPr>
              <w:br/>
            </w:r>
          </w:p>
        </w:tc>
        <w:tc>
          <w:tcPr>
            <w:tcW w:w="4107" w:type="dxa"/>
            <w:tcBorders/>
          </w:tcPr>
          <w:p>
            <w:pPr>
              <w:pStyle w:val="UK12Block05"/>
              <w:spacing w:before="0" w:after="240"/>
              <w:ind w:start="0" w:end="0"/>
              <w:rPr>
                <w:rFonts w:ascii="Arial" w:hAnsi="Arial" w:cs="Arial"/>
                <w:szCs w:val="22"/>
                <w:lang w:eastAsia="zh-CN"/>
              </w:rPr>
            </w:pPr>
            <w:r>
              <w:rPr>
                <w:rFonts w:cs="Arial" w:ascii="Arial" w:hAnsi="Arial"/>
                <w:szCs w:val="22"/>
                <w:lang w:eastAsia="zh-CN"/>
              </w:rPr>
              <w:t>)</w:t>
              <w:br/>
              <w:t>)</w:t>
              <w:br/>
              <w:t>)</w:t>
            </w:r>
          </w:p>
        </w:tc>
      </w:tr>
      <w:tr>
        <w:trPr/>
        <w:tc>
          <w:tcPr>
            <w:tcW w:w="3593" w:type="dxa"/>
            <w:tcBorders/>
          </w:tcPr>
          <w:p>
            <w:pPr>
              <w:pStyle w:val="UK12Block05"/>
              <w:snapToGrid w:val="false"/>
              <w:spacing w:before="0" w:after="240"/>
              <w:ind w:start="0" w:end="0"/>
              <w:rPr>
                <w:rFonts w:ascii="Arial" w:hAnsi="Arial" w:cs="Arial"/>
                <w:sz w:val="22"/>
                <w:szCs w:val="22"/>
                <w:lang w:eastAsia="zh-CN"/>
              </w:rPr>
            </w:pPr>
            <w:r>
              <w:rPr>
                <w:rFonts w:cs="Arial" w:ascii="Arial" w:hAnsi="Arial"/>
                <w:sz w:val="22"/>
                <w:szCs w:val="22"/>
                <w:lang w:eastAsia="zh-CN"/>
              </w:rPr>
            </w:r>
          </w:p>
        </w:tc>
        <w:tc>
          <w:tcPr>
            <w:tcW w:w="4107" w:type="dxa"/>
            <w:tcBorders/>
          </w:tcPr>
          <w:p>
            <w:pPr>
              <w:pStyle w:val="UK12Block05"/>
              <w:snapToGrid w:val="false"/>
              <w:spacing w:before="0" w:after="240"/>
              <w:ind w:start="0" w:end="0"/>
              <w:rPr>
                <w:rFonts w:ascii="Arial" w:hAnsi="Arial" w:cs="Arial"/>
                <w:szCs w:val="22"/>
                <w:lang w:eastAsia="zh-CN"/>
              </w:rPr>
            </w:pPr>
            <w:r>
              <w:rPr>
                <w:rFonts w:cs="Arial" w:ascii="Arial" w:hAnsi="Arial"/>
                <w:szCs w:val="22"/>
                <w:lang w:eastAsia="zh-CN"/>
              </w:rPr>
            </w:r>
          </w:p>
        </w:tc>
      </w:tr>
    </w:tbl>
    <w:p>
      <w:pPr>
        <w:pStyle w:val="UK12Block05"/>
        <w:spacing w:before="0" w:after="240"/>
        <w:rPr>
          <w:rFonts w:ascii="Arial" w:hAnsi="Arial" w:cs="Arial"/>
          <w:szCs w:val="22"/>
        </w:rPr>
      </w:pPr>
      <w:r>
        <w:rPr>
          <w:rFonts w:cs="Arial" w:ascii="Arial" w:hAnsi="Arial"/>
          <w:szCs w:val="22"/>
        </w:rPr>
      </w:r>
    </w:p>
    <w:sectPr>
      <w:headerReference w:type="default" r:id="rId6"/>
      <w:headerReference w:type="first" r:id="rId7"/>
      <w:footerReference w:type="default" r:id="rId8"/>
      <w:footerReference w:type="first" r:id="rId9"/>
      <w:footnotePr>
        <w:numFmt w:val="decimal"/>
      </w:footnotePr>
      <w:type w:val="nextPage"/>
      <w:pgSz w:w="11906" w:h="16838"/>
      <w:pgMar w:left="1797" w:right="1797" w:gutter="0" w:header="709" w:top="1440" w:footer="709"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ourier New">
    <w:charset w:val="00" w:characterSet="windows-1252"/>
    <w:family w:val="modern"/>
    <w:pitch w:val="default"/>
  </w:font>
  <w:font w:name="Wingdings">
    <w:charset w:val="02"/>
    <w:family w:val="auto"/>
    <w:pitch w:val="variable"/>
  </w:font>
  <w:font w:name="Tahoma">
    <w:charset w:val="00" w:characterSet="windows-1252"/>
    <w:family w:val="swiss"/>
    <w:pitch w:val="variable"/>
  </w:font>
  <w:font w:name="Arial Narrow">
    <w:charset w:val="00" w:characterSet="windows-1252"/>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40"/>
      <w:jc w:val="end"/>
      <w:rPr/>
    </w:pPr>
    <w:r>
      <w:rPr>
        <w:rStyle w:val="DocID"/>
      </w:rPr>
      <w:tab/>
    </w:r>
    <w:r>
      <w:rPr>
        <w:rStyle w:val="PageNumber"/>
      </w:rPr>
      <w:t xml:space="preserve"> </w:t>
    </w:r>
    <w:r>
      <w:rPr>
        <w:rStyle w:val="PageNumber"/>
        <w:rFonts w:cs="Arial"/>
      </w:rPr>
      <w:t xml:space="preserve">4237819 </w:t>
    </w:r>
    <w:r>
      <w:rPr>
        <w:rStyle w:val="PageNumber"/>
        <w:rFonts w:cs="Arial"/>
      </w:rPr>
      <w:fldChar w:fldCharType="begin"/>
    </w:r>
    <w:r>
      <w:rPr>
        <w:rStyle w:val="PageNumber"/>
        <w:rFonts w:cs="Arial"/>
      </w:rPr>
      <w:instrText xml:space="preserve"> DOCVARIABLE DVDOCNUMBER </w:instrText>
    </w:r>
    <w:r>
      <w:rPr>
        <w:rStyle w:val="PageNumber"/>
        <w:rFonts w:cs="Arial"/>
      </w:rPr>
      <w:fldChar w:fldCharType="separate"/>
    </w:r>
    <w:r>
      <w:rPr>
        <w:rStyle w:val="PageNumber"/>
        <w:rFonts w:cs="Arial"/>
      </w:rPr>
      <w:t>6975135</w:t>
    </w:r>
    <w:r>
      <w:rPr>
        <w:rStyle w:val="PageNumber"/>
        <w:rFonts w:cs="Arial"/>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p>
    <w:pPr>
      <w:pStyle w:val="Footer"/>
      <w:rPr/>
    </w:pPr>
    <w:r>
      <w:rPr/>
    </w:r>
  </w:p>
  <w:p>
    <w:pPr>
      <w:pStyle w:val="Footer"/>
      <w:tabs>
        <w:tab w:val="left" w:pos="284" w:leader="none"/>
        <w:tab w:val="center" w:pos="4153" w:leader="none"/>
        <w:tab w:val="right" w:pos="8306" w:leader="none"/>
      </w:tabs>
      <w:spacing w:before="0" w:after="240"/>
      <w:rPr>
        <w:rStyle w:val="DocID"/>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40"/>
      <w:jc w:val="end"/>
      <w:rPr/>
    </w:pPr>
    <w:r>
      <w:rPr/>
      <w:fldChar w:fldCharType="begin"/>
    </w:r>
    <w:r>
      <w:rPr/>
      <w:instrText xml:space="preserve"> PAGE </w:instrText>
    </w:r>
    <w:r>
      <w:rPr/>
      <w:fldChar w:fldCharType="separate"/>
    </w:r>
    <w:r>
      <w:rPr/>
      <w:t>4</w:t>
    </w:r>
    <w:r>
      <w:rPr/>
      <w:fldChar w:fldCharType="end"/>
    </w:r>
    <w:r>
      <w:rPr>
        <w:rFonts w:eastAsia="Arial"/>
        <w:lang w:val="en-US" w:eastAsia="en-US"/>
      </w:rPr>
      <w:t xml:space="preserve"> </w:t>
    </w:r>
    <w:r>
      <w:rPr>
        <w:rFonts w:cs="Arial"/>
        <w:sz w:val="20"/>
      </w:rPr>
      <w:fldChar w:fldCharType="begin"/>
    </w:r>
    <w:r>
      <w:rPr>
        <w:sz w:val="20"/>
        <w:rFonts w:cs="Arial"/>
      </w:rPr>
      <w:instrText xml:space="preserve"> DOCVARIABLE DVDOCNUMBER </w:instrText>
    </w:r>
    <w:r>
      <w:rPr>
        <w:sz w:val="20"/>
        <w:rFonts w:cs="Arial"/>
      </w:rPr>
      <w:fldChar w:fldCharType="separate"/>
    </w:r>
    <w:r>
      <w:rPr>
        <w:sz w:val="20"/>
        <w:rFonts w:cs="Arial"/>
      </w:rPr>
      <w:t>6975135</w:t>
    </w:r>
    <w:r>
      <w:rPr>
        <w:sz w:val="20"/>
        <w:rFonts w:cs="Arial"/>
      </w:rPr>
      <w:fldChar w:fldCharType="end"/>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spacing w:before="0" w:after="200"/>
        <w:ind w:hanging="300" w:start="1100" w:end="0"/>
        <w:jc w:val="start"/>
        <w:rPr/>
      </w:pPr>
      <w:r>
        <w:rPr>
          <w:rStyle w:val="FootnoteCharacters"/>
        </w:rPr>
        <w:footnoteRef/>
      </w:r>
      <w:r>
        <w:rPr/>
        <w:tab/>
        <w:t xml:space="preserve"> </w:t>
      </w:r>
      <w:r>
        <w:rPr>
          <w:rFonts w:cs="Arial"/>
          <w:i/>
          <w:szCs w:val="22"/>
        </w:rPr>
        <w:t>Delete or use as appropriate according to whether the Contract contains a defunct provision relating to the previous access charges review.</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40"/>
      <w:jc w:val="star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40"/>
      <w:jc w:val="end"/>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40"/>
      <w:jc w:val="start"/>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pStyle w:val="Heading4"/>
      <w:numFmt w:val="none"/>
      <w:suff w:val="nothing"/>
      <w:lvlText w:val=""/>
      <w:lvlJc w:val="start"/>
      <w:pPr>
        <w:tabs>
          <w:tab w:val="num" w:pos="0"/>
        </w:tabs>
        <w:ind w:start="0" w:hanging="0"/>
      </w:pPr>
    </w:lvl>
    <w:lvl w:ilvl="4">
      <w:start w:val="1"/>
      <w:pStyle w:val="Heading5"/>
      <w:numFmt w:val="none"/>
      <w:suff w:val="nothing"/>
      <w:lvlText w:val=""/>
      <w:lvlJc w:val="start"/>
      <w:pPr>
        <w:tabs>
          <w:tab w:val="num" w:pos="0"/>
        </w:tabs>
        <w:ind w:start="0" w:hanging="0"/>
      </w:pPr>
    </w:lvl>
    <w:lvl w:ilvl="5">
      <w:start w:val="1"/>
      <w:pStyle w:val="Heading6"/>
      <w:numFmt w:val="none"/>
      <w:suff w:val="nothing"/>
      <w:lvlText w:val=""/>
      <w:lvlJc w:val="start"/>
      <w:pPr>
        <w:tabs>
          <w:tab w:val="num" w:pos="0"/>
        </w:tabs>
        <w:ind w:start="0" w:hanging="0"/>
      </w:pPr>
    </w:lvl>
    <w:lvl w:ilvl="6">
      <w:start w:val="1"/>
      <w:pStyle w:val="Heading7"/>
      <w:numFmt w:val="none"/>
      <w:suff w:val="nothing"/>
      <w:lvlText w:val=""/>
      <w:lvlJc w:val="start"/>
      <w:pPr>
        <w:tabs>
          <w:tab w:val="num" w:pos="0"/>
        </w:tabs>
        <w:ind w:start="0" w:hanging="0"/>
      </w:pPr>
    </w:lvl>
    <w:lvl w:ilvl="7">
      <w:start w:val="1"/>
      <w:pStyle w:val="Heading8"/>
      <w:numFmt w:val="none"/>
      <w:suff w:val="nothing"/>
      <w:lvlText w:val=""/>
      <w:lvlJc w:val="start"/>
      <w:pPr>
        <w:tabs>
          <w:tab w:val="num" w:pos="0"/>
        </w:tabs>
        <w:ind w:start="0" w:hanging="0"/>
      </w:pPr>
    </w:lvl>
    <w:lvl w:ilvl="8">
      <w:start w:val="1"/>
      <w:pStyle w:val="Heading9"/>
      <w:numFmt w:val="none"/>
      <w:suff w:val="nothing"/>
      <w:lvlText w:val=""/>
      <w:lvlJc w:val="start"/>
      <w:pPr>
        <w:tabs>
          <w:tab w:val="num" w:pos="0"/>
        </w:tabs>
        <w:ind w:start="0" w:hanging="0"/>
      </w:pPr>
    </w:lvl>
  </w:abstractNum>
  <w:abstractNum w:abstractNumId="2">
    <w:lvl w:ilvl="0">
      <w:start w:val="1"/>
      <w:numFmt w:val="decimal"/>
      <w:suff w:val="space"/>
      <w:lvlText w:val="SCHEDULE %1"/>
      <w:lvlJc w:val="start"/>
      <w:pPr>
        <w:tabs>
          <w:tab w:val="num" w:pos="0"/>
        </w:tabs>
        <w:ind w:start="0" w:hanging="0"/>
      </w:pPr>
      <w:rPr>
        <w:smallCaps w:val="false"/>
        <w:caps w:val="false"/>
        <w:i w:val="false"/>
        <w:u w:val="none"/>
        <w:b/>
        <w:vanish w:val="false"/>
        <w:rFonts w:ascii="Times New Roman" w:hAnsi="Times New Roman" w:cs="Times New Roman"/>
        <w:color w:val="000000"/>
      </w:rPr>
    </w:lvl>
    <w:lvl w:ilvl="1">
      <w:start w:val="1"/>
      <w:numFmt w:val="decimal"/>
      <w:lvlText w:val="%2."/>
      <w:lvlJc w:val="start"/>
      <w:pPr>
        <w:tabs>
          <w:tab w:val="num" w:pos="720"/>
        </w:tabs>
        <w:ind w:start="720" w:hanging="720"/>
      </w:pPr>
      <w:rPr>
        <w:i w:val="false"/>
        <w:u w:val="none"/>
        <w:b w:val="false"/>
        <w:vanish w:val="false"/>
        <w:color w:val="000000"/>
      </w:rPr>
    </w:lvl>
    <w:lvl w:ilvl="2">
      <w:start w:val="1"/>
      <w:numFmt w:val="decimal"/>
      <w:lvlText w:val="%2.%3"/>
      <w:lvlJc w:val="start"/>
      <w:pPr>
        <w:tabs>
          <w:tab w:val="num" w:pos="720"/>
        </w:tabs>
        <w:ind w:start="720" w:hanging="720"/>
      </w:pPr>
      <w:rPr>
        <w:u w:val="none"/>
        <w:vanish w:val="false"/>
        <w:color w:val="000000"/>
      </w:rPr>
    </w:lvl>
    <w:lvl w:ilvl="3">
      <w:start w:val="1"/>
      <w:numFmt w:val="lowerLetter"/>
      <w:lvlText w:val="(%4)"/>
      <w:lvlJc w:val="start"/>
      <w:pPr>
        <w:tabs>
          <w:tab w:val="num" w:pos="1440"/>
        </w:tabs>
        <w:ind w:start="1440" w:hanging="720"/>
      </w:pPr>
      <w:rPr>
        <w:u w:val="none"/>
        <w:vanish w:val="false"/>
        <w:color w:val="000000"/>
      </w:rPr>
    </w:lvl>
    <w:lvl w:ilvl="4">
      <w:start w:val="1"/>
      <w:numFmt w:val="lowerRoman"/>
      <w:lvlText w:val="(%5)"/>
      <w:lvlJc w:val="start"/>
      <w:pPr>
        <w:tabs>
          <w:tab w:val="num" w:pos="2160"/>
        </w:tabs>
        <w:ind w:start="2160" w:hanging="720"/>
      </w:pPr>
      <w:rPr>
        <w:u w:val="none"/>
        <w:vanish w:val="false"/>
        <w:color w:val="000000"/>
      </w:rPr>
    </w:lvl>
    <w:lvl w:ilvl="5">
      <w:start w:val="1"/>
      <w:numFmt w:val="none"/>
      <w:suff w:val="nothing"/>
      <w:lvlText w:val=""/>
      <w:lvlJc w:val="start"/>
      <w:pPr>
        <w:tabs>
          <w:tab w:val="num" w:pos="0"/>
        </w:tabs>
        <w:ind w:start="0" w:hanging="0"/>
      </w:pPr>
      <w:rPr>
        <w:u w:val="none"/>
        <w:vanish w:val="false"/>
        <w:color w:val="000000"/>
      </w:rPr>
    </w:lvl>
    <w:lvl w:ilvl="6">
      <w:start w:val="27"/>
      <w:numFmt w:val="none"/>
      <w:suff w:val="nothing"/>
      <w:lvlText w:val=""/>
      <w:lvlJc w:val="start"/>
      <w:pPr>
        <w:tabs>
          <w:tab w:val="num" w:pos="0"/>
        </w:tabs>
        <w:ind w:start="0" w:hanging="0"/>
      </w:pPr>
      <w:rPr>
        <w:u w:val="none"/>
        <w:vanish w:val="false"/>
        <w:color w:val="000000"/>
      </w:rPr>
    </w:lvl>
    <w:lvl w:ilvl="7">
      <w:start w:val="1"/>
      <w:numFmt w:val="none"/>
      <w:suff w:val="nothing"/>
      <w:lvlText w:val=""/>
      <w:lvlJc w:val="start"/>
      <w:pPr>
        <w:tabs>
          <w:tab w:val="num" w:pos="0"/>
        </w:tabs>
        <w:ind w:start="0" w:hanging="0"/>
      </w:pPr>
      <w:rPr>
        <w:u w:val="none"/>
        <w:vanish w:val="false"/>
        <w:color w:val="000000"/>
      </w:rPr>
    </w:lvl>
    <w:lvl w:ilvl="8">
      <w:start w:val="1"/>
      <w:numFmt w:val="none"/>
      <w:suff w:val="nothing"/>
      <w:lvlText w:val=""/>
      <w:lvlJc w:val="start"/>
      <w:pPr>
        <w:tabs>
          <w:tab w:val="num" w:pos="0"/>
        </w:tabs>
        <w:ind w:start="0" w:hanging="0"/>
      </w:pPr>
      <w:rPr>
        <w:u w:val="none"/>
        <w:vanish w:val="false"/>
        <w:color w:val="000000"/>
      </w:rPr>
    </w:lvl>
  </w:abstractNum>
  <w:abstractNum w:abstractNumId="3">
    <w:lvl w:ilvl="0">
      <w:start w:val="1"/>
      <w:numFmt w:val="lowerLetter"/>
      <w:lvlText w:val="(%1)"/>
      <w:lvlJc w:val="start"/>
      <w:pPr>
        <w:tabs>
          <w:tab w:val="num" w:pos="0"/>
        </w:tabs>
        <w:ind w:start="1440" w:hanging="720"/>
      </w:pPr>
      <w:rPr>
        <w:b w:val="false"/>
      </w:rPr>
    </w:lvl>
  </w:abstractNum>
  <w:abstractNum w:abstractNumId="4">
    <w:lvl w:ilvl="0">
      <w:start w:val="1"/>
      <w:numFmt w:val="decimal"/>
      <w:lvlText w:val="(%1)"/>
      <w:lvlJc w:val="start"/>
      <w:pPr>
        <w:tabs>
          <w:tab w:val="num" w:pos="0"/>
        </w:tabs>
        <w:ind w:start="720" w:hanging="360"/>
      </w:pPr>
      <w:rPr>
        <w:sz w:val="24"/>
        <w:rFonts w:eastAsia="Times New Roman" w:cs="Times New Roman"/>
      </w:rPr>
    </w:lvl>
  </w:abstractNum>
  <w:abstractNum w:abstractNumId="5">
    <w:lvl w:ilvl="0">
      <w:start w:val="1"/>
      <w:numFmt w:val="decimal"/>
      <w:lvlText w:val="%1."/>
      <w:lvlJc w:val="start"/>
      <w:pPr>
        <w:tabs>
          <w:tab w:val="num" w:pos="360"/>
        </w:tabs>
        <w:ind w:start="360" w:hanging="360"/>
      </w:pPr>
    </w:lvl>
  </w:abstractNum>
  <w:abstractNum w:abstractNumId="6">
    <w:lvl w:ilvl="0">
      <w:start w:val="1"/>
      <w:numFmt w:val="decimal"/>
      <w:lvlText w:val="%1."/>
      <w:lvlJc w:val="start"/>
      <w:pPr>
        <w:tabs>
          <w:tab w:val="num" w:pos="2160"/>
        </w:tabs>
        <w:ind w:start="0" w:firstLine="1440"/>
      </w:pPr>
      <w:rPr/>
    </w:lvl>
  </w:abstractNum>
  <w:abstractNum w:abstractNumId="7">
    <w:lvl w:ilvl="0">
      <w:start w:val="1"/>
      <w:numFmt w:val="bullet"/>
      <w:lvlText w:val=""/>
      <w:lvlJc w:val="start"/>
      <w:pPr>
        <w:tabs>
          <w:tab w:val="num" w:pos="720"/>
        </w:tabs>
        <w:ind w:start="720" w:hanging="720"/>
      </w:pPr>
      <w:rPr>
        <w:rFonts w:ascii="Symbol" w:hAnsi="Symbol" w:cs="Symbol" w:hint="default"/>
      </w:rPr>
    </w:lvl>
  </w:abstractNum>
  <w:abstractNum w:abstractNumId="8">
    <w:lvl w:ilvl="0">
      <w:start w:val="1"/>
      <w:numFmt w:val="bullet"/>
      <w:lvlText w:val=""/>
      <w:lvlJc w:val="start"/>
      <w:pPr>
        <w:tabs>
          <w:tab w:val="num" w:pos="720"/>
        </w:tabs>
        <w:ind w:start="720" w:hanging="720"/>
      </w:pPr>
      <w:rPr>
        <w:rFonts w:ascii="Symbol" w:hAnsi="Symbol" w:cs="Symbol" w:hint="default"/>
      </w:rPr>
    </w:lvl>
    <w:lvl w:ilvl="1">
      <w:start w:val="1"/>
      <w:numFmt w:val="bullet"/>
      <w:lvlText w:val=""/>
      <w:lvlJc w:val="start"/>
      <w:pPr>
        <w:tabs>
          <w:tab w:val="num" w:pos="1440"/>
        </w:tabs>
        <w:ind w:start="1440" w:hanging="720"/>
      </w:pPr>
      <w:rPr>
        <w:rFonts w:ascii="Symbol" w:hAnsi="Symbol" w:cs="Symbol" w:hint="default"/>
      </w:rPr>
    </w:lvl>
    <w:lvl w:ilvl="2">
      <w:start w:val="1"/>
      <w:numFmt w:val="bullet"/>
      <w:lvlText w:val=""/>
      <w:lvlJc w:val="start"/>
      <w:pPr>
        <w:tabs>
          <w:tab w:val="num" w:pos="2172"/>
        </w:tabs>
        <w:ind w:start="2172" w:hanging="732"/>
      </w:pPr>
      <w:rPr>
        <w:rFonts w:ascii="Symbol" w:hAnsi="Symbol" w:cs="Symbol" w:hint="default"/>
      </w:rPr>
    </w:lvl>
    <w:lvl w:ilvl="3">
      <w:start w:val="1"/>
      <w:numFmt w:val="bullet"/>
      <w:lvlText w:val=""/>
      <w:lvlJc w:val="start"/>
      <w:pPr>
        <w:tabs>
          <w:tab w:val="num" w:pos="1440"/>
        </w:tabs>
        <w:ind w:start="1440" w:hanging="360"/>
      </w:pPr>
      <w:rPr>
        <w:rFonts w:ascii="Symbol" w:hAnsi="Symbol" w:cs="Symbol" w:hint="default"/>
      </w:rPr>
    </w:lvl>
    <w:lvl w:ilvl="4">
      <w:start w:val="1"/>
      <w:numFmt w:val="bullet"/>
      <w:lvlText w:val=""/>
      <w:lvlJc w:val="start"/>
      <w:pPr>
        <w:tabs>
          <w:tab w:val="num" w:pos="1800"/>
        </w:tabs>
        <w:ind w:start="1800" w:hanging="360"/>
      </w:pPr>
      <w:rPr>
        <w:rFonts w:ascii="Symbol" w:hAnsi="Symbol" w:cs="Symbol" w:hint="default"/>
      </w:rPr>
    </w:lvl>
    <w:lvl w:ilvl="5">
      <w:start w:val="1"/>
      <w:numFmt w:val="bullet"/>
      <w:lvlText w:val=""/>
      <w:lvlJc w:val="start"/>
      <w:pPr>
        <w:tabs>
          <w:tab w:val="num" w:pos="2160"/>
        </w:tabs>
        <w:ind w:start="2160" w:hanging="360"/>
      </w:pPr>
      <w:rPr>
        <w:rFonts w:ascii="Symbol" w:hAnsi="Symbol" w:cs="Symbol" w:hint="default"/>
      </w:rPr>
    </w:lvl>
    <w:lvl w:ilvl="6">
      <w:start w:val="1"/>
      <w:numFmt w:val="bullet"/>
      <w:lvlText w:val=""/>
      <w:lvlJc w:val="start"/>
      <w:pPr>
        <w:tabs>
          <w:tab w:val="num" w:pos="2520"/>
        </w:tabs>
        <w:ind w:start="2520" w:hanging="360"/>
      </w:pPr>
      <w:rPr>
        <w:rFonts w:ascii="Symbol" w:hAnsi="Symbol" w:cs="Symbol" w:hint="default"/>
      </w:rPr>
    </w:lvl>
    <w:lvl w:ilvl="7">
      <w:start w:val="1"/>
      <w:numFmt w:val="bullet"/>
      <w:lvlText w:val=""/>
      <w:lvlJc w:val="start"/>
      <w:pPr>
        <w:tabs>
          <w:tab w:val="num" w:pos="2880"/>
        </w:tabs>
        <w:ind w:start="2880" w:hanging="360"/>
      </w:pPr>
      <w:rPr>
        <w:rFonts w:ascii="Symbol" w:hAnsi="Symbol" w:cs="Symbol" w:hint="default"/>
      </w:rPr>
    </w:lvl>
    <w:lvl w:ilvl="8">
      <w:start w:val="1"/>
      <w:numFmt w:val="bullet"/>
      <w:lvlText w:val=""/>
      <w:lvlJc w:val="start"/>
      <w:pPr>
        <w:tabs>
          <w:tab w:val="num" w:pos="3240"/>
        </w:tabs>
        <w:ind w:start="3240" w:hanging="360"/>
      </w:pPr>
      <w:rPr>
        <w:rFonts w:ascii="Symbol" w:hAnsi="Symbol" w:cs="Symbol" w:hint="default"/>
      </w:rPr>
    </w:lvl>
  </w:abstractNum>
  <w:abstractNum w:abstractNumId="9">
    <w:lvl w:ilvl="0">
      <w:start w:val="1"/>
      <w:numFmt w:val="decimal"/>
      <w:lvlText w:val="%1."/>
      <w:lvlJc w:val="start"/>
      <w:pPr>
        <w:tabs>
          <w:tab w:val="num" w:pos="360"/>
        </w:tabs>
        <w:ind w:start="0" w:hanging="0"/>
      </w:pPr>
    </w:lvl>
    <w:lvl w:ilvl="1">
      <w:start w:val="1"/>
      <w:numFmt w:val="lowerLetter"/>
      <w:lvlText w:val="(%2)"/>
      <w:lvlJc w:val="start"/>
      <w:pPr>
        <w:tabs>
          <w:tab w:val="num" w:pos="720"/>
        </w:tabs>
        <w:ind w:start="720" w:hanging="720"/>
      </w:pPr>
    </w:lvl>
    <w:lvl w:ilvl="2">
      <w:start w:val="1"/>
      <w:numFmt w:val="lowerRoman"/>
      <w:lvlText w:val="(%3)"/>
      <w:lvlJc w:val="start"/>
      <w:pPr>
        <w:tabs>
          <w:tab w:val="num" w:pos="1429"/>
        </w:tabs>
        <w:ind w:start="1429" w:hanging="709"/>
      </w:pPr>
    </w:lvl>
    <w:lvl w:ilvl="3">
      <w:start w:val="1"/>
      <w:numFmt w:val="decimal"/>
      <w:lvlText w:val="(%4)"/>
      <w:lvlJc w:val="start"/>
      <w:pPr>
        <w:tabs>
          <w:tab w:val="num" w:pos="1440"/>
        </w:tabs>
        <w:ind w:start="1440" w:hanging="360"/>
      </w:pPr>
    </w:lvl>
    <w:lvl w:ilvl="4">
      <w:start w:val="1"/>
      <w:numFmt w:val="lowerLetter"/>
      <w:lvlText w:val="(%5)"/>
      <w:lvlJc w:val="start"/>
      <w:pPr>
        <w:tabs>
          <w:tab w:val="num" w:pos="1800"/>
        </w:tabs>
        <w:ind w:start="1800" w:hanging="360"/>
      </w:pPr>
    </w:lvl>
    <w:lvl w:ilvl="5">
      <w:start w:val="1"/>
      <w:numFmt w:val="lowerRoman"/>
      <w:lvlText w:val="(%6)"/>
      <w:lvlJc w:val="start"/>
      <w:pPr>
        <w:tabs>
          <w:tab w:val="num" w:pos="2160"/>
        </w:tabs>
        <w:ind w:start="2160" w:hanging="360"/>
      </w:pPr>
    </w:lvl>
    <w:lvl w:ilvl="6">
      <w:start w:val="1"/>
      <w:numFmt w:val="decimal"/>
      <w:lvlText w:val="%7."/>
      <w:lvlJc w:val="start"/>
      <w:pPr>
        <w:tabs>
          <w:tab w:val="num" w:pos="2520"/>
        </w:tabs>
        <w:ind w:start="2520" w:hanging="360"/>
      </w:pPr>
    </w:lvl>
    <w:lvl w:ilvl="7">
      <w:start w:val="1"/>
      <w:numFmt w:val="lowerLetter"/>
      <w:lvlText w:val="%8."/>
      <w:lvlJc w:val="start"/>
      <w:pPr>
        <w:tabs>
          <w:tab w:val="num" w:pos="2880"/>
        </w:tabs>
        <w:ind w:start="2880" w:hanging="360"/>
      </w:pPr>
    </w:lvl>
    <w:lvl w:ilvl="8">
      <w:start w:val="1"/>
      <w:numFmt w:val="lowerRoman"/>
      <w:lvlText w:val="%9."/>
      <w:lvlJc w:val="start"/>
      <w:pPr>
        <w:tabs>
          <w:tab w:val="num" w:pos="3240"/>
        </w:tabs>
        <w:ind w:start="324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20"/>
  <w:autoHyphenation w:val="true"/>
  <w:footnotePr>
    <w:numFmt w:val="decimal"/>
    <w:footnote w:id="0"/>
    <w:footnote w:id="1"/>
  </w:footnotePr>
  <w:compat>
    <w:doNotBreakWrappedTables/>
    <w:compatSetting w:name="compatibilityMode" w:uri="http://schemas.microsoft.com/office/word" w:val="11"/>
  </w:compat>
  <w:docVars>
    <w:docVar w:name="DVDOCNUMBER" w:val="6975135"/>
  </w:docVa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spacing w:before="0" w:after="240"/>
    </w:pPr>
    <w:rPr>
      <w:rFonts w:ascii="Arial" w:hAnsi="Arial" w:eastAsia="Times New Roman" w:cs="Arial"/>
      <w:color w:val="auto"/>
      <w:sz w:val="24"/>
      <w:szCs w:val="20"/>
      <w:lang w:val="en-GB" w:bidi="ar-SA" w:eastAsia="zh-CN"/>
    </w:rPr>
  </w:style>
  <w:style w:type="paragraph" w:styleId="Heading1">
    <w:name w:val="Heading 1"/>
    <w:basedOn w:val="Normal"/>
    <w:next w:val="ListNumber"/>
    <w:qFormat/>
    <w:pPr>
      <w:keepNext w:val="true"/>
      <w:numPr>
        <w:ilvl w:val="0"/>
        <w:numId w:val="1"/>
      </w:numPr>
      <w:spacing w:before="120" w:after="120"/>
      <w:jc w:val="start"/>
      <w:outlineLvl w:val="0"/>
    </w:pPr>
    <w:rPr>
      <w:rFonts w:ascii="Arial" w:hAnsi="Arial" w:cs="Arial"/>
      <w:b/>
      <w:bCs/>
      <w:iCs/>
      <w:kern w:val="2"/>
      <w:sz w:val="28"/>
    </w:rPr>
  </w:style>
  <w:style w:type="paragraph" w:styleId="Heading2">
    <w:name w:val="Heading 2"/>
    <w:basedOn w:val="Normal"/>
    <w:next w:val="ListNumber"/>
    <w:qFormat/>
    <w:pPr>
      <w:keepNext w:val="true"/>
      <w:numPr>
        <w:ilvl w:val="1"/>
        <w:numId w:val="1"/>
      </w:numPr>
      <w:tabs>
        <w:tab w:val="left" w:pos="720" w:leader="none"/>
        <w:tab w:val="left" w:pos="1440" w:leader="none"/>
      </w:tabs>
      <w:spacing w:before="120" w:after="120"/>
      <w:jc w:val="start"/>
      <w:outlineLvl w:val="1"/>
    </w:pPr>
    <w:rPr>
      <w:rFonts w:ascii="Arial" w:hAnsi="Arial" w:cs="Arial"/>
      <w:b/>
      <w:bCs/>
      <w:iCs/>
    </w:rPr>
  </w:style>
  <w:style w:type="paragraph" w:styleId="Heading3">
    <w:name w:val="Heading 3"/>
    <w:basedOn w:val="Normal"/>
    <w:next w:val="ListNumber"/>
    <w:qFormat/>
    <w:pPr>
      <w:keepNext w:val="true"/>
      <w:numPr>
        <w:ilvl w:val="2"/>
        <w:numId w:val="1"/>
      </w:numPr>
      <w:tabs>
        <w:tab w:val="clear" w:pos="720"/>
        <w:tab w:val="left" w:pos="1440" w:leader="none"/>
      </w:tabs>
      <w:spacing w:before="120" w:after="120"/>
      <w:jc w:val="start"/>
      <w:outlineLvl w:val="2"/>
    </w:pPr>
    <w:rPr>
      <w:rFonts w:ascii="Arial" w:hAnsi="Arial" w:cs="Arial"/>
      <w:i/>
      <w:iCs/>
    </w:rPr>
  </w:style>
  <w:style w:type="paragraph" w:styleId="Heading4">
    <w:name w:val="Heading 4"/>
    <w:basedOn w:val="Normal"/>
    <w:next w:val="Normal"/>
    <w:qFormat/>
    <w:pPr>
      <w:keepNext w:val="true"/>
      <w:numPr>
        <w:ilvl w:val="3"/>
        <w:numId w:val="1"/>
      </w:numPr>
      <w:jc w:val="center"/>
      <w:outlineLvl w:val="3"/>
    </w:pPr>
    <w:rPr>
      <w:rFonts w:cs="Arial"/>
      <w:b/>
      <w:bCs/>
      <w:color w:val="000000"/>
    </w:rPr>
  </w:style>
  <w:style w:type="paragraph" w:styleId="Heading5">
    <w:name w:val="Heading 5"/>
    <w:basedOn w:val="Normal"/>
    <w:next w:val="BodyText"/>
    <w:qFormat/>
    <w:pPr>
      <w:numPr>
        <w:ilvl w:val="4"/>
        <w:numId w:val="1"/>
      </w:numPr>
      <w:spacing w:lineRule="atLeast" w:line="246"/>
      <w:jc w:val="both"/>
      <w:outlineLvl w:val="4"/>
    </w:pPr>
    <w:rPr>
      <w:rFonts w:ascii="Times New Roman" w:hAnsi="Times New Roman" w:eastAsia="PMingLiU;新細明體" w:cs="Times New Roman"/>
      <w:bCs/>
      <w:iCs/>
      <w:szCs w:val="26"/>
      <w:lang w:val="en-US" w:eastAsia="zh-TW"/>
    </w:rPr>
  </w:style>
  <w:style w:type="paragraph" w:styleId="Heading6">
    <w:name w:val="Heading 6"/>
    <w:basedOn w:val="Normal"/>
    <w:next w:val="BodyText"/>
    <w:qFormat/>
    <w:pPr>
      <w:numPr>
        <w:ilvl w:val="5"/>
        <w:numId w:val="1"/>
      </w:numPr>
      <w:spacing w:lineRule="atLeast" w:line="246"/>
      <w:jc w:val="both"/>
      <w:outlineLvl w:val="5"/>
    </w:pPr>
    <w:rPr>
      <w:rFonts w:ascii="Times New Roman" w:hAnsi="Times New Roman" w:eastAsia="PMingLiU;新細明體" w:cs="Times New Roman"/>
      <w:bCs/>
      <w:szCs w:val="22"/>
      <w:lang w:val="en-US" w:eastAsia="zh-TW"/>
    </w:rPr>
  </w:style>
  <w:style w:type="paragraph" w:styleId="Heading7">
    <w:name w:val="Heading 7"/>
    <w:basedOn w:val="Normal"/>
    <w:next w:val="BodyText"/>
    <w:qFormat/>
    <w:pPr>
      <w:numPr>
        <w:ilvl w:val="6"/>
        <w:numId w:val="1"/>
      </w:numPr>
      <w:spacing w:lineRule="atLeast" w:line="246"/>
      <w:jc w:val="both"/>
      <w:outlineLvl w:val="6"/>
    </w:pPr>
    <w:rPr>
      <w:rFonts w:ascii="Times New Roman" w:hAnsi="Times New Roman" w:eastAsia="PMingLiU;新細明體" w:cs="Times New Roman"/>
      <w:szCs w:val="24"/>
      <w:lang w:val="en-US" w:eastAsia="zh-TW"/>
    </w:rPr>
  </w:style>
  <w:style w:type="paragraph" w:styleId="Heading8">
    <w:name w:val="Heading 8"/>
    <w:basedOn w:val="Normal"/>
    <w:next w:val="BodyText"/>
    <w:qFormat/>
    <w:pPr>
      <w:numPr>
        <w:ilvl w:val="7"/>
        <w:numId w:val="1"/>
      </w:numPr>
      <w:spacing w:lineRule="atLeast" w:line="246"/>
      <w:jc w:val="both"/>
      <w:outlineLvl w:val="7"/>
    </w:pPr>
    <w:rPr>
      <w:rFonts w:ascii="Times New Roman" w:hAnsi="Times New Roman" w:eastAsia="PMingLiU;新細明體" w:cs="Times New Roman"/>
      <w:iCs/>
      <w:szCs w:val="24"/>
      <w:lang w:val="en-US" w:eastAsia="zh-TW"/>
    </w:rPr>
  </w:style>
  <w:style w:type="paragraph" w:styleId="Heading9">
    <w:name w:val="Heading 9"/>
    <w:basedOn w:val="Normal"/>
    <w:next w:val="BodyText"/>
    <w:qFormat/>
    <w:pPr>
      <w:numPr>
        <w:ilvl w:val="8"/>
        <w:numId w:val="1"/>
      </w:numPr>
      <w:spacing w:lineRule="atLeast" w:line="246"/>
      <w:jc w:val="both"/>
      <w:outlineLvl w:val="8"/>
    </w:pPr>
    <w:rPr>
      <w:rFonts w:ascii="Times New Roman" w:hAnsi="Times New Roman" w:eastAsia="PMingLiU;新細明體" w:cs="Times New Roman"/>
      <w:szCs w:val="22"/>
      <w:lang w:val="en-US" w:eastAsia="zh-TW"/>
    </w:rPr>
  </w:style>
  <w:style w:type="character" w:styleId="WW8Num1z0">
    <w:name w:val="WW8Num1z0"/>
    <w:qFormat/>
    <w:rPr>
      <w:rFonts w:ascii="Times New Roman" w:hAnsi="Times New Roman" w:cs="Times New Roman"/>
      <w:b/>
      <w:i w:val="false"/>
      <w:caps w:val="false"/>
      <w:smallCaps w:val="false"/>
      <w:vanish w:val="false"/>
      <w:color w:val="000000"/>
      <w:u w:val="none"/>
    </w:rPr>
  </w:style>
  <w:style w:type="character" w:styleId="WW8Num1z1">
    <w:name w:val="WW8Num1z1"/>
    <w:qFormat/>
    <w:rPr>
      <w:b w:val="false"/>
      <w:i w:val="false"/>
      <w:vanish w:val="false"/>
      <w:color w:val="000000"/>
      <w:u w:val="none"/>
    </w:rPr>
  </w:style>
  <w:style w:type="character" w:styleId="WW8Num1z2">
    <w:name w:val="WW8Num1z2"/>
    <w:qFormat/>
    <w:rPr>
      <w:vanish w:val="false"/>
      <w:color w:val="000000"/>
      <w:u w:val="none"/>
    </w:rPr>
  </w:style>
  <w:style w:type="character" w:styleId="WW8Num2z0">
    <w:name w:val="WW8Num2z0"/>
    <w:qFormat/>
    <w:rPr>
      <w:b w:val="false"/>
      <w:i w:val="false"/>
      <w:caps/>
      <w:color w:val="000000"/>
      <w:u w:val="none"/>
    </w:rPr>
  </w:style>
  <w:style w:type="character" w:styleId="WW8Num2z1">
    <w:name w:val="WW8Num2z1"/>
    <w:qFormat/>
    <w:rPr>
      <w:color w:val="000000"/>
      <w:u w:val="none"/>
    </w:rPr>
  </w:style>
  <w:style w:type="character" w:styleId="WW8Num3z0">
    <w:name w:val="WW8Num3z0"/>
    <w:qFormat/>
    <w:rPr>
      <w:b w:val="false"/>
    </w:rPr>
  </w:style>
  <w:style w:type="character" w:styleId="WW8Num4z0">
    <w:name w:val="WW8Num4z0"/>
    <w:qFormat/>
    <w:rPr>
      <w:b w:val="false"/>
    </w:rPr>
  </w:style>
  <w:style w:type="character" w:styleId="WW8Num5z0">
    <w:name w:val="WW8Num5z0"/>
    <w:qFormat/>
    <w:rPr>
      <w:rFonts w:eastAsia="Times New Roman" w:cs="Times New Roman"/>
      <w:sz w:val="24"/>
    </w:rPr>
  </w:style>
  <w:style w:type="character" w:styleId="WW8Num6z0">
    <w:name w:val="WW8Num6z0"/>
    <w:qFormat/>
    <w:rPr>
      <w:b w:val="false"/>
    </w:rPr>
  </w:style>
  <w:style w:type="character" w:styleId="WW8Num7z0">
    <w:name w:val="WW8Num7z0"/>
    <w:qFormat/>
    <w:rPr>
      <w:b w:val="false"/>
    </w:rPr>
  </w:style>
  <w:style w:type="character" w:styleId="WW8Num9z0">
    <w:name w:val="WW8Num9z0"/>
    <w:qFormat/>
    <w:rPr/>
  </w:style>
  <w:style w:type="character" w:styleId="WW8Num10z0">
    <w:name w:val="WW8Num10z0"/>
    <w:qFormat/>
    <w:rPr>
      <w:rFonts w:ascii="Symbol" w:hAnsi="Symbol" w:cs="Symbol"/>
    </w:rPr>
  </w:style>
  <w:style w:type="character" w:styleId="WW8Num10z1">
    <w:name w:val="WW8Num10z1"/>
    <w:qFormat/>
    <w:rPr>
      <w:rFonts w:ascii="Courier New" w:hAnsi="Courier New" w:cs="Courier New"/>
    </w:rPr>
  </w:style>
  <w:style w:type="character" w:styleId="WW8Num10z2">
    <w:name w:val="WW8Num10z2"/>
    <w:qFormat/>
    <w:rPr>
      <w:rFonts w:ascii="Wingdings" w:hAnsi="Wingdings" w:cs="Wingdings"/>
    </w:rPr>
  </w:style>
  <w:style w:type="character" w:styleId="WW8Num11z0">
    <w:name w:val="WW8Num11z0"/>
    <w:qFormat/>
    <w:rPr>
      <w:rFonts w:ascii="Symbol" w:hAnsi="Symbol" w:cs="Symbol"/>
    </w:rPr>
  </w:style>
  <w:style w:type="character" w:styleId="WW8Num12z0">
    <w:name w:val="WW8Num12z0"/>
    <w:qFormat/>
    <w:rPr>
      <w:b/>
      <w:caps/>
      <w:color w:val="000000"/>
      <w:u w:val="none"/>
    </w:rPr>
  </w:style>
  <w:style w:type="character" w:styleId="WW8Num12z1">
    <w:name w:val="WW8Num12z1"/>
    <w:qFormat/>
    <w:rPr>
      <w:color w:val="000000"/>
      <w:u w:val="none"/>
    </w:rPr>
  </w:style>
  <w:style w:type="character" w:styleId="WW8Num14z0">
    <w:name w:val="WW8Num14z0"/>
    <w:qFormat/>
    <w:rPr>
      <w:b w:val="false"/>
      <w:i w:val="false"/>
      <w:caps/>
      <w:vanish w:val="false"/>
      <w:color w:val="000000"/>
      <w:u w:val="none"/>
    </w:rPr>
  </w:style>
  <w:style w:type="character" w:styleId="WW8Num14z1">
    <w:name w:val="WW8Num14z1"/>
    <w:qFormat/>
    <w:rPr>
      <w:b w:val="false"/>
      <w:i w:val="false"/>
      <w:vanish w:val="false"/>
      <w:color w:val="000000"/>
      <w:sz w:val="22"/>
      <w:szCs w:val="22"/>
      <w:u w:val="none"/>
    </w:rPr>
  </w:style>
  <w:style w:type="character" w:styleId="WW8Num14z2">
    <w:name w:val="WW8Num14z2"/>
    <w:qFormat/>
    <w:rPr>
      <w:vanish w:val="false"/>
      <w:color w:val="000000"/>
      <w:sz w:val="22"/>
      <w:szCs w:val="22"/>
      <w:u w:val="none"/>
    </w:rPr>
  </w:style>
  <w:style w:type="character" w:styleId="WW8Num14z3">
    <w:name w:val="WW8Num14z3"/>
    <w:qFormat/>
    <w:rPr>
      <w:vanish w:val="false"/>
      <w:color w:val="000000"/>
      <w:u w:val="none"/>
    </w:rPr>
  </w:style>
  <w:style w:type="character" w:styleId="DefaultParagraphFont">
    <w:name w:val="Default Paragraph Font"/>
    <w:qFormat/>
    <w:rPr/>
  </w:style>
  <w:style w:type="character" w:styleId="FootnoteCharacters">
    <w:name w:val="Footnote Characters"/>
    <w:qFormat/>
    <w:rPr>
      <w:rFonts w:ascii="Arial" w:hAnsi="Arial" w:cs="Arial"/>
      <w:sz w:val="20"/>
      <w:vertAlign w:val="superscript"/>
    </w:rPr>
  </w:style>
  <w:style w:type="character" w:styleId="ORRFooterCaption">
    <w:name w:val="ORR Footer Caption"/>
    <w:qFormat/>
    <w:rPr>
      <w:rFonts w:ascii="Arial" w:hAnsi="Arial" w:cs="Arial"/>
      <w:w w:val="100"/>
      <w:sz w:val="20"/>
    </w:rPr>
  </w:style>
  <w:style w:type="character" w:styleId="ORRFooterDetails">
    <w:name w:val="ORR Footer Details"/>
    <w:qFormat/>
    <w:rPr>
      <w:rFonts w:ascii="Arial" w:hAnsi="Arial" w:cs="Arial"/>
      <w:spacing w:val="10"/>
      <w:w w:val="100"/>
      <w:position w:val="0"/>
      <w:sz w:val="20"/>
      <w:sz w:val="20"/>
      <w:vertAlign w:val="baseline"/>
      <w:lang w:val="en-US" w:eastAsia="en-US"/>
    </w:rPr>
  </w:style>
  <w:style w:type="character" w:styleId="PageNumber">
    <w:name w:val="Page Number"/>
    <w:rPr>
      <w:rFonts w:ascii="Arial" w:hAnsi="Arial" w:cs="Arial"/>
      <w:sz w:val="20"/>
    </w:rPr>
  </w:style>
  <w:style w:type="character" w:styleId="UK12Block05Char">
    <w:name w:val="UK12 Block 0.5 Char"/>
    <w:qFormat/>
    <w:rPr>
      <w:rFonts w:eastAsia="PMingLiU;新細明體"/>
      <w:sz w:val="22"/>
      <w:szCs w:val="24"/>
      <w:lang w:val="en-US" w:eastAsia="zh-TW" w:bidi="ar-SA"/>
    </w:rPr>
  </w:style>
  <w:style w:type="character" w:styleId="DocID">
    <w:name w:val="DocID"/>
    <w:qFormat/>
    <w:rPr>
      <w:sz w:val="16"/>
    </w:rPr>
  </w:style>
  <w:style w:type="character" w:styleId="FooterChar">
    <w:name w:val="Footer Char"/>
    <w:qFormat/>
    <w:rPr>
      <w:rFonts w:ascii="Arial" w:hAnsi="Arial" w:cs="Arial"/>
      <w:sz w:val="24"/>
    </w:rPr>
  </w:style>
  <w:style w:type="character" w:styleId="BalloonTextChar">
    <w:name w:val="Balloon Text Char"/>
    <w:qFormat/>
    <w:rPr>
      <w:rFonts w:ascii="Tahoma" w:hAnsi="Tahoma" w:cs="Tahoma"/>
      <w:sz w:val="16"/>
      <w:szCs w:val="16"/>
    </w:rPr>
  </w:style>
  <w:style w:type="character" w:styleId="Heading1Char">
    <w:name w:val="Heading 1 Char"/>
    <w:qFormat/>
    <w:rPr>
      <w:rFonts w:ascii="Arial" w:hAnsi="Arial" w:cs="Arial"/>
      <w:b/>
      <w:bCs/>
      <w:iCs/>
      <w:kern w:val="2"/>
      <w:sz w:val="28"/>
    </w:rPr>
  </w:style>
  <w:style w:type="character" w:styleId="FootnoteTextChar">
    <w:name w:val="Footnote Text Char"/>
    <w:qFormat/>
    <w:rPr>
      <w:rFonts w:ascii="Arial" w:hAnsi="Arial" w:cs="Arial"/>
    </w:rPr>
  </w:style>
  <w:style w:type="character" w:styleId="FootnoteReference">
    <w:name w:val="Footnote Reference"/>
    <w:rPr>
      <w:vertAlign w:val="superscript"/>
    </w:rPr>
  </w:style>
  <w:style w:type="character" w:styleId="EndnoteReference">
    <w:name w:val="Endnote Reference"/>
    <w:rPr>
      <w:vertAlign w:val="superscript"/>
    </w:rPr>
  </w:style>
  <w:style w:type="character" w:styleId="EndnoteCharacters">
    <w:name w:val="Endnote Characters"/>
    <w:qFormat/>
    <w:rPr/>
  </w:style>
  <w:style w:type="paragraph" w:styleId="Heading">
    <w:name w:val="Heading"/>
    <w:basedOn w:val="Normal"/>
    <w:next w:val="BodyText"/>
    <w:qFormat/>
    <w:pPr>
      <w:jc w:val="center"/>
    </w:pPr>
    <w:rPr>
      <w:rFonts w:cs="Arial"/>
      <w:b/>
      <w:bCs/>
      <w:color w:val="000000"/>
    </w:rPr>
  </w:style>
  <w:style w:type="paragraph" w:styleId="BodyText">
    <w:name w:val="Body Text"/>
    <w:basedOn w:val="Normal"/>
    <w:pPr/>
    <w:rPr>
      <w:rFonts w:cs="Arial"/>
      <w:i/>
      <w:iCs/>
      <w:color w:val="000000"/>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ListNumber">
    <w:name w:val="List Number"/>
    <w:qFormat/>
    <w:pPr>
      <w:widowControl/>
      <w:numPr>
        <w:ilvl w:val="0"/>
        <w:numId w:val="9"/>
      </w:numPr>
      <w:tabs>
        <w:tab w:val="left" w:pos="720" w:leader="none"/>
      </w:tabs>
      <w:bidi w:val="0"/>
      <w:spacing w:before="120" w:after="120"/>
    </w:pPr>
    <w:rPr>
      <w:rFonts w:ascii="Arial" w:hAnsi="Arial" w:eastAsia="Times New Roman" w:cs="Arial"/>
      <w:color w:val="auto"/>
      <w:sz w:val="24"/>
      <w:szCs w:val="20"/>
      <w:lang w:val="en-GB" w:bidi="ar-SA" w:eastAsia="zh-CN"/>
    </w:rPr>
  </w:style>
  <w:style w:type="paragraph" w:styleId="ListNumber2">
    <w:name w:val="List Number 2"/>
    <w:basedOn w:val="Normal"/>
    <w:qFormat/>
    <w:pPr>
      <w:numPr>
        <w:ilvl w:val="0"/>
        <w:numId w:val="9"/>
      </w:numPr>
      <w:suppressAutoHyphens w:val="true"/>
      <w:spacing w:before="120" w:after="120"/>
    </w:pPr>
    <w:rPr>
      <w:rFonts w:ascii="Arial" w:hAnsi="Arial" w:cs="Arial"/>
    </w:rPr>
  </w:style>
  <w:style w:type="paragraph" w:styleId="ListNumber3">
    <w:name w:val="List Number 3"/>
    <w:basedOn w:val="Normal"/>
    <w:qFormat/>
    <w:pPr>
      <w:numPr>
        <w:ilvl w:val="0"/>
        <w:numId w:val="9"/>
      </w:numPr>
      <w:suppressAutoHyphens w:val="true"/>
      <w:spacing w:before="120" w:after="120"/>
    </w:pPr>
    <w:rPr>
      <w:rFonts w:ascii="Arial" w:hAnsi="Arial" w:cs="Arial"/>
      <w:bCs/>
    </w:rPr>
  </w:style>
  <w:style w:type="paragraph" w:styleId="FootnoteText">
    <w:name w:val="Footnote Text"/>
    <w:basedOn w:val="Normal"/>
    <w:pPr>
      <w:spacing w:before="0" w:after="200"/>
      <w:ind w:hanging="300" w:start="1100" w:end="0"/>
      <w:jc w:val="start"/>
    </w:pPr>
    <w:rPr>
      <w:rFonts w:ascii="Arial" w:hAnsi="Arial" w:cs="Arial"/>
      <w:sz w:val="20"/>
    </w:rPr>
  </w:style>
  <w:style w:type="paragraph" w:styleId="HeaderandFooter">
    <w:name w:val="Header and Footer"/>
    <w:basedOn w:val="Normal"/>
    <w:qFormat/>
    <w:pPr>
      <w:suppressLineNumbers/>
      <w:tabs>
        <w:tab w:val="clear" w:pos="720"/>
        <w:tab w:val="center" w:pos="4986" w:leader="none"/>
        <w:tab w:val="right" w:pos="9972" w:leader="none"/>
      </w:tabs>
    </w:pPr>
    <w:rPr/>
  </w:style>
  <w:style w:type="paragraph" w:styleId="Header">
    <w:name w:val="Header"/>
    <w:basedOn w:val="Normal"/>
    <w:pPr>
      <w:tabs>
        <w:tab w:val="clear" w:pos="720"/>
        <w:tab w:val="center" w:pos="4153" w:leader="none"/>
        <w:tab w:val="right" w:pos="8306" w:leader="none"/>
      </w:tabs>
      <w:jc w:val="start"/>
    </w:pPr>
    <w:rPr>
      <w:rFonts w:ascii="Arial" w:hAnsi="Arial" w:cs="Arial"/>
    </w:rPr>
  </w:style>
  <w:style w:type="paragraph" w:styleId="ORRBulletedText">
    <w:name w:val="ORR Bulleted Text"/>
    <w:basedOn w:val="Normal"/>
    <w:qFormat/>
    <w:pPr>
      <w:numPr>
        <w:ilvl w:val="0"/>
        <w:numId w:val="8"/>
      </w:numPr>
      <w:spacing w:before="120" w:after="120"/>
    </w:pPr>
    <w:rPr/>
  </w:style>
  <w:style w:type="paragraph" w:styleId="ORRFooterJobTitle">
    <w:name w:val="ORR Footer Job Title"/>
    <w:basedOn w:val="Normal"/>
    <w:next w:val="Normal"/>
    <w:qFormat/>
    <w:pPr>
      <w:spacing w:before="0" w:after="8"/>
      <w:jc w:val="end"/>
    </w:pPr>
    <w:rPr>
      <w:b/>
      <w:spacing w:val="10"/>
      <w:kern w:val="2"/>
      <w:sz w:val="20"/>
    </w:rPr>
  </w:style>
  <w:style w:type="paragraph" w:styleId="ORRFooterName">
    <w:name w:val="ORR Footer Name"/>
    <w:basedOn w:val="Normal"/>
    <w:next w:val="ORRFooterJobTitle"/>
    <w:qFormat/>
    <w:pPr>
      <w:spacing w:before="0" w:after="60"/>
      <w:jc w:val="end"/>
    </w:pPr>
    <w:rPr>
      <w:b/>
      <w:spacing w:val="20"/>
      <w:kern w:val="2"/>
      <w:sz w:val="20"/>
    </w:rPr>
  </w:style>
  <w:style w:type="paragraph" w:styleId="ORRLetterDate">
    <w:name w:val="ORR Letter Date"/>
    <w:basedOn w:val="Normal"/>
    <w:qFormat/>
    <w:pPr>
      <w:keepNext w:val="true"/>
      <w:suppressAutoHyphens w:val="true"/>
      <w:spacing w:before="0" w:after="560"/>
    </w:pPr>
    <w:rPr/>
  </w:style>
  <w:style w:type="paragraph" w:styleId="ORRLetterHeader">
    <w:name w:val="ORR Letter Header"/>
    <w:basedOn w:val="Heading1"/>
    <w:qFormat/>
    <w:pPr>
      <w:numPr>
        <w:ilvl w:val="0"/>
        <w:numId w:val="0"/>
      </w:numPr>
      <w:spacing w:before="1680" w:after="120"/>
      <w:outlineLvl w:val="9"/>
    </w:pPr>
    <w:rPr>
      <w:rFonts w:eastAsia="Times New Roman"/>
    </w:rPr>
  </w:style>
  <w:style w:type="paragraph" w:styleId="ORRLetterSalutation">
    <w:name w:val="ORR Letter Salutation"/>
    <w:basedOn w:val="Normal"/>
    <w:next w:val="Heading1"/>
    <w:qFormat/>
    <w:pPr>
      <w:keepNext w:val="true"/>
      <w:suppressAutoHyphens w:val="true"/>
      <w:spacing w:before="120" w:after="120"/>
    </w:pPr>
    <w:rPr/>
  </w:style>
  <w:style w:type="paragraph" w:styleId="ORRRecipient">
    <w:name w:val="ORR Recipient"/>
    <w:basedOn w:val="Normal"/>
    <w:qFormat/>
    <w:pPr>
      <w:keepNext w:val="true"/>
      <w:suppressAutoHyphens w:val="true"/>
      <w:spacing w:before="0" w:after="0"/>
    </w:pPr>
    <w:rPr/>
  </w:style>
  <w:style w:type="paragraph" w:styleId="Signature">
    <w:name w:val="Signature"/>
    <w:basedOn w:val="Normal"/>
    <w:pPr>
      <w:spacing w:before="0" w:after="0"/>
    </w:pPr>
    <w:rPr>
      <w:b/>
    </w:rPr>
  </w:style>
  <w:style w:type="paragraph" w:styleId="Footer">
    <w:name w:val="Footer"/>
    <w:basedOn w:val="Normal"/>
    <w:pPr>
      <w:tabs>
        <w:tab w:val="clear" w:pos="720"/>
        <w:tab w:val="center" w:pos="4153" w:leader="none"/>
        <w:tab w:val="right" w:pos="8306" w:leader="none"/>
      </w:tabs>
      <w:jc w:val="start"/>
    </w:pPr>
    <w:rPr>
      <w:rFonts w:ascii="Arial" w:hAnsi="Arial" w:cs="Arial"/>
    </w:rPr>
  </w:style>
  <w:style w:type="paragraph" w:styleId="CommentText">
    <w:name w:val="Comment Text"/>
    <w:basedOn w:val="Normal"/>
    <w:next w:val="Normal"/>
    <w:qFormat/>
    <w:pPr>
      <w:autoSpaceDE w:val="false"/>
      <w:spacing w:before="0" w:after="0"/>
    </w:pPr>
    <w:rPr>
      <w:szCs w:val="24"/>
      <w:lang w:val="en-US"/>
    </w:rPr>
  </w:style>
  <w:style w:type="paragraph" w:styleId="BodyText2">
    <w:name w:val="Body Text 2"/>
    <w:basedOn w:val="Normal"/>
    <w:qFormat/>
    <w:pPr/>
    <w:rPr>
      <w:rFonts w:cs="Arial"/>
      <w:color w:val="000000"/>
    </w:rPr>
  </w:style>
  <w:style w:type="paragraph" w:styleId="BodyTextNumbered">
    <w:name w:val="Body Text Numbered"/>
    <w:basedOn w:val="Normal"/>
    <w:qFormat/>
    <w:pPr>
      <w:numPr>
        <w:ilvl w:val="0"/>
        <w:numId w:val="6"/>
      </w:numPr>
    </w:pPr>
    <w:rPr>
      <w:rFonts w:ascii="Times New Roman" w:hAnsi="Times New Roman" w:eastAsia="PMingLiU;新細明體" w:cs="Times New Roman"/>
      <w:szCs w:val="24"/>
      <w:lang w:val="en-US" w:eastAsia="zh-TW"/>
    </w:rPr>
  </w:style>
  <w:style w:type="paragraph" w:styleId="BulletedList">
    <w:name w:val="Bulleted List"/>
    <w:basedOn w:val="Normal"/>
    <w:qFormat/>
    <w:pPr>
      <w:numPr>
        <w:ilvl w:val="0"/>
        <w:numId w:val="7"/>
      </w:numPr>
    </w:pPr>
    <w:rPr>
      <w:rFonts w:ascii="Times New Roman" w:hAnsi="Times New Roman" w:eastAsia="PMingLiU;新細明體" w:cs="Times New Roman"/>
      <w:szCs w:val="24"/>
      <w:lang w:val="en-US" w:eastAsia="zh-TW"/>
    </w:rPr>
  </w:style>
  <w:style w:type="paragraph" w:styleId="S2Heading1">
    <w:name w:val="S2.Heading 1"/>
    <w:basedOn w:val="Normal"/>
    <w:next w:val="S2Heading2"/>
    <w:qFormat/>
    <w:pPr>
      <w:keepNext w:val="true"/>
      <w:numPr>
        <w:ilvl w:val="0"/>
        <w:numId w:val="2"/>
      </w:numPr>
      <w:tabs>
        <w:tab w:val="clear" w:pos="720"/>
      </w:tabs>
      <w:jc w:val="center"/>
      <w:outlineLvl w:val="0"/>
    </w:pPr>
    <w:rPr>
      <w:rFonts w:ascii="Times New Roman" w:hAnsi="Times New Roman" w:eastAsia="PMingLiU;新細明體" w:cs="Times New Roman"/>
      <w:b/>
      <w:caps/>
      <w:color w:val="000000"/>
      <w:szCs w:val="24"/>
      <w:lang w:val="en-US" w:eastAsia="zh-TW"/>
    </w:rPr>
  </w:style>
  <w:style w:type="paragraph" w:styleId="S2Heading2">
    <w:name w:val="S2.Heading 2"/>
    <w:basedOn w:val="Normal"/>
    <w:qFormat/>
    <w:pPr>
      <w:keepNext w:val="true"/>
      <w:numPr>
        <w:ilvl w:val="0"/>
        <w:numId w:val="2"/>
      </w:numPr>
      <w:tabs>
        <w:tab w:val="clear" w:pos="720"/>
      </w:tabs>
      <w:spacing w:lineRule="atLeast" w:line="246"/>
      <w:outlineLvl w:val="1"/>
    </w:pPr>
    <w:rPr>
      <w:rFonts w:ascii="Times New Roman" w:hAnsi="Times New Roman" w:eastAsia="PMingLiU;新細明體" w:cs="Times New Roman"/>
      <w:szCs w:val="24"/>
      <w:lang w:val="en-US" w:eastAsia="zh-TW"/>
    </w:rPr>
  </w:style>
  <w:style w:type="paragraph" w:styleId="S2Heading3">
    <w:name w:val="S2.Heading 3"/>
    <w:basedOn w:val="Normal"/>
    <w:qFormat/>
    <w:pPr>
      <w:numPr>
        <w:ilvl w:val="0"/>
        <w:numId w:val="2"/>
      </w:numPr>
      <w:tabs>
        <w:tab w:val="clear" w:pos="720"/>
      </w:tabs>
      <w:spacing w:lineRule="atLeast" w:line="246"/>
      <w:outlineLvl w:val="2"/>
    </w:pPr>
    <w:rPr>
      <w:rFonts w:ascii="Times New Roman" w:hAnsi="Times New Roman" w:eastAsia="PMingLiU;新細明體" w:cs="Times New Roman"/>
      <w:szCs w:val="24"/>
      <w:lang w:val="en-US" w:eastAsia="zh-TW"/>
    </w:rPr>
  </w:style>
  <w:style w:type="paragraph" w:styleId="S2Heading4">
    <w:name w:val="S2.Heading 4"/>
    <w:basedOn w:val="Normal"/>
    <w:qFormat/>
    <w:pPr>
      <w:numPr>
        <w:ilvl w:val="0"/>
        <w:numId w:val="2"/>
      </w:numPr>
      <w:tabs>
        <w:tab w:val="clear" w:pos="720"/>
      </w:tabs>
      <w:spacing w:lineRule="atLeast" w:line="246"/>
      <w:outlineLvl w:val="3"/>
    </w:pPr>
    <w:rPr>
      <w:rFonts w:ascii="Times New Roman" w:hAnsi="Times New Roman" w:eastAsia="PMingLiU;新細明體" w:cs="Times New Roman"/>
      <w:szCs w:val="24"/>
      <w:lang w:val="en-US" w:eastAsia="zh-TW"/>
    </w:rPr>
  </w:style>
  <w:style w:type="paragraph" w:styleId="S2Heading5">
    <w:name w:val="S2.Heading 5"/>
    <w:basedOn w:val="Normal"/>
    <w:qFormat/>
    <w:pPr>
      <w:keepNext w:val="true"/>
      <w:numPr>
        <w:ilvl w:val="0"/>
        <w:numId w:val="2"/>
      </w:numPr>
      <w:tabs>
        <w:tab w:val="clear" w:pos="720"/>
      </w:tabs>
      <w:spacing w:lineRule="atLeast" w:line="246"/>
      <w:outlineLvl w:val="4"/>
    </w:pPr>
    <w:rPr>
      <w:rFonts w:ascii="Times New Roman" w:hAnsi="Times New Roman" w:eastAsia="PMingLiU;新細明體" w:cs="Times New Roman"/>
      <w:szCs w:val="24"/>
      <w:lang w:val="en-US" w:eastAsia="zh-TW"/>
    </w:rPr>
  </w:style>
  <w:style w:type="paragraph" w:styleId="S2Heading6">
    <w:name w:val="S2.Heading 6"/>
    <w:basedOn w:val="Normal"/>
    <w:qFormat/>
    <w:pPr>
      <w:numPr>
        <w:ilvl w:val="0"/>
        <w:numId w:val="2"/>
      </w:numPr>
      <w:tabs>
        <w:tab w:val="clear" w:pos="720"/>
        <w:tab w:val="left" w:pos="2160" w:leader="none"/>
      </w:tabs>
      <w:spacing w:lineRule="atLeast" w:line="246"/>
      <w:outlineLvl w:val="5"/>
    </w:pPr>
    <w:rPr>
      <w:rFonts w:ascii="Times New Roman" w:hAnsi="Times New Roman" w:eastAsia="PMingLiU;新細明體" w:cs="Times New Roman"/>
      <w:szCs w:val="24"/>
      <w:lang w:val="en-US" w:eastAsia="zh-TW"/>
    </w:rPr>
  </w:style>
  <w:style w:type="paragraph" w:styleId="S2Heading7">
    <w:name w:val="S2.Heading 7"/>
    <w:basedOn w:val="Normal"/>
    <w:qFormat/>
    <w:pPr>
      <w:numPr>
        <w:ilvl w:val="0"/>
        <w:numId w:val="2"/>
      </w:numPr>
      <w:tabs>
        <w:tab w:val="clear" w:pos="720"/>
        <w:tab w:val="left" w:pos="2520" w:leader="none"/>
      </w:tabs>
      <w:spacing w:lineRule="atLeast" w:line="246"/>
      <w:outlineLvl w:val="6"/>
    </w:pPr>
    <w:rPr>
      <w:rFonts w:ascii="Times New Roman" w:hAnsi="Times New Roman" w:eastAsia="PMingLiU;新細明體" w:cs="Times New Roman"/>
      <w:szCs w:val="24"/>
      <w:lang w:val="en-US" w:eastAsia="zh-TW"/>
    </w:rPr>
  </w:style>
  <w:style w:type="paragraph" w:styleId="S2Heading8">
    <w:name w:val="S2.Heading 8"/>
    <w:basedOn w:val="Normal"/>
    <w:qFormat/>
    <w:pPr>
      <w:numPr>
        <w:ilvl w:val="0"/>
        <w:numId w:val="2"/>
      </w:numPr>
      <w:tabs>
        <w:tab w:val="clear" w:pos="720"/>
        <w:tab w:val="left" w:pos="2880" w:leader="none"/>
      </w:tabs>
      <w:spacing w:lineRule="atLeast" w:line="246"/>
      <w:outlineLvl w:val="7"/>
    </w:pPr>
    <w:rPr>
      <w:rFonts w:ascii="Times New Roman" w:hAnsi="Times New Roman" w:eastAsia="PMingLiU;新細明體" w:cs="Times New Roman"/>
      <w:szCs w:val="24"/>
      <w:lang w:val="en-US" w:eastAsia="zh-TW"/>
    </w:rPr>
  </w:style>
  <w:style w:type="paragraph" w:styleId="S2Heading9">
    <w:name w:val="S2.Heading 9"/>
    <w:basedOn w:val="Normal"/>
    <w:qFormat/>
    <w:pPr>
      <w:numPr>
        <w:ilvl w:val="0"/>
        <w:numId w:val="2"/>
      </w:numPr>
      <w:tabs>
        <w:tab w:val="clear" w:pos="720"/>
        <w:tab w:val="left" w:pos="3240" w:leader="none"/>
      </w:tabs>
      <w:spacing w:lineRule="atLeast" w:line="246"/>
      <w:outlineLvl w:val="8"/>
    </w:pPr>
    <w:rPr>
      <w:rFonts w:ascii="Times New Roman" w:hAnsi="Times New Roman" w:eastAsia="PMingLiU;新細明體" w:cs="Times New Roman"/>
      <w:szCs w:val="24"/>
      <w:lang w:val="en-US" w:eastAsia="zh-TW"/>
    </w:rPr>
  </w:style>
  <w:style w:type="paragraph" w:styleId="UK12Block">
    <w:name w:val="UK12 Block"/>
    <w:basedOn w:val="Normal"/>
    <w:qFormat/>
    <w:pPr>
      <w:spacing w:lineRule="atLeast" w:line="246"/>
      <w:jc w:val="both"/>
    </w:pPr>
    <w:rPr>
      <w:rFonts w:ascii="Times New Roman" w:hAnsi="Times New Roman" w:eastAsia="PMingLiU;新細明體" w:cs="Times New Roman"/>
      <w:szCs w:val="24"/>
      <w:lang w:val="en-US" w:eastAsia="zh-TW"/>
    </w:rPr>
  </w:style>
  <w:style w:type="paragraph" w:styleId="UK12Block05">
    <w:name w:val="UK12 Block 0.5"/>
    <w:basedOn w:val="Normal"/>
    <w:qFormat/>
    <w:pPr>
      <w:spacing w:lineRule="atLeast" w:line="246"/>
      <w:ind w:hanging="0" w:start="720" w:end="0"/>
      <w:jc w:val="both"/>
    </w:pPr>
    <w:rPr>
      <w:rFonts w:ascii="Times New Roman" w:hAnsi="Times New Roman" w:eastAsia="PMingLiU;新細明體" w:cs="Times New Roman"/>
      <w:sz w:val="22"/>
      <w:szCs w:val="24"/>
      <w:lang w:val="en-US" w:eastAsia="zh-TW"/>
    </w:rPr>
  </w:style>
  <w:style w:type="paragraph" w:styleId="FooterLogo">
    <w:name w:val="FooterLogo"/>
    <w:basedOn w:val="Footer"/>
    <w:qFormat/>
    <w:pPr>
      <w:tabs>
        <w:tab w:val="clear" w:pos="4153"/>
        <w:tab w:val="clear" w:pos="8306"/>
        <w:tab w:val="center" w:pos="4320" w:leader="none"/>
        <w:tab w:val="right" w:pos="8640" w:leader="none"/>
      </w:tabs>
      <w:spacing w:lineRule="exact" w:line="160" w:before="0" w:after="0"/>
      <w:jc w:val="both"/>
    </w:pPr>
    <w:rPr>
      <w:rFonts w:ascii="Arial Narrow" w:hAnsi="Arial Narrow" w:cs="Arial Narrow"/>
      <w:kern w:val="2"/>
      <w:sz w:val="10"/>
      <w:szCs w:val="24"/>
      <w:lang w:val="en-US"/>
    </w:rPr>
  </w:style>
  <w:style w:type="paragraph" w:styleId="BalloonText">
    <w:name w:val="Balloon Text"/>
    <w:basedOn w:val="Normal"/>
    <w:qFormat/>
    <w:pPr>
      <w:spacing w:before="0" w:after="0"/>
    </w:pPr>
    <w:rPr>
      <w:rFonts w:ascii="Tahoma" w:hAnsi="Tahoma" w:cs="Tahoma"/>
      <w:sz w:val="16"/>
      <w:szCs w:val="16"/>
    </w:rPr>
  </w:style>
  <w:style w:type="paragraph" w:styleId="Revision">
    <w:name w:val="Revision"/>
    <w:qFormat/>
    <w:pPr>
      <w:widowControl/>
      <w:bidi w:val="0"/>
    </w:pPr>
    <w:rPr>
      <w:rFonts w:ascii="Arial" w:hAnsi="Arial" w:eastAsia="Times New Roman" w:cs="Arial"/>
      <w:color w:val="auto"/>
      <w:sz w:val="24"/>
      <w:szCs w:val="20"/>
      <w:lang w:val="en-GB" w:bidi="ar-SA" w:eastAsia="zh-CN"/>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header" Target="header4.xml"/><Relationship Id="rId8" Type="http://schemas.openxmlformats.org/officeDocument/2006/relationships/footer" Target="footer3.xml"/><Relationship Id="rId9" Type="http://schemas.openxmlformats.org/officeDocument/2006/relationships/footer" Target="footer4.xml"/><Relationship Id="rId10" Type="http://schemas.openxmlformats.org/officeDocument/2006/relationships/footnotes" Target="footnotes.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4</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2013-08-27T10:36:00Z</dcterms:created>
  <dc:creator>Office Of Rail Regulation</dc:creator>
  <dc:description/>
  <cp:keywords/>
  <dc:language>en-US</dc:language>
  <cp:lastModifiedBy>Angeriz-Santos, Paula</cp:lastModifiedBy>
  <dcterms:modified xsi:type="dcterms:W3CDTF">2013-08-27T10:44:00Z</dcterms:modified>
  <cp:revision>6</cp:revision>
  <dc:subject> </dc:subject>
  <dc:title>Template supplemental agreement (MS Word version)</dc:title>
</cp:coreProperties>
</file>