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b/>
          <w:color w:val="0000FF"/>
          <w:sz w:val="48"/>
          <w:u w:val="single"/>
        </w:rPr>
      </w:pPr>
      <w:bookmarkStart w:id="0" w:name="page1"/>
      <w:bookmarkEnd w:id="0"/>
      <w:r>
        <w:rPr>
          <w:rFonts w:eastAsia="Times New Roman" w:cs="Times New Roman" w:ascii="Times New Roman" w:hAnsi="Times New Roman"/>
          <w:b/>
          <w:color w:val="0000FF"/>
          <w:sz w:val="48"/>
          <w:u w:val="single"/>
        </w:rPr>
        <w:t>Rent Ledger</w:t>
      </w:r>
    </w:p>
    <w:p>
      <w:pPr>
        <w:pStyle w:val="Normal"/>
        <w:spacing w:lineRule="exact" w:line="17"/>
        <w:rPr>
          <w:rFonts w:ascii="Times New Roman" w:hAnsi="Times New Roman" w:eastAsia="Times New Roman" w:cs="Times New Roman"/>
          <w:b/>
          <w:color w:val="0000FF"/>
          <w:sz w:val="24"/>
          <w:u w:val="single"/>
        </w:rPr>
      </w:pPr>
      <w:r>
        <w:rPr>
          <w:rFonts w:eastAsia="Times New Roman" w:cs="Times New Roman" w:ascii="Times New Roman" w:hAnsi="Times New Roman"/>
          <w:b/>
          <w:color w:val="0000FF"/>
          <w:sz w:val="24"/>
          <w:u w:val="single"/>
        </w:rPr>
      </w:r>
    </w:p>
    <w:p>
      <w:pPr>
        <w:pStyle w:val="Normal"/>
        <w:spacing w:lineRule="auto" w:line="261"/>
        <w:ind w:firstLine="240" w:end="140"/>
        <w:rPr/>
      </w:pPr>
      <w:r>
        <w:rPr>
          <w:rFonts w:eastAsia="Times New Roman" w:cs="Times New Roman" w:ascii="Times New Roman" w:hAnsi="Times New Roman"/>
          <w:sz w:val="24"/>
        </w:rPr>
        <w:t xml:space="preserve">When your payments and the landlord’s charges have gotten confusing, it pays to start listing the rents due and paid, so that you have something to compare. </w:t>
      </w:r>
      <w:r>
        <w:rPr>
          <w:rFonts w:eastAsia="Times New Roman" w:cs="Times New Roman" w:ascii="Times New Roman" w:hAnsi="Times New Roman"/>
          <w:i/>
          <w:sz w:val="24"/>
        </w:rPr>
        <w:t>Omit late charges</w:t>
      </w:r>
      <w:r>
        <w:rPr>
          <w:rFonts w:eastAsia="Times New Roman" w:cs="Times New Roman" w:ascii="Times New Roman" w:hAnsi="Times New Roman"/>
          <w:sz w:val="24"/>
        </w:rPr>
        <w:t xml:space="preserve"> by the landlord, which are illegal under Civil Code 1671 and 3302 [see below], but list every payment since the month before your different began. See the example: only one entry per line, charged OR paid. Compare this with the one your landlord supplies, and the judge will see where the landlord goofed, and over-charged the rent.</w:t>
      </w:r>
    </w:p>
    <w:p>
      <w:pPr>
        <w:pStyle w:val="Normal"/>
        <w:spacing w:lineRule="exact" w:line="242"/>
        <w:rPr>
          <w:rFonts w:ascii="Times New Roman" w:hAnsi="Times New Roman" w:eastAsia="Times New Roman" w:cs="Times New Roman"/>
          <w:sz w:val="24"/>
        </w:rPr>
      </w:pPr>
      <w:r>
        <w:rPr>
          <w:rFonts w:eastAsia="Times New Roman" w:cs="Times New Roman" w:ascii="Times New Roman" w:hAnsi="Times New Roman"/>
          <w:sz w:val="24"/>
        </w:rPr>
      </w:r>
    </w:p>
    <w:tbl>
      <w:tblPr>
        <w:tblW w:w="10820" w:type="dxa"/>
        <w:jc w:val="start"/>
        <w:tblInd w:w="0" w:type="dxa"/>
        <w:tblLayout w:type="fixed"/>
        <w:tblCellMar>
          <w:top w:w="0" w:type="dxa"/>
          <w:start w:w="0" w:type="dxa"/>
          <w:bottom w:w="0" w:type="dxa"/>
          <w:end w:w="0" w:type="dxa"/>
        </w:tblCellMar>
      </w:tblPr>
      <w:tblGrid>
        <w:gridCol w:w="1280"/>
        <w:gridCol w:w="4360"/>
        <w:gridCol w:w="1540"/>
        <w:gridCol w:w="1560"/>
        <w:gridCol w:w="2080"/>
      </w:tblGrid>
      <w:tr>
        <w:trPr>
          <w:trHeight w:val="495" w:hRule="atLeast"/>
        </w:trPr>
        <w:tc>
          <w:tcPr>
            <w:tcW w:w="1280" w:type="dxa"/>
            <w:tcBorders>
              <w:top w:val="single" w:sz="8" w:space="0" w:color="000000"/>
              <w:start w:val="single" w:sz="8" w:space="0" w:color="000000"/>
              <w:bottom w:val="single" w:sz="8" w:space="0" w:color="FFFFFF"/>
              <w:end w:val="single" w:sz="8" w:space="0" w:color="000000"/>
            </w:tcBorders>
          </w:tcPr>
          <w:p>
            <w:pPr>
              <w:pStyle w:val="Normal"/>
              <w:spacing w:lineRule="atLeast" w:line="0"/>
              <w:ind w:end="297"/>
              <w:jc w:val="end"/>
              <w:rPr>
                <w:rFonts w:ascii="Times New Roman" w:hAnsi="Times New Roman" w:eastAsia="Times New Roman" w:cs="Times New Roman"/>
                <w:b/>
                <w:sz w:val="26"/>
              </w:rPr>
            </w:pPr>
            <w:r>
              <w:rPr>
                <w:rFonts w:eastAsia="Times New Roman" w:cs="Times New Roman" w:ascii="Times New Roman" w:hAnsi="Times New Roman"/>
                <w:b/>
                <w:sz w:val="26"/>
              </w:rPr>
              <w:t>Date</w:t>
            </w:r>
          </w:p>
        </w:tc>
        <w:tc>
          <w:tcPr>
            <w:tcW w:w="4360" w:type="dxa"/>
            <w:tcBorders>
              <w:top w:val="single" w:sz="8" w:space="0" w:color="000000"/>
              <w:bottom w:val="single" w:sz="8" w:space="0" w:color="FFFFFF"/>
              <w:end w:val="single" w:sz="8" w:space="0" w:color="000000"/>
            </w:tcBorders>
          </w:tcPr>
          <w:p>
            <w:pPr>
              <w:pStyle w:val="Normal"/>
              <w:spacing w:lineRule="atLeast" w:line="0"/>
              <w:ind w:start="540" w:end="0"/>
              <w:rPr>
                <w:rFonts w:ascii="Times New Roman" w:hAnsi="Times New Roman" w:eastAsia="Times New Roman" w:cs="Times New Roman"/>
                <w:b/>
                <w:sz w:val="26"/>
              </w:rPr>
            </w:pPr>
            <w:r>
              <w:rPr>
                <w:rFonts w:eastAsia="Times New Roman" w:cs="Times New Roman" w:ascii="Times New Roman" w:hAnsi="Times New Roman"/>
                <w:b/>
                <w:sz w:val="26"/>
              </w:rPr>
              <w:t>Charge/Payment Description</w:t>
            </w:r>
          </w:p>
        </w:tc>
        <w:tc>
          <w:tcPr>
            <w:tcW w:w="1540" w:type="dxa"/>
            <w:tcBorders>
              <w:top w:val="single" w:sz="8" w:space="0" w:color="000000"/>
              <w:bottom w:val="single" w:sz="8" w:space="0" w:color="FFFFFF"/>
              <w:end w:val="single" w:sz="8" w:space="0" w:color="000000"/>
            </w:tcBorders>
          </w:tcPr>
          <w:p>
            <w:pPr>
              <w:pStyle w:val="Normal"/>
              <w:spacing w:lineRule="atLeast" w:line="0"/>
              <w:jc w:val="center"/>
              <w:rPr>
                <w:rFonts w:ascii="Times New Roman" w:hAnsi="Times New Roman" w:eastAsia="Times New Roman" w:cs="Times New Roman"/>
                <w:b/>
                <w:w w:val="98"/>
                <w:sz w:val="26"/>
              </w:rPr>
            </w:pPr>
            <w:r>
              <w:rPr>
                <w:rFonts w:eastAsia="Times New Roman" w:cs="Times New Roman" w:ascii="Times New Roman" w:hAnsi="Times New Roman"/>
                <w:b/>
                <w:w w:val="98"/>
                <w:sz w:val="26"/>
              </w:rPr>
              <w:t>Due</w:t>
            </w:r>
          </w:p>
        </w:tc>
        <w:tc>
          <w:tcPr>
            <w:tcW w:w="1560" w:type="dxa"/>
            <w:tcBorders>
              <w:top w:val="single" w:sz="8" w:space="0" w:color="000000"/>
              <w:bottom w:val="single" w:sz="8" w:space="0" w:color="FFFFFF"/>
              <w:end w:val="single" w:sz="8" w:space="0" w:color="000000"/>
            </w:tcBorders>
          </w:tcPr>
          <w:p>
            <w:pPr>
              <w:pStyle w:val="Normal"/>
              <w:spacing w:lineRule="atLeast" w:line="0"/>
              <w:jc w:val="center"/>
              <w:rPr>
                <w:rFonts w:ascii="Times New Roman" w:hAnsi="Times New Roman" w:eastAsia="Times New Roman" w:cs="Times New Roman"/>
                <w:b/>
                <w:sz w:val="26"/>
              </w:rPr>
            </w:pPr>
            <w:r>
              <w:rPr>
                <w:rFonts w:eastAsia="Times New Roman" w:cs="Times New Roman" w:ascii="Times New Roman" w:hAnsi="Times New Roman"/>
                <w:b/>
                <w:sz w:val="26"/>
              </w:rPr>
              <w:t>Paid</w:t>
            </w:r>
          </w:p>
        </w:tc>
        <w:tc>
          <w:tcPr>
            <w:tcW w:w="2080" w:type="dxa"/>
            <w:tcBorders>
              <w:top w:val="single" w:sz="8" w:space="0" w:color="000000"/>
              <w:bottom w:val="single" w:sz="8" w:space="0" w:color="FFFFFF"/>
              <w:end w:val="single" w:sz="8" w:space="0" w:color="000000"/>
            </w:tcBorders>
          </w:tcPr>
          <w:p>
            <w:pPr>
              <w:pStyle w:val="Normal"/>
              <w:spacing w:lineRule="atLeast" w:line="0"/>
              <w:ind w:start="320" w:end="0"/>
              <w:rPr>
                <w:rFonts w:ascii="Times New Roman" w:hAnsi="Times New Roman" w:eastAsia="Times New Roman" w:cs="Times New Roman"/>
                <w:b/>
                <w:sz w:val="26"/>
              </w:rPr>
            </w:pPr>
            <w:r>
              <w:rPr>
                <w:rFonts w:eastAsia="Times New Roman" w:cs="Times New Roman" w:ascii="Times New Roman" w:hAnsi="Times New Roman"/>
                <w:b/>
                <w:sz w:val="26"/>
              </w:rPr>
              <w:t>Balance Due</w:t>
            </w:r>
          </w:p>
        </w:tc>
      </w:tr>
      <w:tr>
        <w:trPr>
          <w:trHeight w:val="370" w:hRule="atLeast"/>
        </w:trPr>
        <w:tc>
          <w:tcPr>
            <w:tcW w:w="1280" w:type="dxa"/>
            <w:tcBorders>
              <w:top w:val="single" w:sz="8" w:space="0" w:color="000000"/>
              <w:start w:val="single" w:sz="8" w:space="0" w:color="000000"/>
              <w:bottom w:val="single" w:sz="8" w:space="0" w:color="000000"/>
              <w:end w:val="single" w:sz="8" w:space="0" w:color="000000"/>
            </w:tcBorders>
          </w:tcPr>
          <w:p>
            <w:pPr>
              <w:pStyle w:val="Normal"/>
              <w:spacing w:lineRule="atLeast" w:line="0"/>
              <w:ind w:end="237"/>
              <w:jc w:val="end"/>
              <w:rPr>
                <w:rFonts w:ascii="Arial" w:hAnsi="Arial" w:eastAsia="Arial" w:cs="Arial"/>
                <w:color w:val="0000FF"/>
              </w:rPr>
            </w:pPr>
            <w:r>
              <w:rPr>
                <w:rFonts w:eastAsia="Arial" w:cs="Arial" w:ascii="Arial" w:hAnsi="Arial"/>
                <w:color w:val="0000FF"/>
              </w:rPr>
              <w:t>1/1/03</w:t>
            </w:r>
          </w:p>
        </w:tc>
        <w:tc>
          <w:tcPr>
            <w:tcW w:w="4360" w:type="dxa"/>
            <w:tcBorders>
              <w:top w:val="single" w:sz="8" w:space="0" w:color="000000"/>
              <w:bottom w:val="single" w:sz="8" w:space="0" w:color="000000"/>
              <w:end w:val="single" w:sz="8" w:space="0" w:color="000000"/>
            </w:tcBorders>
          </w:tcPr>
          <w:p>
            <w:pPr>
              <w:pStyle w:val="Normal"/>
              <w:spacing w:lineRule="atLeast" w:line="0"/>
              <w:ind w:start="80" w:end="0"/>
              <w:rPr/>
            </w:pPr>
            <w:r>
              <w:rPr>
                <w:rFonts w:eastAsia="Arial" w:cs="Arial" w:ascii="Arial" w:hAnsi="Arial"/>
                <w:color w:val="0000FF"/>
              </w:rPr>
              <w:t>January Rent</w:t>
            </w:r>
            <w:r>
              <w:rPr>
                <w:rFonts w:eastAsia="Arial" w:cs="Arial" w:ascii="Arial" w:hAnsi="Arial"/>
                <w:color w:val="000000"/>
              </w:rPr>
              <w:t xml:space="preserve"> -</w:t>
            </w:r>
            <w:r>
              <w:rPr>
                <w:rFonts w:eastAsia="Arial" w:cs="Arial" w:ascii="Arial" w:hAnsi="Arial"/>
                <w:color w:val="0000FF"/>
              </w:rPr>
              <w:t>Example</w:t>
            </w:r>
          </w:p>
        </w:tc>
        <w:tc>
          <w:tcPr>
            <w:tcW w:w="1540" w:type="dxa"/>
            <w:tcBorders>
              <w:top w:val="single" w:sz="8" w:space="0" w:color="000000"/>
              <w:bottom w:val="single" w:sz="8" w:space="0" w:color="000000"/>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$1,000.00</w:t>
            </w:r>
          </w:p>
        </w:tc>
        <w:tc>
          <w:tcPr>
            <w:tcW w:w="1560" w:type="dxa"/>
            <w:tcBorders>
              <w:top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tc>
        <w:tc>
          <w:tcPr>
            <w:tcW w:w="2080" w:type="dxa"/>
            <w:tcBorders>
              <w:top w:val="single" w:sz="8" w:space="0" w:color="000000"/>
              <w:bottom w:val="single" w:sz="8" w:space="0" w:color="000000"/>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$1,000.00</w:t>
            </w:r>
          </w:p>
        </w:tc>
      </w:tr>
      <w:tr>
        <w:trPr>
          <w:trHeight w:val="340" w:hRule="atLeast"/>
        </w:trPr>
        <w:tc>
          <w:tcPr>
            <w:tcW w:w="1280" w:type="dxa"/>
            <w:tcBorders>
              <w:start w:val="single" w:sz="8" w:space="0" w:color="000000"/>
              <w:bottom w:val="single" w:sz="8" w:space="0" w:color="000000"/>
              <w:end w:val="single" w:sz="8" w:space="0" w:color="000000"/>
            </w:tcBorders>
          </w:tcPr>
          <w:p>
            <w:pPr>
              <w:pStyle w:val="Normal"/>
              <w:spacing w:lineRule="atLeast" w:line="0"/>
              <w:ind w:end="237"/>
              <w:jc w:val="end"/>
              <w:rPr>
                <w:rFonts w:ascii="Arial" w:hAnsi="Arial" w:eastAsia="Arial" w:cs="Arial"/>
                <w:color w:val="0000FF"/>
              </w:rPr>
            </w:pPr>
            <w:r>
              <w:rPr>
                <w:rFonts w:eastAsia="Arial" w:cs="Arial" w:ascii="Arial" w:hAnsi="Arial"/>
                <w:color w:val="0000FF"/>
              </w:rPr>
              <w:t>1/3/03</w:t>
            </w:r>
          </w:p>
        </w:tc>
        <w:tc>
          <w:tcPr>
            <w:tcW w:w="4360" w:type="dxa"/>
            <w:tcBorders>
              <w:bottom w:val="single" w:sz="8" w:space="0" w:color="000000"/>
              <w:end w:val="single" w:sz="8" w:space="0" w:color="000000"/>
            </w:tcBorders>
          </w:tcPr>
          <w:p>
            <w:pPr>
              <w:pStyle w:val="Normal"/>
              <w:spacing w:lineRule="atLeast" w:line="0"/>
              <w:ind w:start="80" w:end="0"/>
              <w:rPr/>
            </w:pPr>
            <w:r>
              <w:rPr>
                <w:rFonts w:eastAsia="Arial" w:cs="Arial" w:ascii="Arial" w:hAnsi="Arial"/>
                <w:color w:val="0000FF"/>
              </w:rPr>
              <w:t>January paid</w:t>
            </w:r>
            <w:r>
              <w:rPr>
                <w:rFonts w:eastAsia="Arial" w:cs="Arial" w:ascii="Arial" w:hAnsi="Arial"/>
                <w:color w:val="000000"/>
              </w:rPr>
              <w:t xml:space="preserve"> -</w:t>
            </w:r>
            <w:r>
              <w:rPr>
                <w:rFonts w:eastAsia="Arial" w:cs="Arial" w:ascii="Arial" w:hAnsi="Arial"/>
                <w:color w:val="0000FF"/>
              </w:rPr>
              <w:t>Example</w:t>
            </w:r>
          </w:p>
        </w:tc>
        <w:tc>
          <w:tcPr>
            <w:tcW w:w="1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tc>
        <w:tc>
          <w:tcPr>
            <w:tcW w:w="1560" w:type="dxa"/>
            <w:tcBorders>
              <w:bottom w:val="single" w:sz="8" w:space="0" w:color="000000"/>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$1,000.00</w:t>
            </w:r>
          </w:p>
        </w:tc>
        <w:tc>
          <w:tcPr>
            <w:tcW w:w="2080" w:type="dxa"/>
            <w:tcBorders>
              <w:bottom w:val="single" w:sz="8" w:space="0" w:color="000000"/>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$0.00</w:t>
            </w:r>
          </w:p>
        </w:tc>
      </w:tr>
      <w:tr>
        <w:trPr>
          <w:trHeight w:val="400" w:hRule="atLeast"/>
        </w:trPr>
        <w:tc>
          <w:tcPr>
            <w:tcW w:w="1280" w:type="dxa"/>
            <w:tcBorders>
              <w:start w:val="single" w:sz="8" w:space="0" w:color="000000"/>
              <w:bottom w:val="single" w:sz="8" w:space="0" w:color="000000"/>
              <w:end w:val="single" w:sz="8" w:space="0" w:color="000000"/>
            </w:tcBorders>
          </w:tcPr>
          <w:p>
            <w:pPr>
              <w:pStyle w:val="Normal"/>
              <w:spacing w:lineRule="atLeast" w:line="0"/>
              <w:ind w:end="257"/>
              <w:jc w:val="end"/>
              <w:rPr>
                <w:rFonts w:ascii="Arial" w:hAnsi="Arial" w:eastAsia="Arial" w:cs="Arial"/>
                <w:color w:val="0000FF"/>
              </w:rPr>
            </w:pPr>
            <w:r>
              <w:rPr>
                <w:rFonts w:eastAsia="Arial" w:cs="Arial" w:ascii="Arial" w:hAnsi="Arial"/>
                <w:color w:val="0000FF"/>
              </w:rPr>
              <w:t>2/1/03</w:t>
            </w:r>
          </w:p>
        </w:tc>
        <w:tc>
          <w:tcPr>
            <w:tcW w:w="4360" w:type="dxa"/>
            <w:tcBorders>
              <w:bottom w:val="single" w:sz="8" w:space="0" w:color="000000"/>
              <w:end w:val="single" w:sz="8" w:space="0" w:color="000000"/>
            </w:tcBorders>
          </w:tcPr>
          <w:p>
            <w:pPr>
              <w:pStyle w:val="Normal"/>
              <w:spacing w:lineRule="atLeast" w:line="0"/>
              <w:ind w:start="80" w:end="0"/>
              <w:rPr/>
            </w:pPr>
            <w:r>
              <w:rPr>
                <w:rFonts w:eastAsia="Arial" w:cs="Arial" w:ascii="Arial" w:hAnsi="Arial"/>
                <w:color w:val="0000FF"/>
              </w:rPr>
              <w:t>February rent</w:t>
            </w:r>
            <w:r>
              <w:rPr>
                <w:rFonts w:eastAsia="Arial" w:cs="Arial" w:ascii="Arial" w:hAnsi="Arial"/>
                <w:color w:val="000000"/>
              </w:rPr>
              <w:t xml:space="preserve"> -</w:t>
            </w:r>
            <w:r>
              <w:rPr>
                <w:rFonts w:eastAsia="Arial" w:cs="Arial" w:ascii="Arial" w:hAnsi="Arial"/>
                <w:color w:val="0000FF"/>
              </w:rPr>
              <w:t>Example</w:t>
            </w:r>
          </w:p>
        </w:tc>
        <w:tc>
          <w:tcPr>
            <w:tcW w:w="1540" w:type="dxa"/>
            <w:tcBorders>
              <w:bottom w:val="single" w:sz="8" w:space="0" w:color="000000"/>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$1,000.00</w:t>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tc>
        <w:tc>
          <w:tcPr>
            <w:tcW w:w="2080" w:type="dxa"/>
            <w:tcBorders>
              <w:bottom w:val="single" w:sz="8" w:space="0" w:color="000000"/>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$1,000.00</w:t>
            </w:r>
          </w:p>
        </w:tc>
      </w:tr>
      <w:tr>
        <w:trPr>
          <w:trHeight w:val="340" w:hRule="atLeast"/>
        </w:trPr>
        <w:tc>
          <w:tcPr>
            <w:tcW w:w="1280" w:type="dxa"/>
            <w:tcBorders>
              <w:start w:val="single" w:sz="8" w:space="0" w:color="000000"/>
              <w:bottom w:val="single" w:sz="8" w:space="0" w:color="000000"/>
              <w:end w:val="single" w:sz="8" w:space="0" w:color="000000"/>
            </w:tcBorders>
          </w:tcPr>
          <w:p>
            <w:pPr>
              <w:pStyle w:val="Normal"/>
              <w:spacing w:lineRule="atLeast" w:line="0"/>
              <w:ind w:end="237"/>
              <w:jc w:val="end"/>
              <w:rPr>
                <w:rFonts w:ascii="Arial" w:hAnsi="Arial" w:eastAsia="Arial" w:cs="Arial"/>
                <w:color w:val="0000FF"/>
              </w:rPr>
            </w:pPr>
            <w:r>
              <w:rPr>
                <w:rFonts w:eastAsia="Arial" w:cs="Arial" w:ascii="Arial" w:hAnsi="Arial"/>
                <w:color w:val="0000FF"/>
              </w:rPr>
              <w:t>2/7/03</w:t>
            </w:r>
          </w:p>
        </w:tc>
        <w:tc>
          <w:tcPr>
            <w:tcW w:w="4360" w:type="dxa"/>
            <w:tcBorders>
              <w:bottom w:val="single" w:sz="8" w:space="0" w:color="000000"/>
              <w:end w:val="single" w:sz="8" w:space="0" w:color="000000"/>
            </w:tcBorders>
          </w:tcPr>
          <w:p>
            <w:pPr>
              <w:pStyle w:val="Normal"/>
              <w:spacing w:lineRule="atLeast" w:line="0"/>
              <w:ind w:start="80" w:end="0"/>
              <w:rPr/>
            </w:pPr>
            <w:r>
              <w:rPr>
                <w:rFonts w:eastAsia="Arial" w:cs="Arial" w:ascii="Arial" w:hAnsi="Arial"/>
                <w:color w:val="0000FF"/>
              </w:rPr>
              <w:t>Partial February paid plus late fee</w:t>
            </w:r>
            <w:r>
              <w:rPr>
                <w:rFonts w:eastAsia="Arial" w:cs="Arial" w:ascii="Arial" w:hAnsi="Arial"/>
                <w:color w:val="000000"/>
              </w:rPr>
              <w:t xml:space="preserve"> -</w:t>
            </w:r>
            <w:r>
              <w:rPr>
                <w:rFonts w:eastAsia="Arial" w:cs="Arial" w:ascii="Arial" w:hAnsi="Arial"/>
                <w:color w:val="0000FF"/>
              </w:rPr>
              <w:t>Example</w:t>
            </w:r>
          </w:p>
        </w:tc>
        <w:tc>
          <w:tcPr>
            <w:tcW w:w="1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tc>
        <w:tc>
          <w:tcPr>
            <w:tcW w:w="1560" w:type="dxa"/>
            <w:tcBorders>
              <w:bottom w:val="single" w:sz="8" w:space="0" w:color="000000"/>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$1,050.00</w:t>
            </w:r>
          </w:p>
        </w:tc>
        <w:tc>
          <w:tcPr>
            <w:tcW w:w="2080" w:type="dxa"/>
            <w:tcBorders>
              <w:bottom w:val="single" w:sz="8" w:space="0" w:color="000000"/>
              <w:end w:val="single" w:sz="8" w:space="0" w:color="000000"/>
            </w:tcBorders>
          </w:tcPr>
          <w:p>
            <w:pPr>
              <w:pStyle w:val="Normal"/>
              <w:spacing w:lineRule="atLeast" w:line="0"/>
              <w:jc w:val="center"/>
              <w:rPr>
                <w:rFonts w:ascii="Arial" w:hAnsi="Arial" w:eastAsia="Arial" w:cs="Arial"/>
                <w:color w:val="0000FF"/>
              </w:rPr>
            </w:pPr>
            <w:r>
              <w:rPr>
                <w:rFonts w:eastAsia="Arial" w:cs="Arial" w:ascii="Arial" w:hAnsi="Arial"/>
                <w:color w:val="0000FF"/>
              </w:rPr>
              <w:t>($50.00)</w:t>
            </w:r>
          </w:p>
        </w:tc>
      </w:tr>
      <w:tr>
        <w:trPr>
          <w:trHeight w:val="460" w:hRule="atLeast"/>
        </w:trPr>
        <w:tc>
          <w:tcPr>
            <w:tcW w:w="12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color w:val="0000FF"/>
                <w:sz w:val="24"/>
              </w:rPr>
            </w:pPr>
            <w:r>
              <w:rPr>
                <w:rFonts w:eastAsia="Times New Roman" w:cs="Times New Roman" w:ascii="Times New Roman" w:hAnsi="Times New Roman"/>
                <w:color w:val="0000FF"/>
                <w:sz w:val="24"/>
              </w:rPr>
            </w:r>
          </w:p>
        </w:tc>
        <w:tc>
          <w:tcPr>
            <w:tcW w:w="4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60" w:hRule="atLeast"/>
        </w:trPr>
        <w:tc>
          <w:tcPr>
            <w:tcW w:w="12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60" w:hRule="atLeast"/>
        </w:trPr>
        <w:tc>
          <w:tcPr>
            <w:tcW w:w="12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60" w:hRule="atLeast"/>
        </w:trPr>
        <w:tc>
          <w:tcPr>
            <w:tcW w:w="12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60" w:hRule="atLeast"/>
        </w:trPr>
        <w:tc>
          <w:tcPr>
            <w:tcW w:w="12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60" w:hRule="atLeast"/>
        </w:trPr>
        <w:tc>
          <w:tcPr>
            <w:tcW w:w="12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60" w:hRule="atLeast"/>
        </w:trPr>
        <w:tc>
          <w:tcPr>
            <w:tcW w:w="12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60" w:hRule="atLeast"/>
        </w:trPr>
        <w:tc>
          <w:tcPr>
            <w:tcW w:w="12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60" w:hRule="atLeast"/>
        </w:trPr>
        <w:tc>
          <w:tcPr>
            <w:tcW w:w="12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60" w:hRule="atLeast"/>
        </w:trPr>
        <w:tc>
          <w:tcPr>
            <w:tcW w:w="12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60" w:hRule="atLeast"/>
        </w:trPr>
        <w:tc>
          <w:tcPr>
            <w:tcW w:w="12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30" w:hRule="atLeast"/>
        </w:trPr>
        <w:tc>
          <w:tcPr>
            <w:tcW w:w="12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60" w:hRule="atLeast"/>
        </w:trPr>
        <w:tc>
          <w:tcPr>
            <w:tcW w:w="12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60" w:hRule="atLeast"/>
        </w:trPr>
        <w:tc>
          <w:tcPr>
            <w:tcW w:w="12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r>
        <w:trPr>
          <w:trHeight w:val="460" w:hRule="atLeast"/>
        </w:trPr>
        <w:tc>
          <w:tcPr>
            <w:tcW w:w="1280" w:type="dxa"/>
            <w:tcBorders>
              <w:start w:val="single" w:sz="8" w:space="0" w:color="000000"/>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43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4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156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c>
          <w:tcPr>
            <w:tcW w:w="2080" w:type="dxa"/>
            <w:tcBorders>
              <w:bottom w:val="single" w:sz="8" w:space="0" w:color="000000"/>
              <w:end w:val="single" w:sz="8" w:space="0" w:color="000000"/>
            </w:tcBorders>
          </w:tcPr>
          <w:p>
            <w:pPr>
              <w:pStyle w:val="Normal"/>
              <w:snapToGrid w:val="false"/>
              <w:spacing w:lineRule="atLeast" w:line="0"/>
              <w:rPr>
                <w:rFonts w:ascii="Times New Roman" w:hAnsi="Times New Roman" w:eastAsia="Times New Roman" w:cs="Times New Roman"/>
                <w:sz w:val="24"/>
              </w:rPr>
            </w:pPr>
            <w:r>
              <w:rPr>
                <w:rFonts w:eastAsia="Times New Roman" w:cs="Times New Roman" w:ascii="Times New Roman" w:hAnsi="Times New Roman"/>
                <w:sz w:val="24"/>
              </w:rPr>
            </w:r>
          </w:p>
        </w:tc>
      </w:tr>
    </w:tbl>
    <w:p>
      <w:pPr>
        <w:sectPr>
          <w:type w:val="nextPage"/>
          <w:pgSz w:w="12240" w:h="15840"/>
          <w:pgMar w:left="720" w:right="700" w:gutter="0" w:header="0" w:top="722" w:footer="0" w:bottom="321"/>
          <w:pgNumType w:fmt="decimal"/>
          <w:formProt w:val="false"/>
          <w:textDirection w:val="lrTb"/>
          <w:docGrid w:type="default" w:linePitch="360" w:charSpace="0"/>
        </w:sectPr>
      </w:pPr>
    </w:p>
    <w:p>
      <w:pPr>
        <w:pStyle w:val="Normal"/>
        <w:spacing w:lineRule="exact" w:line="309"/>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7"/>
        <w:ind w:firstLine="720" w:end="100"/>
        <w:rPr/>
      </w:pPr>
      <w:r>
        <w:rPr>
          <w:rFonts w:eastAsia="Times New Roman" w:cs="Times New Roman" w:ascii="Times New Roman" w:hAnsi="Times New Roman"/>
        </w:rPr>
        <w:t xml:space="preserve">Civil Code 1671 prohibits any type of “liquidated damages” in a residential rental agreement, including late fees, unless it’s impossible or impracticable to calculate the loss from late payment. Landlords will strain to claim all sorts of reasons to justify the late fee from emotional distress at the late payment to billable time for writing out notices or calling. These are not legitimate justifications for the late payment, because there is no actual charge for them. Actually, Civil Code 3302 </w:t>
      </w:r>
      <w:r>
        <w:rPr>
          <w:rFonts w:eastAsia="Times New Roman" w:cs="Times New Roman" w:ascii="Times New Roman" w:hAnsi="Times New Roman"/>
          <w:u w:val="single"/>
        </w:rPr>
        <w:t>sets</w:t>
      </w:r>
      <w:r>
        <w:rPr>
          <w:rFonts w:eastAsia="Times New Roman" w:cs="Times New Roman" w:ascii="Times New Roman" w:hAnsi="Times New Roman"/>
        </w:rPr>
        <w:t xml:space="preserve"> the loss </w:t>
      </w:r>
      <w:r>
        <w:rPr>
          <w:rFonts w:eastAsia="Times New Roman" w:cs="Times New Roman" w:ascii="Times New Roman" w:hAnsi="Times New Roman"/>
          <w:u w:val="single"/>
        </w:rPr>
        <w:t>as interest at 10%</w:t>
      </w:r>
      <w:r>
        <w:rPr>
          <w:rFonts w:eastAsia="Times New Roman" w:cs="Times New Roman" w:ascii="Times New Roman" w:hAnsi="Times New Roman"/>
        </w:rPr>
        <w:t xml:space="preserve"> [1/3650th per day], so the landlord doesn’t have to guess - all they could charge is interest, and not a flat percentage or dollar amount. If the 3-day notice asks for too much because of late fees or landlord misappropriations, you win. In most situations, there is NO loss, because the property management company charges a flat percentage of the rents collected, so </w:t>
      </w:r>
      <w:r>
        <w:rPr>
          <w:rFonts w:eastAsia="Times New Roman" w:cs="Times New Roman" w:ascii="Times New Roman" w:hAnsi="Times New Roman"/>
          <w:i/>
        </w:rPr>
        <w:t>late</w:t>
      </w:r>
      <w:r>
        <w:rPr>
          <w:rFonts w:eastAsia="Times New Roman" w:cs="Times New Roman" w:ascii="Times New Roman" w:hAnsi="Times New Roman"/>
        </w:rPr>
        <w:t xml:space="preserve"> rent is not deducted. The interest lost for a few days [i.e., the landlord uses savings to cover the unpaid rent] is not worth the effort to write a notice or try to collect. For years, landlords could collect late fees, but when the law changed, hardly any landlords or judges found out about it, and many still think it’s legal.</w:t>
      </w:r>
    </w:p>
    <w:sectPr>
      <w:type w:val="continuous"/>
      <w:pgSz w:w="12240" w:h="15840"/>
      <w:pgMar w:left="720" w:right="700" w:gutter="0" w:header="0" w:top="722" w:footer="0" w:bottom="321"/>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s>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