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6980" w:leader="none"/>
        </w:tabs>
        <w:spacing w:lineRule="atLeast" w:line="0"/>
        <w:rPr/>
      </w:pPr>
      <w:bookmarkStart w:id="0" w:name="page1"/>
      <w:bookmarkEnd w:id="0"/>
      <w:r>
        <w:rPr>
          <w:rFonts w:eastAsia="Times New Roman" w:cs="Times New Roman" w:ascii="Times New Roman" w:hAnsi="Times New Roman"/>
          <w:b/>
          <w:sz w:val="22"/>
        </w:rPr>
        <w:t>LAW SOCIETY OF BRITISH COLUMBIA</w:t>
      </w:r>
      <w:r>
        <w:rPr>
          <w:rFonts w:eastAsia="Times New Roman" w:cs="Times New Roman" w:ascii="Times New Roman" w:hAnsi="Times New Roman"/>
        </w:rPr>
        <w:tab/>
      </w:r>
      <w:r>
        <w:rPr>
          <w:rFonts w:eastAsia="Times New Roman" w:cs="Times New Roman" w:ascii="Times New Roman" w:hAnsi="Times New Roman"/>
          <w:b/>
          <w:sz w:val="22"/>
        </w:rPr>
        <w:t>PARTNERSHIP AGREEMENT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8880" w:leader="none"/>
        </w:tabs>
        <w:spacing w:lineRule="atLeast" w:line="0"/>
        <w:rPr/>
      </w:pPr>
      <w:r>
        <w:rPr>
          <w:rFonts w:eastAsia="Times New Roman" w:cs="Times New Roman" w:ascii="Times New Roman" w:hAnsi="Times New Roman"/>
          <w:b/>
          <w:sz w:val="22"/>
        </w:rPr>
        <w:t>PRACTICE CHECKLISTS MANUAL</w:t>
      </w:r>
      <w:r>
        <w:rPr>
          <w:rFonts w:eastAsia="Times New Roman" w:cs="Times New Roman" w:ascii="Times New Roman" w:hAnsi="Times New Roman"/>
        </w:rPr>
        <w:tab/>
      </w:r>
      <w:r>
        <w:rPr>
          <w:rFonts w:eastAsia="Times New Roman" w:cs="Times New Roman" w:ascii="Times New Roman" w:hAnsi="Times New Roman"/>
          <w:b/>
          <w:sz w:val="22"/>
        </w:rPr>
        <w:t>DRAFTING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-77470</wp:posOffset>
            </wp:positionH>
            <wp:positionV relativeFrom="paragraph">
              <wp:posOffset>238125</wp:posOffset>
            </wp:positionV>
            <wp:extent cx="6547485" cy="8661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6547485" cy="8661400"/>
                    </a:xfrm>
                    <a:prstGeom prst="rect">
                      <a:avLst/>
                    </a:prstGeom>
                  </pic:spPr>
                </pic:pic>
              </a:graphicData>
            </a:graphic>
          </wp:anchor>
        </w:drawing>
      </w:r>
    </w:p>
    <w:p>
      <w:pPr>
        <w:sectPr>
          <w:type w:val="nextPage"/>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00" w:end="0"/>
        <w:rPr>
          <w:rFonts w:ascii="Arial" w:hAnsi="Arial" w:eastAsia="Arial" w:cs="Arial"/>
          <w:sz w:val="16"/>
        </w:rPr>
      </w:pPr>
      <w:r>
        <w:rPr>
          <w:rFonts w:eastAsia="Arial" w:cs="Arial" w:ascii="Arial" w:hAnsi="Arial"/>
          <w:sz w:val="16"/>
        </w:rPr>
        <w:t>PROVISIONS TO BE CONSIDERED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40"/>
        <w:jc w:val="center"/>
        <w:rPr>
          <w:rFonts w:ascii="Times New Roman" w:hAnsi="Times New Roman" w:eastAsia="Times New Roman" w:cs="Times New Roman"/>
          <w:b/>
        </w:rPr>
      </w:pPr>
      <w:r>
        <w:rPr>
          <w:rFonts w:eastAsia="Times New Roman" w:cs="Times New Roman" w:ascii="Times New Roman" w:hAnsi="Times New Roman"/>
          <w:b/>
        </w:rPr>
        <w:t>INTRODUCTION</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740"/>
        <w:jc w:val="center"/>
        <w:rPr/>
      </w:pPr>
      <w:r>
        <w:rPr>
          <w:rFonts w:eastAsia="Times New Roman" w:cs="Times New Roman" w:ascii="Times New Roman" w:hAnsi="Times New Roman"/>
          <w:b/>
        </w:rPr>
        <w:t>Purpose and currency of checklist.</w:t>
      </w:r>
      <w:r>
        <w:rPr>
          <w:rFonts w:eastAsia="Times New Roman" w:cs="Times New Roman" w:ascii="Times New Roman" w:hAnsi="Times New Roman"/>
        </w:rPr>
        <w:t xml:space="preserve"> This checklist is designed to be used with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740"/>
        <w:jc w:val="both"/>
        <w:rPr/>
      </w:pPr>
      <w:r>
        <w:rPr>
          <w:rFonts w:eastAsia="Times New Roman" w:cs="Times New Roman" w:ascii="Times New Roman" w:hAnsi="Times New Roman"/>
          <w:sz w:val="16"/>
        </w:rPr>
        <w:t>CLIENT IDENTIFICATION AND VERIFICATION PROCEDURE</w:t>
      </w:r>
      <w:r>
        <w:rPr>
          <w:rFonts w:eastAsia="Times New Roman" w:cs="Times New Roman" w:ascii="Times New Roman" w:hAnsi="Times New Roman"/>
          <w:sz w:val="19"/>
        </w:rPr>
        <w:t xml:space="preserve"> (A-1) and</w:t>
      </w:r>
      <w:r>
        <w:rPr>
          <w:rFonts w:eastAsia="Times New Roman" w:cs="Times New Roman" w:ascii="Times New Roman" w:hAnsi="Times New Roman"/>
          <w:sz w:val="16"/>
        </w:rPr>
        <w:t xml:space="preserve"> PARTNERSHIP AGREEMENT PROCEDURE</w:t>
      </w:r>
      <w:r>
        <w:rPr>
          <w:rFonts w:eastAsia="Times New Roman" w:cs="Times New Roman" w:ascii="Times New Roman" w:hAnsi="Times New Roman"/>
          <w:sz w:val="19"/>
        </w:rPr>
        <w:t xml:space="preserve"> (B-8) checklists. The provisions suggested in this checklist must be considered in relation to the particular facts in the matter at hand, and aug-mented and revised as appropriate. This checklist is current to September 1, 2016. All section references are to the </w:t>
      </w:r>
      <w:r>
        <w:rPr>
          <w:rFonts w:eastAsia="Times New Roman" w:cs="Times New Roman" w:ascii="Times New Roman" w:hAnsi="Times New Roman"/>
          <w:i/>
          <w:sz w:val="19"/>
        </w:rPr>
        <w:t>Partnership Act</w:t>
      </w:r>
      <w:r>
        <w:rPr>
          <w:rFonts w:eastAsia="Times New Roman" w:cs="Times New Roman" w:ascii="Times New Roman" w:hAnsi="Times New Roman"/>
          <w:sz w:val="19"/>
        </w:rPr>
        <w:t>, R.S.B.C. 1996, c. 348, unless otherwise indicated.</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New developments:</w:t>
      </w:r>
    </w:p>
    <w:p>
      <w:pPr>
        <w:pStyle w:val="Normal"/>
        <w:spacing w:lineRule="exact" w:line="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740"/>
        <w:rPr/>
      </w:pPr>
      <w:r>
        <w:rPr>
          <w:rFonts w:eastAsia="Times New Roman" w:cs="Times New Roman" w:ascii="Times New Roman" w:hAnsi="Times New Roman"/>
          <w:b/>
        </w:rPr>
        <w:t>Changes to the Partnership Act.</w:t>
      </w:r>
      <w:r>
        <w:rPr>
          <w:rFonts w:eastAsia="Times New Roman" w:cs="Times New Roman" w:ascii="Times New Roman" w:hAnsi="Times New Roman"/>
        </w:rPr>
        <w:t xml:space="preserve"> The </w:t>
      </w:r>
      <w:r>
        <w:rPr>
          <w:rFonts w:eastAsia="Times New Roman" w:cs="Times New Roman" w:ascii="Times New Roman" w:hAnsi="Times New Roman"/>
          <w:i/>
        </w:rPr>
        <w:t>Societies Act,</w:t>
      </w:r>
      <w:r>
        <w:rPr>
          <w:rFonts w:eastAsia="Times New Roman" w:cs="Times New Roman" w:ascii="Times New Roman" w:hAnsi="Times New Roman"/>
        </w:rPr>
        <w:t xml:space="preserve"> S.B.C. 2015, c. 18, which will come into force on November 28, 2016 (B.C. Reg. 216/2015), will amend s. 90.4(2) of the </w:t>
      </w:r>
      <w:r>
        <w:rPr>
          <w:rFonts w:eastAsia="Times New Roman" w:cs="Times New Roman" w:ascii="Times New Roman" w:hAnsi="Times New Roman"/>
          <w:i/>
        </w:rPr>
        <w:t>Partnership</w:t>
      </w:r>
      <w:r>
        <w:rPr>
          <w:rFonts w:eastAsia="Times New Roman" w:cs="Times New Roman" w:ascii="Times New Roman" w:hAnsi="Times New Roman"/>
        </w:rPr>
        <w:t xml:space="preserve"> Act, R.S.B.C. 1996, c. 348 in regard to the knowledge requirement for director and officer liability relating to false or mis-leading statements by a corporation. The </w:t>
      </w:r>
      <w:r>
        <w:rPr>
          <w:rFonts w:eastAsia="Times New Roman" w:cs="Times New Roman" w:ascii="Times New Roman" w:hAnsi="Times New Roman"/>
          <w:i/>
        </w:rPr>
        <w:t>Finance Statutes Amendment Act</w:t>
      </w:r>
      <w:r>
        <w:rPr>
          <w:rFonts w:eastAsia="Times New Roman" w:cs="Times New Roman" w:ascii="Times New Roman" w:hAnsi="Times New Roman"/>
        </w:rPr>
        <w:t>,</w:t>
      </w:r>
      <w:r>
        <w:rPr>
          <w:rFonts w:eastAsia="Times New Roman" w:cs="Times New Roman" w:ascii="Times New Roman" w:hAnsi="Times New Roman"/>
          <w:i/>
        </w:rPr>
        <w:t xml:space="preserve"> 2012</w:t>
      </w:r>
      <w:r>
        <w:rPr>
          <w:rFonts w:eastAsia="Times New Roman" w:cs="Times New Roman" w:ascii="Times New Roman" w:hAnsi="Times New Roman"/>
        </w:rPr>
        <w:t xml:space="preserve">, S.B.C. 2012, c. 12 includes amendments to the </w:t>
      </w:r>
      <w:r>
        <w:rPr>
          <w:rFonts w:eastAsia="Times New Roman" w:cs="Times New Roman" w:ascii="Times New Roman" w:hAnsi="Times New Roman"/>
          <w:i/>
        </w:rPr>
        <w:t>Partnership Act</w:t>
      </w:r>
      <w:r>
        <w:rPr>
          <w:rFonts w:eastAsia="Times New Roman" w:cs="Times New Roman" w:ascii="Times New Roman" w:hAnsi="Times New Roman"/>
        </w:rPr>
        <w:t xml:space="preserve"> that are not yet in force. Amendments affecting forms of registration statements and no-tices, registration of foreign partnerships, and reservation of names do not currently have dates for coming into force. It is strongly recommended that practitioners verify their status prior to drafting any partnership agreement.</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740"/>
        <w:rPr/>
      </w:pPr>
      <w:r>
        <w:rPr>
          <w:rFonts w:eastAsia="Times New Roman" w:cs="Times New Roman" w:ascii="Times New Roman" w:hAnsi="Times New Roman"/>
          <w:b/>
        </w:rPr>
        <w:t>Law Society Rules.</w:t>
      </w:r>
      <w:r>
        <w:rPr>
          <w:rFonts w:eastAsia="Times New Roman" w:cs="Times New Roman" w:ascii="Times New Roman" w:hAnsi="Times New Roman"/>
        </w:rPr>
        <w:t xml:space="preserve"> On July 1, 2015, revised and consolidated Law Society Rules came into effect. See www.lawsociety.bc.ca/page.cfm?cid=4089&amp;t=Law-Society-Rules-2015.</w:t>
      </w:r>
    </w:p>
    <w:p>
      <w:pPr>
        <w:pStyle w:val="Normal"/>
        <w:spacing w:lineRule="exact" w:line="1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360" w:end="740"/>
        <w:rPr/>
      </w:pPr>
      <w:r>
        <w:rPr>
          <w:rFonts w:eastAsia="Times New Roman" w:cs="Times New Roman" w:ascii="Times New Roman" w:hAnsi="Times New Roman"/>
          <w:b/>
        </w:rPr>
        <w:t>Code of Professional Conduct for British Columbia (the “BC Code</w:t>
      </w:r>
      <w:r>
        <w:rPr>
          <w:rFonts w:eastAsia="Times New Roman" w:cs="Times New Roman" w:ascii="Times New Roman" w:hAnsi="Times New Roman"/>
          <w:b/>
          <w:i/>
        </w:rPr>
        <w:t>”</w:t>
      </w:r>
      <w:r>
        <w:rPr>
          <w:rFonts w:eastAsia="Times New Roman" w:cs="Times New Roman" w:ascii="Times New Roman" w:hAnsi="Times New Roman"/>
          <w:b/>
        </w:rPr>
        <w:t>).</w:t>
      </w:r>
      <w:r>
        <w:rPr>
          <w:rFonts w:eastAsia="Times New Roman" w:cs="Times New Roman" w:ascii="Times New Roman" w:hAnsi="Times New Roman"/>
        </w:rPr>
        <w:t xml:space="preserve"> In July 2015, rule 3.7-9 of the </w:t>
      </w:r>
      <w:r>
        <w:rPr>
          <w:rFonts w:eastAsia="Times New Roman" w:cs="Times New Roman" w:ascii="Times New Roman" w:hAnsi="Times New Roman"/>
          <w:i/>
        </w:rPr>
        <w:t>BC Code</w:t>
      </w:r>
      <w:r>
        <w:rPr>
          <w:rFonts w:eastAsia="Times New Roman" w:cs="Times New Roman" w:ascii="Times New Roman" w:hAnsi="Times New Roman"/>
        </w:rPr>
        <w:t xml:space="preserve"> was amended to require that a lawyer promptly notify the client, other counsel, and the court or tribunal of the law-yer’s withdrawal from a file.</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740"/>
        <w:rPr/>
      </w:pPr>
      <w:r>
        <w:rPr>
          <w:rFonts w:eastAsia="Times New Roman" w:cs="Times New Roman" w:ascii="Times New Roman" w:hAnsi="Times New Roman"/>
          <w:b/>
        </w:rPr>
        <w:t xml:space="preserve">Articled students permitted to act as commissioners for taking affidavits. </w:t>
      </w:r>
      <w:r>
        <w:rPr>
          <w:rFonts w:eastAsia="Times New Roman" w:cs="Times New Roman" w:ascii="Times New Roman" w:hAnsi="Times New Roman"/>
        </w:rPr>
        <w:t xml:space="preserve">Effective September 1, 2015, articled students and temporary articled students are prescribed as persons who are commissioners for taking affidavits in British Columbia (B.C. Reg. 142/2015, pursuant to s. 60(l) of the </w:t>
      </w:r>
      <w:r>
        <w:rPr>
          <w:rFonts w:eastAsia="Times New Roman" w:cs="Times New Roman" w:ascii="Times New Roman" w:hAnsi="Times New Roman"/>
          <w:i/>
        </w:rPr>
        <w:t>Evidence Act</w:t>
      </w:r>
      <w:r>
        <w:rPr>
          <w:rFonts w:eastAsia="Times New Roman" w:cs="Times New Roman" w:ascii="Times New Roman" w:hAnsi="Times New Roman"/>
        </w:rPr>
        <w:t>, R.S.B.C. 1996, c. 124). Principals remain responsible for students’ actions and will need to ensure that students understand the effect of acting as commissioner.</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60" w:end="0"/>
        <w:rPr>
          <w:rFonts w:ascii="Times New Roman" w:hAnsi="Times New Roman" w:eastAsia="Times New Roman" w:cs="Times New Roman"/>
          <w:b/>
        </w:rPr>
      </w:pPr>
      <w:r>
        <w:rPr>
          <w:rFonts w:eastAsia="Times New Roman" w:cs="Times New Roman" w:ascii="Times New Roman" w:hAnsi="Times New Roman"/>
          <w:b/>
        </w:rPr>
        <w:t>CONTENTS</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Initial Contact</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Effective Date of Agreement</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Identification of Parties</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Recitals</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Interpretation</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Partnership</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Conduct of the Affairs of the Partnership</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Financing</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Partnership Property</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Transfer and Encumbrance of Interest in Partnership</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Effect on the Partnership of Various Events</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Dissolution</w:t>
      </w:r>
    </w:p>
    <w:p>
      <w:pPr>
        <w:pStyle w:val="Normal"/>
        <w:spacing w:lineRule="exact" w:line="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rPr>
      </w:pPr>
      <w:r>
        <w:rPr>
          <w:rFonts w:eastAsia="Times New Roman" w:cs="Times New Roman" w:ascii="Times New Roman" w:hAnsi="Times New Roman"/>
        </w:rPr>
        <w:t>Miscellaneous and General Provisions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NOTES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-852170</wp:posOffset>
            </wp:positionH>
            <wp:positionV relativeFrom="paragraph">
              <wp:posOffset>59690</wp:posOffset>
            </wp:positionV>
            <wp:extent cx="2072005" cy="95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1887" r="-9" b="-1887"/>
                    <a:stretch>
                      <a:fillRect/>
                    </a:stretch>
                  </pic:blipFill>
                  <pic:spPr bwMode="auto">
                    <a:xfrm>
                      <a:off x="0" y="0"/>
                      <a:ext cx="2072005" cy="9525"/>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-852170</wp:posOffset>
            </wp:positionH>
            <wp:positionV relativeFrom="paragraph">
              <wp:posOffset>8405495</wp:posOffset>
            </wp:positionV>
            <wp:extent cx="2064385" cy="95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9" t="-1887" r="-9" b="-1887"/>
                    <a:stretch>
                      <a:fillRect/>
                    </a:stretch>
                  </pic:blipFill>
                  <pic:spPr bwMode="auto">
                    <a:xfrm>
                      <a:off x="0" y="0"/>
                      <a:ext cx="2064385" cy="9525"/>
                    </a:xfrm>
                    <a:prstGeom prst="rect">
                      <a:avLst/>
                    </a:prstGeom>
                  </pic:spPr>
                </pic:pic>
              </a:graphicData>
            </a:graphic>
          </wp:anchor>
        </w:drawing>
      </w:r>
    </w:p>
    <w:p>
      <w:pPr>
        <w:sectPr>
          <w:type w:val="continuous"/>
          <w:pgSz w:w="12240" w:h="15840"/>
          <w:pgMar w:left="1440" w:right="720" w:gutter="0" w:header="0" w:top="340" w:footer="0" w:bottom="0"/>
          <w:cols w:num="2" w:equalWidth="false" w:sep="false">
            <w:col w:w="7560" w:space="720"/>
            <w:col w:w="1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560" w:leader="none"/>
        </w:tabs>
        <w:spacing w:lineRule="atLeast" w:line="0"/>
        <w:rPr/>
      </w:pPr>
      <w:r>
        <w:rPr>
          <w:rFonts w:eastAsia="Times New Roman" w:cs="Times New Roman" w:ascii="Times New Roman" w:hAnsi="Times New Roman"/>
          <w:sz w:val="21"/>
        </w:rPr>
        <w:t>11/16</w:t>
        <w:tab/>
      </w:r>
      <w:r>
        <w:rPr/>
        <w:t>B-9-1</w:t>
      </w:r>
    </w:p>
    <w:p>
      <w:pPr>
        <w:sectPr>
          <w:type w:val="continuous"/>
          <w:pgSz w:w="12240" w:h="15840"/>
          <w:pgMar w:left="1440" w:right="720" w:gutter="0" w:header="0" w:top="340" w:footer="0" w:bottom="0"/>
          <w:formProt w:val="false"/>
          <w:textDirection w:val="lrTb"/>
          <w:docGrid w:type="default" w:linePitch="360" w:charSpace="0"/>
        </w:sectPr>
      </w:pPr>
    </w:p>
    <w:tbl>
      <w:tblPr>
        <w:tblW w:w="10280" w:type="dxa"/>
        <w:jc w:val="start"/>
        <w:tblInd w:w="0" w:type="dxa"/>
        <w:tblLayout w:type="fixed"/>
        <w:tblCellMar>
          <w:top w:w="0" w:type="dxa"/>
          <w:start w:w="0" w:type="dxa"/>
          <w:bottom w:w="0" w:type="dxa"/>
          <w:end w:w="0" w:type="dxa"/>
        </w:tblCellMar>
      </w:tblPr>
      <w:tblGrid>
        <w:gridCol w:w="5400"/>
        <w:gridCol w:w="4880"/>
      </w:tblGrid>
      <w:tr>
        <w:trPr>
          <w:trHeight w:val="253" w:hRule="atLeast"/>
        </w:trPr>
        <w:tc>
          <w:tcPr>
            <w:tcW w:w="5400" w:type="dxa"/>
            <w:tcBorders/>
          </w:tcPr>
          <w:p>
            <w:pPr>
              <w:pStyle w:val="Normal"/>
              <w:spacing w:lineRule="atLeast" w:line="0"/>
              <w:ind w:start="100" w:end="0"/>
              <w:rPr>
                <w:rFonts w:ascii="Times New Roman" w:hAnsi="Times New Roman" w:eastAsia="Times New Roman" w:cs="Times New Roman"/>
                <w:b/>
                <w:sz w:val="22"/>
              </w:rPr>
            </w:pPr>
            <w:bookmarkStart w:id="1" w:name="page2"/>
            <w:bookmarkEnd w:id="1"/>
            <w:r>
              <w:rPr>
                <w:rFonts w:eastAsia="Times New Roman" w:cs="Times New Roman" w:ascii="Times New Roman" w:hAnsi="Times New Roman"/>
                <w:b/>
                <w:sz w:val="22"/>
              </w:rPr>
              <w:t>PARTNERSHIP AGREEMENT</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LAW SOCIETY OF BRITISH COLUMBIA</w:t>
            </w:r>
          </w:p>
        </w:tc>
      </w:tr>
      <w:tr>
        <w:trPr>
          <w:trHeight w:val="290" w:hRule="atLeast"/>
        </w:trPr>
        <w:tc>
          <w:tcPr>
            <w:tcW w:w="5400" w:type="dxa"/>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DRAFTING</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PRACTICE CHECKLISTS MANUAL</w:t>
            </w:r>
          </w:p>
        </w:tc>
      </w:tr>
      <w:tr>
        <w:trPr>
          <w:trHeight w:val="341"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6" w:hRule="atLeast"/>
        </w:trPr>
        <w:tc>
          <w:tcPr>
            <w:tcW w:w="5400" w:type="dxa"/>
            <w:tcBorders/>
          </w:tcPr>
          <w:p>
            <w:pPr>
              <w:pStyle w:val="Normal"/>
              <w:spacing w:lineRule="atLeast" w:line="0"/>
              <w:ind w:start="2200" w:end="0"/>
              <w:rPr>
                <w:rFonts w:ascii="Arial" w:hAnsi="Arial" w:eastAsia="Arial" w:cs="Arial"/>
                <w:sz w:val="16"/>
              </w:rPr>
            </w:pPr>
            <w:r>
              <w:rPr>
                <w:rFonts w:eastAsia="Arial" w:cs="Arial" w:ascii="Arial" w:hAnsi="Arial"/>
                <w:sz w:val="16"/>
              </w:rPr>
              <w:t>PROVISIONS TO BE CONSIDERED</w:t>
            </w:r>
          </w:p>
        </w:tc>
        <w:tc>
          <w:tcPr>
            <w:tcW w:w="4880" w:type="dxa"/>
            <w:tcBorders/>
          </w:tcPr>
          <w:p>
            <w:pPr>
              <w:pStyle w:val="Normal"/>
              <w:spacing w:lineRule="atLeast" w:line="0"/>
              <w:ind w:end="1240"/>
              <w:jc w:val="end"/>
              <w:rPr>
                <w:rFonts w:ascii="Arial" w:hAnsi="Arial" w:eastAsia="Arial" w:cs="Arial"/>
                <w:sz w:val="16"/>
              </w:rPr>
            </w:pPr>
            <w:r>
              <w:rPr>
                <w:rFonts w:eastAsia="Arial" w:cs="Arial" w:ascii="Arial" w:hAnsi="Arial"/>
                <w:sz w:val="16"/>
              </w:rPr>
              <w:t>NOTES</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5">
                <wp:simplePos x="0" y="0"/>
                <wp:positionH relativeFrom="column">
                  <wp:posOffset>-4445</wp:posOffset>
                </wp:positionH>
                <wp:positionV relativeFrom="paragraph">
                  <wp:posOffset>46355</wp:posOffset>
                </wp:positionV>
                <wp:extent cx="6544945" cy="0"/>
                <wp:effectExtent l="0" t="5080" r="0" b="5080"/>
                <wp:wrapNone/>
                <wp:docPr id="4" name=""/>
                <a:graphic xmlns:a="http://schemas.openxmlformats.org/drawingml/2006/main">
                  <a:graphicData uri="http://schemas.microsoft.com/office/word/2010/wordprocessingShape">
                    <wps:wsp>
                      <wps:cNvSpPr/>
                      <wps:spPr>
                        <a:xfrm>
                          <a:off x="0" y="0"/>
                          <a:ext cx="6544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65pt" to="514.95pt,3.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4463415</wp:posOffset>
                </wp:positionH>
                <wp:positionV relativeFrom="paragraph">
                  <wp:posOffset>-264160</wp:posOffset>
                </wp:positionV>
                <wp:extent cx="0" cy="8660130"/>
                <wp:effectExtent l="5080" t="0" r="5080" b="0"/>
                <wp:wrapNone/>
                <wp:docPr id="5" name=""/>
                <a:graphic xmlns:a="http://schemas.openxmlformats.org/drawingml/2006/main">
                  <a:graphicData uri="http://schemas.microsoft.com/office/word/2010/wordprocessingShape">
                    <wps:wsp>
                      <wps:cNvSpPr/>
                      <wps:spPr>
                        <a:xfrm>
                          <a:off x="0" y="0"/>
                          <a:ext cx="0" cy="86601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45pt,-20.8pt" to="351.45pt,661.05pt" stroked="t" o:allowincell="f" style="position:absolute">
                <v:stroke color="black" weight="9360" joinstyle="miter" endcap="flat"/>
                <v:fill o:detectmouseclick="t" on="false"/>
                <w10:wrap type="none"/>
              </v:line>
            </w:pict>
          </mc:Fallback>
        </mc:AlternateContent>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20" w:end="0"/>
        <w:rPr>
          <w:rFonts w:ascii="Times New Roman" w:hAnsi="Times New Roman" w:eastAsia="Times New Roman" w:cs="Times New Roman"/>
          <w:b/>
        </w:rPr>
      </w:pPr>
      <w:r>
        <w:rPr>
          <w:rFonts w:eastAsia="Times New Roman" w:cs="Times New Roman" w:ascii="Times New Roman" w:hAnsi="Times New Roman"/>
          <w:b/>
        </w:rPr>
        <w:t>CHECKLIST</w:t>
      </w:r>
    </w:p>
    <w:p>
      <w:pPr>
        <w:pStyle w:val="Normal"/>
        <w:spacing w:lineRule="exact" w:line="260"/>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2"/>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INITIAL CONTACT</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hanging="330" w:start="1000" w:end="3360"/>
        <w:jc w:val="both"/>
        <w:rPr/>
      </w:pPr>
      <w:r>
        <w:rPr>
          <w:rFonts w:eastAsia="Times New Roman" w:cs="Times New Roman" w:ascii="Times New Roman" w:hAnsi="Times New Roman"/>
        </w:rPr>
        <w:t>1.1 Confirm compliance with Law Society Rules 3-98 to 3-109 on client identi-fication and verification, and complete the</w:t>
      </w:r>
      <w:r>
        <w:rPr>
          <w:rFonts w:eastAsia="Times New Roman" w:cs="Times New Roman" w:ascii="Times New Roman" w:hAnsi="Times New Roman"/>
          <w:sz w:val="16"/>
        </w:rPr>
        <w:t xml:space="preserve"> CLIENT IDENTIFICATION AND VERIFICATION PROCEDURE</w:t>
      </w:r>
      <w:r>
        <w:rPr>
          <w:rFonts w:eastAsia="Times New Roman" w:cs="Times New Roman" w:ascii="Times New Roman" w:hAnsi="Times New Roman"/>
          <w:sz w:val="19"/>
        </w:rPr>
        <w:t xml:space="preserve"> (A-1) checklist.</w:t>
      </w:r>
    </w:p>
    <w:p>
      <w:pPr>
        <w:pStyle w:val="Normal"/>
        <w:spacing w:lineRule="exact" w:line="21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EFFECTIVE DATE OF AGREEMENT</w:t>
      </w:r>
    </w:p>
    <w:p>
      <w:pPr>
        <w:pStyle w:val="Normal"/>
        <w:spacing w:lineRule="exact" w:line="260"/>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IDENTIFICATION OF PARTIES</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3.1 Distinguish general and limited partners.</w: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3.2 Provide for the addition of partners.</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RECITALS</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hanging="330" w:start="1000" w:end="3360"/>
        <w:rPr>
          <w:rFonts w:ascii="Times New Roman" w:hAnsi="Times New Roman" w:eastAsia="Times New Roman" w:cs="Times New Roman"/>
        </w:rPr>
      </w:pPr>
      <w:r>
        <w:rPr>
          <w:rFonts w:eastAsia="Times New Roman" w:cs="Times New Roman" w:ascii="Times New Roman" w:hAnsi="Times New Roman"/>
        </w:rPr>
        <w:t>4.1 General statement of the legal relationship between the parties and the reasons for entering into the agreement.</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4.2 Statement relating the recitals to the rest of the agreement.</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INTERPRETATION</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5.1 Definitions: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.1 Specific definitions (consider setting out in a schedule).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233" w:start="1280" w:end="3360"/>
        <w:jc w:val="both"/>
        <w:rPr>
          <w:rFonts w:ascii="Times New Roman" w:hAnsi="Times New Roman" w:eastAsia="Times New Roman" w:cs="Times New Roman"/>
        </w:rPr>
      </w:pPr>
      <w:r>
        <w:rPr>
          <w:rFonts w:eastAsia="Times New Roman" w:cs="Times New Roman" w:ascii="Times New Roman" w:hAnsi="Times New Roman"/>
        </w:rPr>
        <w:t>.2 Statement that accounting terms not defined have the meanings ascribed to them in accordance with generally accepted accounting principles, in-cluding any new applicable principles based on International Financial Reporting Standards.</w:t>
      </w: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5.2 Choice of law and forum.</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1000" w:end="3360"/>
        <w:rPr>
          <w:rFonts w:ascii="Times New Roman" w:hAnsi="Times New Roman" w:eastAsia="Times New Roman" w:cs="Times New Roman"/>
        </w:rPr>
      </w:pPr>
      <w:r>
        <w:rPr>
          <w:rFonts w:eastAsia="Times New Roman" w:cs="Times New Roman" w:ascii="Times New Roman" w:hAnsi="Times New Roman"/>
        </w:rPr>
        <w:t>5.3 General principles that govern the interpretation of the agreement (e.g., use of the masculine form, insertion of headings for convenience only).</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5.4 Schedules, such as: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.1 Definitions (see item 5.1.1).</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.2 Pro forma budget (see item 7.8).</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.3 Assets that are partnership property (see item 9.2).</w:t>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PARTNERSHIP</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6.1 Establishment of the partnership.</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6.2 Name:</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233" w:start="1280" w:end="3360"/>
        <w:jc w:val="both"/>
        <w:rPr/>
      </w:pPr>
      <w:r>
        <w:rPr>
          <w:rFonts w:eastAsia="Times New Roman" w:cs="Times New Roman" w:ascii="Times New Roman" w:hAnsi="Times New Roman"/>
        </w:rPr>
        <w:t>.1 Note any limits on names and business name reservation provisions for all partnerships (see the</w:t>
      </w:r>
      <w:r>
        <w:rPr>
          <w:rFonts w:eastAsia="Times New Roman" w:cs="Times New Roman" w:ascii="Times New Roman" w:hAnsi="Times New Roman"/>
          <w:sz w:val="16"/>
        </w:rPr>
        <w:t xml:space="preserve"> PARTNERSHIP AGREEMENT PROCEDURE</w:t>
      </w:r>
      <w:r>
        <w:rPr>
          <w:rFonts w:eastAsia="Times New Roman" w:cs="Times New Roman" w:ascii="Times New Roman" w:hAnsi="Times New Roman"/>
        </w:rPr>
        <w:t xml:space="preserve"> (B-8) checklist and the introduction to this checklist, which notes pending changes to the </w:t>
      </w:r>
      <w:r>
        <w:rPr>
          <w:rFonts w:eastAsia="Times New Roman" w:cs="Times New Roman" w:ascii="Times New Roman" w:hAnsi="Times New Roman"/>
          <w:i/>
        </w:rPr>
        <w:t>Partnership Act</w:t>
      </w:r>
      <w:r>
        <w:rPr>
          <w:rFonts w:eastAsia="Times New Roman" w:cs="Times New Roman" w:ascii="Times New Roman" w:hAnsi="Times New Roman"/>
        </w:rPr>
        <w:t>).</w: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.2 For a limited partnership, ensure compliance with s. 53.</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280" w:end="3360"/>
        <w:jc w:val="both"/>
        <w:rPr>
          <w:rFonts w:ascii="Times New Roman" w:hAnsi="Times New Roman" w:eastAsia="Times New Roman" w:cs="Times New Roman"/>
        </w:rPr>
      </w:pPr>
      <w:r>
        <w:rPr>
          <w:rFonts w:eastAsia="Times New Roman" w:cs="Times New Roman" w:ascii="Times New Roman" w:hAnsi="Times New Roman"/>
        </w:rPr>
        <w:t>.3 For a limited liability partnership, use the permitted descriptions at the end of the business name (s. 100).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
                <wp:simplePos x="0" y="0"/>
                <wp:positionH relativeFrom="column">
                  <wp:posOffset>-13970</wp:posOffset>
                </wp:positionH>
                <wp:positionV relativeFrom="paragraph">
                  <wp:posOffset>269240</wp:posOffset>
                </wp:positionV>
                <wp:extent cx="6546850" cy="0"/>
                <wp:effectExtent l="0" t="5080" r="0" b="5080"/>
                <wp:wrapNone/>
                <wp:docPr id="6" name=""/>
                <a:graphic xmlns:a="http://schemas.openxmlformats.org/drawingml/2006/main">
                  <a:graphicData uri="http://schemas.microsoft.com/office/word/2010/wordprocessingShape">
                    <wps:wsp>
                      <wps:cNvSpPr/>
                      <wps:spPr>
                        <a:xfrm>
                          <a:off x="0" y="0"/>
                          <a:ext cx="6546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21.2pt" to="514.35pt,21.2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80" w:leader="none"/>
        </w:tabs>
        <w:spacing w:lineRule="atLeast" w:line="0"/>
        <w:ind w:start="100" w:end="0"/>
        <w:rPr/>
      </w:pPr>
      <w:r>
        <w:rPr>
          <w:rFonts w:eastAsia="Times New Roman" w:cs="Times New Roman" w:ascii="Times New Roman" w:hAnsi="Times New Roman"/>
          <w:sz w:val="22"/>
        </w:rPr>
        <w:t>B-9-2</w:t>
      </w:r>
      <w:r>
        <w:rPr>
          <w:rFonts w:eastAsia="Times New Roman" w:cs="Times New Roman" w:ascii="Times New Roman" w:hAnsi="Times New Roman"/>
        </w:rPr>
        <w:tab/>
      </w:r>
      <w:r>
        <w:rPr>
          <w:rFonts w:eastAsia="Times New Roman" w:cs="Times New Roman" w:ascii="Times New Roman" w:hAnsi="Times New Roman"/>
          <w:sz w:val="21"/>
        </w:rPr>
        <w:t>11/16</w:t>
      </w:r>
    </w:p>
    <w:p>
      <w:pPr>
        <w:sectPr>
          <w:type w:val="continuous"/>
          <w:pgSz w:w="12240" w:h="15840"/>
          <w:pgMar w:left="620" w:right="1340" w:gutter="0" w:header="0" w:top="340" w:footer="0" w:bottom="0"/>
          <w:formProt w:val="false"/>
          <w:textDirection w:val="lrTb"/>
          <w:docGrid w:type="default" w:linePitch="360" w:charSpace="0"/>
        </w:sectPr>
      </w:pPr>
    </w:p>
    <w:p>
      <w:pPr>
        <w:pStyle w:val="Normal"/>
        <w:tabs>
          <w:tab w:val="clear" w:pos="720"/>
          <w:tab w:val="left" w:pos="6980" w:leader="none"/>
        </w:tabs>
        <w:spacing w:lineRule="atLeast" w:line="0"/>
        <w:rPr/>
      </w:pPr>
      <w:bookmarkStart w:id="2" w:name="page3"/>
      <w:bookmarkEnd w:id="2"/>
      <w:r>
        <w:rPr>
          <w:rFonts w:eastAsia="Times New Roman" w:cs="Times New Roman" w:ascii="Times New Roman" w:hAnsi="Times New Roman"/>
          <w:b/>
          <w:sz w:val="22"/>
        </w:rPr>
        <w:t>LAW SOCIETY OF BRITISH COLUMBIA</w:t>
      </w:r>
      <w:r>
        <w:rPr>
          <w:rFonts w:eastAsia="Times New Roman" w:cs="Times New Roman" w:ascii="Times New Roman" w:hAnsi="Times New Roman"/>
        </w:rPr>
        <w:tab/>
      </w:r>
      <w:r>
        <w:rPr>
          <w:rFonts w:eastAsia="Times New Roman" w:cs="Times New Roman" w:ascii="Times New Roman" w:hAnsi="Times New Roman"/>
          <w:b/>
          <w:sz w:val="22"/>
        </w:rPr>
        <w:t>PARTNERSHIP AGREEMENT</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880" w:leader="none"/>
        </w:tabs>
        <w:spacing w:lineRule="atLeast" w:line="0"/>
        <w:rPr/>
      </w:pPr>
      <w:r>
        <w:rPr>
          <w:rFonts w:eastAsia="Times New Roman" w:cs="Times New Roman" w:ascii="Times New Roman" w:hAnsi="Times New Roman"/>
          <w:b/>
          <w:sz w:val="22"/>
        </w:rPr>
        <w:t>PRACTICE CHECKLISTS MANUAL</w:t>
      </w:r>
      <w:r>
        <w:rPr>
          <w:rFonts w:eastAsia="Times New Roman" w:cs="Times New Roman" w:ascii="Times New Roman" w:hAnsi="Times New Roman"/>
        </w:rPr>
        <w:tab/>
      </w:r>
      <w:r>
        <w:rPr>
          <w:rFonts w:eastAsia="Times New Roman" w:cs="Times New Roman" w:ascii="Times New Roman" w:hAnsi="Times New Roman"/>
          <w:b/>
          <w:sz w:val="22"/>
        </w:rPr>
        <w:t>DRAFTING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8">
            <wp:simplePos x="0" y="0"/>
            <wp:positionH relativeFrom="column">
              <wp:posOffset>-77470</wp:posOffset>
            </wp:positionH>
            <wp:positionV relativeFrom="paragraph">
              <wp:posOffset>238125</wp:posOffset>
            </wp:positionV>
            <wp:extent cx="6547485" cy="8666480"/>
            <wp:effectExtent l="0" t="0" r="0" b="0"/>
            <wp:wrapNone/>
            <wp:docPr id="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title=""/>
                    <pic:cNvPicPr>
                      <a:picLocks noChangeAspect="1" noChangeArrowheads="1"/>
                    </pic:cNvPicPr>
                  </pic:nvPicPr>
                  <pic:blipFill>
                    <a:blip r:embed="rId5"/>
                    <a:srcRect l="-3" t="-2" r="-3" b="-2"/>
                    <a:stretch>
                      <a:fillRect/>
                    </a:stretch>
                  </pic:blipFill>
                  <pic:spPr bwMode="auto">
                    <a:xfrm>
                      <a:off x="0" y="0"/>
                      <a:ext cx="6547485" cy="8666480"/>
                    </a:xfrm>
                    <a:prstGeom prst="rect">
                      <a:avLst/>
                    </a:prstGeom>
                  </pic:spPr>
                </pic:pic>
              </a:graphicData>
            </a:graphic>
          </wp:anchor>
        </w:drawing>
      </w:r>
    </w:p>
    <w:p>
      <w:pPr>
        <w:sectPr>
          <w:type w:val="nextPage"/>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00" w:end="0"/>
        <w:rPr>
          <w:rFonts w:ascii="Arial" w:hAnsi="Arial" w:eastAsia="Arial" w:cs="Arial"/>
          <w:sz w:val="16"/>
        </w:rPr>
      </w:pPr>
      <w:r>
        <w:rPr>
          <w:rFonts w:eastAsia="Arial" w:cs="Arial" w:ascii="Arial" w:hAnsi="Arial"/>
          <w:sz w:val="16"/>
        </w:rPr>
        <w:t>PROVISIONS TO BE CONSIDERED</w:t>
      </w:r>
    </w:p>
    <w:p>
      <w:pPr>
        <w:pStyle w:val="Normal"/>
        <w:spacing w:lineRule="exact" w:line="2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9"/>
        <w:ind w:hanging="233" w:start="1180" w:end="740"/>
        <w:jc w:val="both"/>
        <w:rPr>
          <w:rFonts w:ascii="Times New Roman" w:hAnsi="Times New Roman" w:eastAsia="Times New Roman" w:cs="Times New Roman"/>
        </w:rPr>
      </w:pPr>
      <w:r>
        <w:rPr>
          <w:rFonts w:eastAsia="Times New Roman" w:cs="Times New Roman" w:ascii="Times New Roman" w:hAnsi="Times New Roman"/>
        </w:rPr>
        <w:t>.4 Consider provisions regarding amendment and, where the partnership name includes the names of partners, retention or deletion of the name of a departed partner and indemnification from any liability resulting from continued use of that name.</w:t>
      </w:r>
    </w:p>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6.3 Description of business.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6.4 Place or places of business.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30" w:start="900" w:end="740"/>
        <w:jc w:val="both"/>
        <w:rPr/>
      </w:pPr>
      <w:r>
        <w:rPr>
          <w:rFonts w:eastAsia="Times New Roman" w:cs="Times New Roman" w:ascii="Times New Roman" w:hAnsi="Times New Roman"/>
          <w:sz w:val="19"/>
        </w:rPr>
        <w:t xml:space="preserve">6.5 Offices. Consider whether the partnership should be extraprovincially registered in other jurisdictions. Note the streamlined provisions for extraprovincial registration of limited partnerships and limited liability part-nerships in Alberta and Saskatchewan under the New West Partnership Trade Agreement (the “NWPTA”). Under the Trade, Investment and La-bour Mobility Agreement (the “TILMA”), British Columbia and Alberta agreed to reconcile their business registration and reporting requirements, so that an enterprise meeting the requirements of one province would also be deemed to meet the requirements of the other province. Saskatchewan was added to the arrangement under the NWPTA. Under Part 7 of the </w:t>
      </w:r>
      <w:r>
        <w:rPr>
          <w:rFonts w:eastAsia="Times New Roman" w:cs="Times New Roman" w:ascii="Times New Roman" w:hAnsi="Times New Roman"/>
          <w:i/>
          <w:sz w:val="19"/>
        </w:rPr>
        <w:t>Partner-ship Act</w:t>
      </w:r>
      <w:r>
        <w:rPr>
          <w:rFonts w:eastAsia="Times New Roman" w:cs="Times New Roman" w:ascii="Times New Roman" w:hAnsi="Times New Roman"/>
          <w:sz w:val="19"/>
        </w:rPr>
        <w:t>, the Lieutenant Governor in Council may name “designated</w:t>
      </w:r>
      <w:r>
        <w:rPr>
          <w:rFonts w:eastAsia="Times New Roman" w:cs="Times New Roman" w:ascii="Times New Roman" w:hAnsi="Times New Roman"/>
          <w:i/>
          <w:sz w:val="19"/>
        </w:rPr>
        <w:t xml:space="preserve"> </w:t>
      </w:r>
      <w:r>
        <w:rPr>
          <w:rFonts w:eastAsia="Times New Roman" w:cs="Times New Roman" w:ascii="Times New Roman" w:hAnsi="Times New Roman"/>
          <w:sz w:val="19"/>
        </w:rPr>
        <w:t xml:space="preserve">provinces” and make regulations affecting foreign partnerships, limited partnerships, and extraprovincial limited liability partnerships from such a province. Presently, only Alberta and Saskatchewan are “designated prov-inces”. For information about corporate registry procedures pursuant to the </w:t>
      </w:r>
      <w:r>
        <w:rPr>
          <w:rFonts w:eastAsia="Times New Roman" w:cs="Times New Roman" w:ascii="Times New Roman" w:hAnsi="Times New Roman"/>
          <w:i/>
          <w:sz w:val="19"/>
        </w:rPr>
        <w:t>New West Partnership Trade Agreement Implementation Act</w:t>
      </w:r>
      <w:r>
        <w:rPr>
          <w:rFonts w:eastAsia="Times New Roman" w:cs="Times New Roman" w:ascii="Times New Roman" w:hAnsi="Times New Roman"/>
          <w:sz w:val="19"/>
        </w:rPr>
        <w:t>, S.B.C. 2011,</w:t>
      </w:r>
      <w:r>
        <w:rPr>
          <w:rFonts w:eastAsia="Times New Roman" w:cs="Times New Roman" w:ascii="Times New Roman" w:hAnsi="Times New Roman"/>
          <w:i/>
          <w:sz w:val="19"/>
        </w:rPr>
        <w:t xml:space="preserve"> </w:t>
      </w:r>
      <w:r>
        <w:rPr>
          <w:rFonts w:eastAsia="Times New Roman" w:cs="Times New Roman" w:ascii="Times New Roman" w:hAnsi="Times New Roman"/>
          <w:sz w:val="19"/>
        </w:rPr>
        <w:t>c. 3, see the NWPTA page on the Corporate Registry website at www.bcregistryservices.gov.bc.ca. For registration requirements outside British Columbia with respect to general partnerships, consult the partner-ship legislation of the province in question.</w:t>
      </w:r>
    </w:p>
    <w:p>
      <w:pPr>
        <w:pStyle w:val="Normal"/>
        <w:spacing w:lineRule="exact" w:line="7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4"/>
        <w:ind w:hanging="330" w:start="900" w:end="740"/>
        <w:jc w:val="both"/>
        <w:rPr>
          <w:rFonts w:ascii="Times New Roman" w:hAnsi="Times New Roman" w:eastAsia="Times New Roman" w:cs="Times New Roman"/>
        </w:rPr>
      </w:pPr>
      <w:r>
        <w:rPr>
          <w:rFonts w:eastAsia="Times New Roman" w:cs="Times New Roman" w:ascii="Times New Roman" w:hAnsi="Times New Roman"/>
        </w:rPr>
        <w:t>6.6 Term. For example, does it commence before execution (note that limited partnerships do not commence until the certificate is filed, and limited liabil-ity partnerships do not become such until the registration statement is filed, and therefore activities prior to those times could have been undertaken as general partners), or does the partnership continue until a specified date, or until terminated as provided in the agreement?</w: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6.7 Addition of partners: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.1 Terms and conditions.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.2 Restrictions (e.g., maximum number of partners).</w: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60" w:leader="none"/>
        </w:tabs>
        <w:spacing w:lineRule="atLeast" w:line="0"/>
        <w:ind w:hanging="460" w:start="460" w:end="0"/>
        <w:rPr>
          <w:rFonts w:ascii="Times New Roman" w:hAnsi="Times New Roman" w:eastAsia="Times New Roman" w:cs="Times New Roman"/>
          <w:b/>
        </w:rPr>
      </w:pPr>
      <w:r>
        <w:rPr>
          <w:rFonts w:eastAsia="Times New Roman" w:cs="Times New Roman" w:ascii="Times New Roman" w:hAnsi="Times New Roman"/>
          <w:b/>
        </w:rPr>
        <w:t>CONDUCT OF THE AFFAIRS OF THE PARTNERSHIP</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hanging="330" w:start="900" w:end="740"/>
        <w:jc w:val="both"/>
        <w:rPr>
          <w:rFonts w:ascii="Times New Roman" w:hAnsi="Times New Roman" w:eastAsia="Times New Roman" w:cs="Times New Roman"/>
        </w:rPr>
      </w:pPr>
      <w:r>
        <w:rPr>
          <w:rFonts w:eastAsia="Times New Roman" w:cs="Times New Roman" w:ascii="Times New Roman" w:hAnsi="Times New Roman"/>
        </w:rPr>
        <w:t>7.1 Duties and powers of partners, including any restrictions on powers, distin-guishing where appropriate between types of partners (i.e., general and limited) and individual partners, and including such matters as:</w:t>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180" w:end="740"/>
        <w:rPr/>
      </w:pPr>
      <w:r>
        <w:rPr>
          <w:rFonts w:eastAsia="Times New Roman" w:cs="Times New Roman" w:ascii="Times New Roman" w:hAnsi="Times New Roman"/>
        </w:rPr>
        <w:t>.1 How major decisions are made (e.g., see item 8.7 of the</w:t>
      </w:r>
      <w:r>
        <w:rPr>
          <w:rFonts w:eastAsia="Times New Roman" w:cs="Times New Roman" w:ascii="Times New Roman" w:hAnsi="Times New Roman"/>
          <w:sz w:val="16"/>
        </w:rPr>
        <w:t xml:space="preserve"> SHAREHOLDERS</w:t>
      </w:r>
      <w:r>
        <w:rPr>
          <w:rFonts w:eastAsia="Times New Roman" w:cs="Times New Roman" w:ascii="Times New Roman" w:hAnsi="Times New Roman"/>
        </w:rPr>
        <w:t xml:space="preserve">’ </w:t>
      </w:r>
      <w:r>
        <w:rPr>
          <w:rFonts w:eastAsia="Times New Roman" w:cs="Times New Roman" w:ascii="Times New Roman" w:hAnsi="Times New Roman"/>
          <w:sz w:val="16"/>
        </w:rPr>
        <w:t>AGREEMENT DRAFTING</w:t>
      </w:r>
      <w:r>
        <w:rPr>
          <w:rFonts w:eastAsia="Times New Roman" w:cs="Times New Roman" w:ascii="Times New Roman" w:hAnsi="Times New Roman"/>
          <w:sz w:val="19"/>
        </w:rPr>
        <w:t xml:space="preserve"> (B-7) checklist).</w:t>
      </w:r>
    </w:p>
    <w:p>
      <w:pPr>
        <w:pStyle w:val="Normal"/>
        <w:spacing w:lineRule="exact" w:line="6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.2 How day-to-day decisions are made.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pPr>
      <w:r>
        <w:rPr>
          <w:rFonts w:eastAsia="Times New Roman" w:cs="Times New Roman" w:ascii="Times New Roman" w:hAnsi="Times New Roman"/>
        </w:rPr>
        <w:t>.3 Partners’ duties to be considered:</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540" w:leader="none"/>
        </w:tabs>
        <w:spacing w:lineRule="auto" w:line="266"/>
        <w:ind w:hanging="313" w:start="1540" w:end="740"/>
        <w:jc w:val="both"/>
        <w:rPr>
          <w:rFonts w:ascii="Times New Roman" w:hAnsi="Times New Roman" w:eastAsia="Times New Roman" w:cs="Times New Roman"/>
          <w:sz w:val="19"/>
        </w:rPr>
      </w:pPr>
      <w:r>
        <w:rPr>
          <w:rFonts w:eastAsia="Times New Roman" w:cs="Times New Roman" w:ascii="Times New Roman" w:hAnsi="Times New Roman"/>
          <w:sz w:val="19"/>
        </w:rPr>
        <w:t>Duty to devote full energy, a specified amount of time, or a particu-lar skill to the business of the partnership, subject to any prescribed right to vacations and sabbaticals and subject to any carve-out of ac-tivities not intended to be covered by the partnership agreement.</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NOTES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9">
            <wp:simplePos x="0" y="0"/>
            <wp:positionH relativeFrom="column">
              <wp:posOffset>-852170</wp:posOffset>
            </wp:positionH>
            <wp:positionV relativeFrom="paragraph">
              <wp:posOffset>59690</wp:posOffset>
            </wp:positionV>
            <wp:extent cx="2072005" cy="9525"/>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9" t="-1887" r="-9" b="-1887"/>
                    <a:stretch>
                      <a:fillRect/>
                    </a:stretch>
                  </pic:blipFill>
                  <pic:spPr bwMode="auto">
                    <a:xfrm>
                      <a:off x="0" y="0"/>
                      <a:ext cx="2072005" cy="9525"/>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-852170</wp:posOffset>
            </wp:positionH>
            <wp:positionV relativeFrom="paragraph">
              <wp:posOffset>8410575</wp:posOffset>
            </wp:positionV>
            <wp:extent cx="2064385" cy="9525"/>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7"/>
                    <a:srcRect l="-9" t="-1887" r="-9" b="-1887"/>
                    <a:stretch>
                      <a:fillRect/>
                    </a:stretch>
                  </pic:blipFill>
                  <pic:spPr bwMode="auto">
                    <a:xfrm>
                      <a:off x="0" y="0"/>
                      <a:ext cx="2064385" cy="9525"/>
                    </a:xfrm>
                    <a:prstGeom prst="rect">
                      <a:avLst/>
                    </a:prstGeom>
                  </pic:spPr>
                </pic:pic>
              </a:graphicData>
            </a:graphic>
          </wp:anchor>
        </w:drawing>
      </w:r>
    </w:p>
    <w:p>
      <w:pPr>
        <w:sectPr>
          <w:type w:val="continuous"/>
          <w:pgSz w:w="12240" w:h="15840"/>
          <w:pgMar w:left="1440" w:right="720" w:gutter="0" w:header="0" w:top="340" w:footer="0" w:bottom="0"/>
          <w:cols w:num="2" w:equalWidth="false" w:sep="false">
            <w:col w:w="7560" w:space="720"/>
            <w:col w:w="1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60" w:leader="none"/>
        </w:tabs>
        <w:spacing w:lineRule="atLeast" w:line="0"/>
        <w:rPr/>
      </w:pPr>
      <w:r>
        <w:rPr>
          <w:rFonts w:eastAsia="Times New Roman" w:cs="Times New Roman" w:ascii="Times New Roman" w:hAnsi="Times New Roman"/>
          <w:sz w:val="21"/>
        </w:rPr>
        <w:t>11/16</w:t>
        <w:tab/>
      </w:r>
      <w:r>
        <w:rPr/>
        <w:t>B-9-3</w:t>
      </w:r>
    </w:p>
    <w:p>
      <w:pPr>
        <w:sectPr>
          <w:type w:val="continuous"/>
          <w:pgSz w:w="12240" w:h="15840"/>
          <w:pgMar w:left="1440" w:right="720" w:gutter="0" w:header="0" w:top="340" w:footer="0" w:bottom="0"/>
          <w:formProt w:val="false"/>
          <w:textDirection w:val="lrTb"/>
          <w:docGrid w:type="default" w:linePitch="360" w:charSpace="0"/>
        </w:sectPr>
      </w:pPr>
    </w:p>
    <w:tbl>
      <w:tblPr>
        <w:tblW w:w="10280" w:type="dxa"/>
        <w:jc w:val="start"/>
        <w:tblInd w:w="0" w:type="dxa"/>
        <w:tblLayout w:type="fixed"/>
        <w:tblCellMar>
          <w:top w:w="0" w:type="dxa"/>
          <w:start w:w="0" w:type="dxa"/>
          <w:bottom w:w="0" w:type="dxa"/>
          <w:end w:w="0" w:type="dxa"/>
        </w:tblCellMar>
      </w:tblPr>
      <w:tblGrid>
        <w:gridCol w:w="5400"/>
        <w:gridCol w:w="4880"/>
      </w:tblGrid>
      <w:tr>
        <w:trPr>
          <w:trHeight w:val="253" w:hRule="atLeast"/>
        </w:trPr>
        <w:tc>
          <w:tcPr>
            <w:tcW w:w="5400" w:type="dxa"/>
            <w:tcBorders/>
          </w:tcPr>
          <w:p>
            <w:pPr>
              <w:pStyle w:val="Normal"/>
              <w:spacing w:lineRule="atLeast" w:line="0"/>
              <w:ind w:start="100" w:end="0"/>
              <w:rPr>
                <w:rFonts w:ascii="Times New Roman" w:hAnsi="Times New Roman" w:eastAsia="Times New Roman" w:cs="Times New Roman"/>
                <w:b/>
                <w:sz w:val="22"/>
              </w:rPr>
            </w:pPr>
            <w:bookmarkStart w:id="3" w:name="page4"/>
            <w:bookmarkEnd w:id="3"/>
            <w:r>
              <w:rPr>
                <w:rFonts w:eastAsia="Times New Roman" w:cs="Times New Roman" w:ascii="Times New Roman" w:hAnsi="Times New Roman"/>
                <w:b/>
                <w:sz w:val="22"/>
              </w:rPr>
              <w:t>PARTNERSHIP AGREEMENT</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LAW SOCIETY OF BRITISH COLUMBIA</w:t>
            </w:r>
          </w:p>
        </w:tc>
      </w:tr>
      <w:tr>
        <w:trPr>
          <w:trHeight w:val="290" w:hRule="atLeast"/>
        </w:trPr>
        <w:tc>
          <w:tcPr>
            <w:tcW w:w="5400" w:type="dxa"/>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DRAFTING</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PRACTICE CHECKLISTS MANUAL</w:t>
            </w:r>
          </w:p>
        </w:tc>
      </w:tr>
      <w:tr>
        <w:trPr>
          <w:trHeight w:val="341"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6" w:hRule="atLeast"/>
        </w:trPr>
        <w:tc>
          <w:tcPr>
            <w:tcW w:w="5400" w:type="dxa"/>
            <w:tcBorders/>
          </w:tcPr>
          <w:p>
            <w:pPr>
              <w:pStyle w:val="Normal"/>
              <w:spacing w:lineRule="atLeast" w:line="0"/>
              <w:ind w:start="2200" w:end="0"/>
              <w:rPr>
                <w:rFonts w:ascii="Arial" w:hAnsi="Arial" w:eastAsia="Arial" w:cs="Arial"/>
                <w:sz w:val="16"/>
              </w:rPr>
            </w:pPr>
            <w:r>
              <w:rPr>
                <w:rFonts w:eastAsia="Arial" w:cs="Arial" w:ascii="Arial" w:hAnsi="Arial"/>
                <w:sz w:val="16"/>
              </w:rPr>
              <w:t>PROVISIONS TO BE CONSIDERED</w:t>
            </w:r>
          </w:p>
        </w:tc>
        <w:tc>
          <w:tcPr>
            <w:tcW w:w="4880" w:type="dxa"/>
            <w:tcBorders/>
          </w:tcPr>
          <w:p>
            <w:pPr>
              <w:pStyle w:val="Normal"/>
              <w:spacing w:lineRule="atLeast" w:line="0"/>
              <w:ind w:end="1240"/>
              <w:jc w:val="end"/>
              <w:rPr>
                <w:rFonts w:ascii="Arial" w:hAnsi="Arial" w:eastAsia="Arial" w:cs="Arial"/>
                <w:sz w:val="16"/>
              </w:rPr>
            </w:pPr>
            <w:r>
              <w:rPr>
                <w:rFonts w:eastAsia="Arial" w:cs="Arial" w:ascii="Arial" w:hAnsi="Arial"/>
                <w:sz w:val="16"/>
              </w:rPr>
              <w:t>NOTES</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
                <wp:simplePos x="0" y="0"/>
                <wp:positionH relativeFrom="column">
                  <wp:posOffset>-4445</wp:posOffset>
                </wp:positionH>
                <wp:positionV relativeFrom="paragraph">
                  <wp:posOffset>46355</wp:posOffset>
                </wp:positionV>
                <wp:extent cx="6544945" cy="0"/>
                <wp:effectExtent l="0" t="5080" r="0" b="5080"/>
                <wp:wrapNone/>
                <wp:docPr id="10" name=""/>
                <a:graphic xmlns:a="http://schemas.openxmlformats.org/drawingml/2006/main">
                  <a:graphicData uri="http://schemas.microsoft.com/office/word/2010/wordprocessingShape">
                    <wps:wsp>
                      <wps:cNvSpPr/>
                      <wps:spPr>
                        <a:xfrm>
                          <a:off x="0" y="0"/>
                          <a:ext cx="6544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65pt" to="514.95pt,3.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4463415</wp:posOffset>
                </wp:positionH>
                <wp:positionV relativeFrom="paragraph">
                  <wp:posOffset>-264160</wp:posOffset>
                </wp:positionV>
                <wp:extent cx="0" cy="8679180"/>
                <wp:effectExtent l="5080" t="0" r="5080" b="0"/>
                <wp:wrapNone/>
                <wp:docPr id="11" name=""/>
                <a:graphic xmlns:a="http://schemas.openxmlformats.org/drawingml/2006/main">
                  <a:graphicData uri="http://schemas.microsoft.com/office/word/2010/wordprocessingShape">
                    <wps:wsp>
                      <wps:cNvSpPr/>
                      <wps:spPr>
                        <a:xfrm>
                          <a:off x="0" y="0"/>
                          <a:ext cx="0" cy="86792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45pt,-20.8pt" to="351.45pt,662.55pt" stroked="t" o:allowincell="f" style="position:absolute">
                <v:stroke color="black" weight="936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640" w:leader="none"/>
        </w:tabs>
        <w:spacing w:lineRule="auto" w:line="244"/>
        <w:ind w:hanging="324" w:start="1640" w:end="3360"/>
        <w:jc w:val="both"/>
        <w:rPr>
          <w:rFonts w:ascii="Times New Roman" w:hAnsi="Times New Roman" w:eastAsia="Times New Roman" w:cs="Times New Roman"/>
        </w:rPr>
      </w:pPr>
      <w:r>
        <w:rPr>
          <w:rFonts w:eastAsia="Times New Roman" w:cs="Times New Roman" w:ascii="Times New Roman" w:hAnsi="Times New Roman"/>
        </w:rPr>
        <w:t>Duty not to compete (and what constitutes competition) while a partner and for a reasonable time thereafter, within a reasonable ge-ographic area, or not to solicit customers or employees for a reasonable time after ceasing to be a partner. Alternatively, consider provision for payment of a specified sum, or a reduction in capital to be returned, in the event the partner competes with the partnership or solicits clients after ceasing to be a partner.</w: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640" w:leader="none"/>
        </w:tabs>
        <w:spacing w:lineRule="auto" w:line="254"/>
        <w:ind w:hanging="313" w:start="1640" w:end="3360"/>
        <w:jc w:val="both"/>
        <w:rPr>
          <w:rFonts w:ascii="Times New Roman" w:hAnsi="Times New Roman" w:eastAsia="Times New Roman" w:cs="Times New Roman"/>
        </w:rPr>
      </w:pPr>
      <w:r>
        <w:rPr>
          <w:rFonts w:eastAsia="Times New Roman" w:cs="Times New Roman" w:ascii="Times New Roman" w:hAnsi="Times New Roman"/>
        </w:rPr>
        <w:t>Duty not to disclose or use any confidential information acquired by reason of the partner’s association with the partnership, both while a partner and for a reasonable time thereafter.</w: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640" w:leader="none"/>
        </w:tabs>
        <w:spacing w:lineRule="atLeast" w:line="0"/>
        <w:ind w:hanging="324" w:start="1640" w:end="0"/>
        <w:rPr>
          <w:rFonts w:ascii="Times New Roman" w:hAnsi="Times New Roman" w:eastAsia="Times New Roman" w:cs="Times New Roman"/>
        </w:rPr>
      </w:pPr>
      <w:r>
        <w:rPr>
          <w:rFonts w:eastAsia="Times New Roman" w:cs="Times New Roman" w:ascii="Times New Roman" w:hAnsi="Times New Roman"/>
        </w:rPr>
        <w:t>Methods for authorizing exceptions.</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280" w:end="3360"/>
        <w:rPr>
          <w:rFonts w:ascii="Times New Roman" w:hAnsi="Times New Roman" w:eastAsia="Times New Roman" w:cs="Times New Roman"/>
        </w:rPr>
      </w:pPr>
      <w:r>
        <w:rPr>
          <w:rFonts w:eastAsia="Times New Roman" w:cs="Times New Roman" w:ascii="Times New Roman" w:hAnsi="Times New Roman"/>
        </w:rPr>
        <w:t>.4 Filing a registration statement for a general partnership under ss. 81 and 82, if required.</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.5 Specific duties of the general partner of a limited partnership, such as:</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640" w:leader="none"/>
        </w:tabs>
        <w:spacing w:lineRule="auto" w:line="268"/>
        <w:ind w:hanging="313" w:start="1640" w:end="3360"/>
        <w:rPr>
          <w:rFonts w:ascii="Times New Roman" w:hAnsi="Times New Roman" w:eastAsia="Times New Roman" w:cs="Times New Roman"/>
        </w:rPr>
      </w:pPr>
      <w:r>
        <w:rPr>
          <w:rFonts w:eastAsia="Times New Roman" w:cs="Times New Roman" w:ascii="Times New Roman" w:hAnsi="Times New Roman"/>
        </w:rPr>
        <w:t>Filing s. 51 certificate and any amendments or cancellations that may be required.</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640" w:leader="none"/>
        </w:tabs>
        <w:spacing w:lineRule="auto" w:line="268"/>
        <w:ind w:hanging="324" w:start="1640" w:end="3360"/>
        <w:rPr>
          <w:rFonts w:ascii="Times New Roman" w:hAnsi="Times New Roman" w:eastAsia="Times New Roman" w:cs="Times New Roman"/>
        </w:rPr>
      </w:pPr>
      <w:r>
        <w:rPr>
          <w:rFonts w:eastAsia="Times New Roman" w:cs="Times New Roman" w:ascii="Times New Roman" w:hAnsi="Times New Roman"/>
        </w:rPr>
        <w:t>Establishing an office and keeping records there (as required for a limited partnership, pursuant to s. 54).</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280" w:end="3360"/>
        <w:rPr>
          <w:rFonts w:ascii="Times New Roman" w:hAnsi="Times New Roman" w:eastAsia="Times New Roman" w:cs="Times New Roman"/>
        </w:rPr>
      </w:pPr>
      <w:r>
        <w:rPr>
          <w:rFonts w:eastAsia="Times New Roman" w:cs="Times New Roman" w:ascii="Times New Roman" w:hAnsi="Times New Roman"/>
        </w:rPr>
        <w:t>.6 Filing a registration statement under s. 96 for a limited liability partner-ship.</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330" w:start="1000" w:end="3360"/>
        <w:jc w:val="both"/>
        <w:rPr/>
      </w:pPr>
      <w:r>
        <w:rPr>
          <w:rFonts w:eastAsia="Times New Roman" w:cs="Times New Roman" w:ascii="Times New Roman" w:hAnsi="Times New Roman"/>
        </w:rPr>
        <w:t>7.2 Is a partners’ committee to be established? Will it have specified duties and powers (e.g., its consent may be required for specified major decisions or for permitting a partner to compete or act in a conflict of interest) while consid-ering the liability position of limited partners?</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1000" w:end="3360"/>
        <w:jc w:val="both"/>
        <w:rPr>
          <w:rFonts w:ascii="Times New Roman" w:hAnsi="Times New Roman" w:eastAsia="Times New Roman" w:cs="Times New Roman"/>
        </w:rPr>
      </w:pPr>
      <w:r>
        <w:rPr>
          <w:rFonts w:eastAsia="Times New Roman" w:cs="Times New Roman" w:ascii="Times New Roman" w:hAnsi="Times New Roman"/>
        </w:rPr>
        <w:t>7.3 General partner has power of attorney for limited partner(s) for specified purposes (e.g., filing amendments to certificate of limited partnership).</w: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7.4 Meetings, including rights of limited partners: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.1 Place and time.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.2 Calling a meeting, including notice requirements.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.3 Quorum and voting.</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.4 Record date.</w: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30" w:start="1000" w:end="3360"/>
        <w:jc w:val="both"/>
        <w:rPr>
          <w:rFonts w:ascii="Times New Roman" w:hAnsi="Times New Roman" w:eastAsia="Times New Roman" w:cs="Times New Roman"/>
        </w:rPr>
      </w:pPr>
      <w:r>
        <w:rPr>
          <w:rFonts w:eastAsia="Times New Roman" w:cs="Times New Roman" w:ascii="Times New Roman" w:hAnsi="Times New Roman"/>
        </w:rPr>
        <w:t>7.5 Liability of partners, distinguishing general and limited partners, and includ-ing liability of general partner to limited partners and provisions applicable in a limited liability partnership.</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30" w:start="1000" w:end="3360"/>
        <w:jc w:val="both"/>
        <w:rPr>
          <w:rFonts w:ascii="Times New Roman" w:hAnsi="Times New Roman" w:eastAsia="Times New Roman" w:cs="Times New Roman"/>
        </w:rPr>
      </w:pPr>
      <w:r>
        <w:rPr>
          <w:rFonts w:eastAsia="Times New Roman" w:cs="Times New Roman" w:ascii="Times New Roman" w:hAnsi="Times New Roman"/>
        </w:rPr>
        <w:t>7.6 Indemnification of the partnership and the partners, distinguishing general and limited partners in various circumstances and, where appropriate, part-ners in a limited liability partnership.</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7.7 Whether a general partner may also be a limited partner.</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1000" w:end="3360"/>
        <w:jc w:val="both"/>
        <w:rPr>
          <w:rFonts w:ascii="Times New Roman" w:hAnsi="Times New Roman" w:eastAsia="Times New Roman" w:cs="Times New Roman"/>
        </w:rPr>
      </w:pPr>
      <w:r>
        <w:rPr>
          <w:rFonts w:eastAsia="Times New Roman" w:cs="Times New Roman" w:ascii="Times New Roman" w:hAnsi="Times New Roman"/>
        </w:rPr>
        <w:t>7.8 Pro forma budget (consider attachment as a schedule and inclusion of a statement of intent).</w: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7.9 Whether a partner is to be employed by the partnership and, if so, consider:</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.1 Including employment provisions in the partnership agreement.</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233" w:start="1280" w:end="3360"/>
        <w:jc w:val="both"/>
        <w:rPr>
          <w:rFonts w:ascii="Times New Roman" w:hAnsi="Times New Roman" w:eastAsia="Times New Roman" w:cs="Times New Roman"/>
        </w:rPr>
      </w:pPr>
      <w:r>
        <w:rPr>
          <w:rFonts w:eastAsia="Times New Roman" w:cs="Times New Roman" w:ascii="Times New Roman" w:hAnsi="Times New Roman"/>
        </w:rPr>
        <w:t>.2 Having a separate employment or management contract tied to the partnership agreement so that a default by the partner under either the employment contract or the partnership agreement would constitute a de-fault under both agreements.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
                <wp:simplePos x="0" y="0"/>
                <wp:positionH relativeFrom="column">
                  <wp:posOffset>-13970</wp:posOffset>
                </wp:positionH>
                <wp:positionV relativeFrom="paragraph">
                  <wp:posOffset>40005</wp:posOffset>
                </wp:positionV>
                <wp:extent cx="6546850" cy="0"/>
                <wp:effectExtent l="0" t="5080" r="0" b="5080"/>
                <wp:wrapNone/>
                <wp:docPr id="12" name=""/>
                <a:graphic xmlns:a="http://schemas.openxmlformats.org/drawingml/2006/main">
                  <a:graphicData uri="http://schemas.microsoft.com/office/word/2010/wordprocessingShape">
                    <wps:wsp>
                      <wps:cNvSpPr/>
                      <wps:spPr>
                        <a:xfrm>
                          <a:off x="0" y="0"/>
                          <a:ext cx="6546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3.15pt" to="514.35pt,3.1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80" w:leader="none"/>
        </w:tabs>
        <w:spacing w:lineRule="atLeast" w:line="0"/>
        <w:ind w:start="100" w:end="0"/>
        <w:rPr/>
      </w:pPr>
      <w:r>
        <w:rPr>
          <w:rFonts w:eastAsia="Times New Roman" w:cs="Times New Roman" w:ascii="Times New Roman" w:hAnsi="Times New Roman"/>
          <w:sz w:val="22"/>
        </w:rPr>
        <w:t>B-9-4</w:t>
      </w:r>
      <w:r>
        <w:rPr>
          <w:rFonts w:eastAsia="Times New Roman" w:cs="Times New Roman" w:ascii="Times New Roman" w:hAnsi="Times New Roman"/>
        </w:rPr>
        <w:tab/>
      </w:r>
      <w:r>
        <w:rPr>
          <w:rFonts w:eastAsia="Times New Roman" w:cs="Times New Roman" w:ascii="Times New Roman" w:hAnsi="Times New Roman"/>
          <w:sz w:val="21"/>
        </w:rPr>
        <w:t>11/16</w:t>
      </w:r>
    </w:p>
    <w:p>
      <w:pPr>
        <w:sectPr>
          <w:type w:val="continuous"/>
          <w:pgSz w:w="12240" w:h="15840"/>
          <w:pgMar w:left="620" w:right="1340" w:gutter="0" w:header="0" w:top="340" w:footer="0" w:bottom="0"/>
          <w:formProt w:val="false"/>
          <w:textDirection w:val="lrTb"/>
          <w:docGrid w:type="default" w:linePitch="360" w:charSpace="0"/>
        </w:sectPr>
      </w:pPr>
    </w:p>
    <w:p>
      <w:pPr>
        <w:pStyle w:val="Normal"/>
        <w:tabs>
          <w:tab w:val="clear" w:pos="720"/>
          <w:tab w:val="left" w:pos="6980" w:leader="none"/>
        </w:tabs>
        <w:spacing w:lineRule="atLeast" w:line="0"/>
        <w:rPr/>
      </w:pPr>
      <w:bookmarkStart w:id="4" w:name="page5"/>
      <w:bookmarkEnd w:id="4"/>
      <w:r>
        <w:rPr>
          <w:rFonts w:eastAsia="Times New Roman" w:cs="Times New Roman" w:ascii="Times New Roman" w:hAnsi="Times New Roman"/>
          <w:b/>
          <w:sz w:val="22"/>
        </w:rPr>
        <w:t>LAW SOCIETY OF BRITISH COLUMBIA</w:t>
      </w:r>
      <w:r>
        <w:rPr>
          <w:rFonts w:eastAsia="Times New Roman" w:cs="Times New Roman" w:ascii="Times New Roman" w:hAnsi="Times New Roman"/>
        </w:rPr>
        <w:tab/>
      </w:r>
      <w:r>
        <w:rPr>
          <w:rFonts w:eastAsia="Times New Roman" w:cs="Times New Roman" w:ascii="Times New Roman" w:hAnsi="Times New Roman"/>
          <w:b/>
          <w:sz w:val="22"/>
        </w:rPr>
        <w:t>PARTNERSHIP AGREEMENT</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880" w:leader="none"/>
        </w:tabs>
        <w:spacing w:lineRule="atLeast" w:line="0"/>
        <w:rPr/>
      </w:pPr>
      <w:r>
        <w:rPr>
          <w:rFonts w:eastAsia="Times New Roman" w:cs="Times New Roman" w:ascii="Times New Roman" w:hAnsi="Times New Roman"/>
          <w:b/>
          <w:sz w:val="22"/>
        </w:rPr>
        <w:t>PRACTICE CHECKLISTS MANUAL</w:t>
      </w:r>
      <w:r>
        <w:rPr>
          <w:rFonts w:eastAsia="Times New Roman" w:cs="Times New Roman" w:ascii="Times New Roman" w:hAnsi="Times New Roman"/>
        </w:rPr>
        <w:tab/>
      </w:r>
      <w:r>
        <w:rPr>
          <w:rFonts w:eastAsia="Times New Roman" w:cs="Times New Roman" w:ascii="Times New Roman" w:hAnsi="Times New Roman"/>
          <w:b/>
          <w:sz w:val="22"/>
        </w:rPr>
        <w:t>DRAFTING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14">
            <wp:simplePos x="0" y="0"/>
            <wp:positionH relativeFrom="column">
              <wp:posOffset>-77470</wp:posOffset>
            </wp:positionH>
            <wp:positionV relativeFrom="paragraph">
              <wp:posOffset>238125</wp:posOffset>
            </wp:positionV>
            <wp:extent cx="6547485" cy="8662670"/>
            <wp:effectExtent l="0" t="0" r="0" b="0"/>
            <wp:wrapNone/>
            <wp:docPr id="1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title=""/>
                    <pic:cNvPicPr>
                      <a:picLocks noChangeAspect="1" noChangeArrowheads="1"/>
                    </pic:cNvPicPr>
                  </pic:nvPicPr>
                  <pic:blipFill>
                    <a:blip r:embed="rId8"/>
                    <a:srcRect l="-3" t="-2" r="-3" b="-2"/>
                    <a:stretch>
                      <a:fillRect/>
                    </a:stretch>
                  </pic:blipFill>
                  <pic:spPr bwMode="auto">
                    <a:xfrm>
                      <a:off x="0" y="0"/>
                      <a:ext cx="6547485" cy="8662670"/>
                    </a:xfrm>
                    <a:prstGeom prst="rect">
                      <a:avLst/>
                    </a:prstGeom>
                  </pic:spPr>
                </pic:pic>
              </a:graphicData>
            </a:graphic>
          </wp:anchor>
        </w:drawing>
      </w:r>
    </w:p>
    <w:p>
      <w:pPr>
        <w:sectPr>
          <w:type w:val="nextPage"/>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00" w:end="0"/>
        <w:rPr>
          <w:rFonts w:ascii="Arial" w:hAnsi="Arial" w:eastAsia="Arial" w:cs="Arial"/>
          <w:sz w:val="16"/>
        </w:rPr>
      </w:pPr>
      <w:r>
        <w:rPr>
          <w:rFonts w:eastAsia="Arial" w:cs="Arial" w:ascii="Arial" w:hAnsi="Arial"/>
          <w:sz w:val="16"/>
        </w:rPr>
        <w:t>PROVISIONS TO BE CONSIDERED</w:t>
      </w:r>
    </w:p>
    <w:p>
      <w:pPr>
        <w:pStyle w:val="Normal"/>
        <w:spacing w:lineRule="exact" w:line="2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7.10 Fiscal year.</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7.11 Bank and accounts.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7.12 Signing officers.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7.13 Auditor/accountant.</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7.14 Books of account, financial statements, accounting principles.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7.15 Access of limited partners to the books and records.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427" w:start="900" w:end="740"/>
        <w:rPr>
          <w:rFonts w:ascii="Times New Roman" w:hAnsi="Times New Roman" w:eastAsia="Times New Roman" w:cs="Times New Roman"/>
        </w:rPr>
      </w:pPr>
      <w:r>
        <w:rPr>
          <w:rFonts w:eastAsia="Times New Roman" w:cs="Times New Roman" w:ascii="Times New Roman" w:hAnsi="Times New Roman"/>
        </w:rPr>
        <w:t>7.16 Reports and statements required to be made to partners, including those by the general partner(s) to the limited partners.</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460" w:leader="none"/>
        </w:tabs>
        <w:spacing w:lineRule="atLeast" w:line="0"/>
        <w:ind w:hanging="460" w:start="460" w:end="0"/>
        <w:rPr>
          <w:rFonts w:ascii="Times New Roman" w:hAnsi="Times New Roman" w:eastAsia="Times New Roman" w:cs="Times New Roman"/>
          <w:b/>
        </w:rPr>
      </w:pPr>
      <w:r>
        <w:rPr>
          <w:rFonts w:eastAsia="Times New Roman" w:cs="Times New Roman" w:ascii="Times New Roman" w:hAnsi="Times New Roman"/>
          <w:b/>
        </w:rPr>
        <w:t>FINANCING</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hanging="330" w:start="900" w:end="740"/>
        <w:rPr>
          <w:rFonts w:ascii="Times New Roman" w:hAnsi="Times New Roman" w:eastAsia="Times New Roman" w:cs="Times New Roman"/>
        </w:rPr>
      </w:pPr>
      <w:r>
        <w:rPr>
          <w:rFonts w:eastAsia="Times New Roman" w:cs="Times New Roman" w:ascii="Times New Roman" w:hAnsi="Times New Roman"/>
        </w:rPr>
        <w:t>8.1 Define the interest of each partner in the partnership as a percentage, as units (possibly of different classes), or otherwise.</w: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sz w:val="19"/>
        </w:rPr>
      </w:pPr>
      <w:r>
        <w:rPr>
          <w:rFonts w:eastAsia="Times New Roman" w:cs="Times New Roman" w:ascii="Times New Roman" w:hAnsi="Times New Roman"/>
          <w:sz w:val="19"/>
        </w:rPr>
        <w:t>8.2 Initial capital contribution required and the basis on which it is determined.</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8"/>
        <w:ind w:hanging="330" w:start="900" w:end="740"/>
        <w:rPr>
          <w:rFonts w:ascii="Times New Roman" w:hAnsi="Times New Roman" w:eastAsia="Times New Roman" w:cs="Times New Roman"/>
        </w:rPr>
      </w:pPr>
      <w:r>
        <w:rPr>
          <w:rFonts w:eastAsia="Times New Roman" w:cs="Times New Roman" w:ascii="Times New Roman" w:hAnsi="Times New Roman"/>
        </w:rPr>
        <w:t>8.3 Mechanisms by which the partnership may raise additional funds for work-ing capital or otherwise:</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.1 Borrowing from an institutional lender:</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540" w:leader="none"/>
        </w:tabs>
        <w:spacing w:lineRule="auto" w:line="268"/>
        <w:ind w:hanging="313" w:start="1540" w:end="740"/>
        <w:rPr>
          <w:rFonts w:ascii="Times New Roman" w:hAnsi="Times New Roman" w:eastAsia="Times New Roman" w:cs="Times New Roman"/>
        </w:rPr>
      </w:pPr>
      <w:r>
        <w:rPr>
          <w:rFonts w:eastAsia="Times New Roman" w:cs="Times New Roman" w:ascii="Times New Roman" w:hAnsi="Times New Roman"/>
        </w:rPr>
        <w:t>Whether the partnership is required to try to obtain funds in this manner before turning to the partners (as described in item 8.3.2).</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540" w:leader="none"/>
        </w:tabs>
        <w:spacing w:lineRule="auto" w:line="249"/>
        <w:ind w:hanging="324" w:start="1540" w:end="740"/>
        <w:jc w:val="both"/>
        <w:rPr>
          <w:rFonts w:ascii="Times New Roman" w:hAnsi="Times New Roman" w:eastAsia="Times New Roman" w:cs="Times New Roman"/>
        </w:rPr>
      </w:pPr>
      <w:r>
        <w:rPr>
          <w:rFonts w:eastAsia="Times New Roman" w:cs="Times New Roman" w:ascii="Times New Roman" w:hAnsi="Times New Roman"/>
        </w:rPr>
        <w:t>Whether the partners are required to enter into guarantees of indebt-edness of the partnership (such guarantees are usually required by the lender to be joint and several, in which case include an appropri-ate provision for mutual indemnification).</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.2 Additional loans or capital contributions from the partners:</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540" w:leader="none"/>
        </w:tabs>
        <w:spacing w:lineRule="auto" w:line="254"/>
        <w:ind w:hanging="313" w:start="1540" w:end="740"/>
        <w:jc w:val="both"/>
        <w:rPr>
          <w:rFonts w:ascii="Times New Roman" w:hAnsi="Times New Roman" w:eastAsia="Times New Roman" w:cs="Times New Roman"/>
        </w:rPr>
      </w:pPr>
      <w:r>
        <w:rPr>
          <w:rFonts w:eastAsia="Times New Roman" w:cs="Times New Roman" w:ascii="Times New Roman" w:hAnsi="Times New Roman"/>
        </w:rPr>
        <w:t>Circumstances in which the partnership may require this, how the decision is made, and whether there is a maximum amount that may be demanded.</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520" w:leader="none"/>
        </w:tabs>
        <w:spacing w:lineRule="atLeast" w:line="0"/>
        <w:ind w:hanging="304" w:start="1520" w:end="0"/>
        <w:rPr>
          <w:rFonts w:ascii="Times New Roman" w:hAnsi="Times New Roman" w:eastAsia="Times New Roman" w:cs="Times New Roman"/>
        </w:rPr>
      </w:pPr>
      <w:r>
        <w:rPr>
          <w:rFonts w:eastAsia="Times New Roman" w:cs="Times New Roman" w:ascii="Times New Roman" w:hAnsi="Times New Roman"/>
        </w:rPr>
        <w:t>Basis of contribution (e.g., on percentage of interest).</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540" w:leader="none"/>
        </w:tabs>
        <w:spacing w:lineRule="atLeast" w:line="0"/>
        <w:ind w:hanging="313" w:start="1540" w:end="0"/>
        <w:rPr>
          <w:rFonts w:ascii="Times New Roman" w:hAnsi="Times New Roman" w:eastAsia="Times New Roman" w:cs="Times New Roman"/>
        </w:rPr>
      </w:pPr>
      <w:r>
        <w:rPr>
          <w:rFonts w:eastAsia="Times New Roman" w:cs="Times New Roman" w:ascii="Times New Roman" w:hAnsi="Times New Roman"/>
        </w:rPr>
        <w:t>Notice requirements.</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540" w:leader="none"/>
        </w:tabs>
        <w:spacing w:lineRule="atLeast" w:line="0"/>
        <w:ind w:hanging="324" w:start="1540" w:end="0"/>
        <w:rPr>
          <w:rFonts w:ascii="Times New Roman" w:hAnsi="Times New Roman" w:eastAsia="Times New Roman" w:cs="Times New Roman"/>
        </w:rPr>
      </w:pPr>
      <w:r>
        <w:rPr>
          <w:rFonts w:eastAsia="Times New Roman" w:cs="Times New Roman" w:ascii="Times New Roman" w:hAnsi="Times New Roman"/>
        </w:rPr>
        <w:t>Partners’ obligation (or option) to advance funds.</w: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540" w:leader="none"/>
        </w:tabs>
        <w:spacing w:lineRule="auto" w:line="268"/>
        <w:ind w:hanging="313" w:start="1540" w:end="740"/>
        <w:rPr>
          <w:rFonts w:ascii="Times New Roman" w:hAnsi="Times New Roman" w:eastAsia="Times New Roman" w:cs="Times New Roman"/>
        </w:rPr>
      </w:pPr>
      <w:r>
        <w:rPr>
          <w:rFonts w:eastAsia="Times New Roman" w:cs="Times New Roman" w:ascii="Times New Roman" w:hAnsi="Times New Roman"/>
        </w:rPr>
        <w:t>Where the partners are obligated to advance funds, a provision for consequences of failure to do so (e.g., reduction of interest).</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330" w:start="900" w:end="740"/>
        <w:jc w:val="both"/>
        <w:rPr/>
      </w:pPr>
      <w:r>
        <w:rPr>
          <w:rFonts w:eastAsia="Times New Roman" w:cs="Times New Roman" w:ascii="Times New Roman" w:hAnsi="Times New Roman"/>
        </w:rPr>
        <w:t>8.4 Whether the capital contributions or loans of the partners bear “interest”, and if so, how it is calculated and paid (note that compensation on capital contributions is not really interest but a charge against surplus, and current tax advice is appropriate).</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900" w:end="740"/>
        <w:jc w:val="both"/>
        <w:rPr>
          <w:rFonts w:ascii="Times New Roman" w:hAnsi="Times New Roman" w:eastAsia="Times New Roman" w:cs="Times New Roman"/>
        </w:rPr>
      </w:pPr>
      <w:r>
        <w:rPr>
          <w:rFonts w:eastAsia="Times New Roman" w:cs="Times New Roman" w:ascii="Times New Roman" w:hAnsi="Times New Roman"/>
        </w:rPr>
        <w:t>8.5 Whether and in what circumstances capital contributions can be withdrawn or loans required to be repaid.</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900" w:end="740"/>
        <w:jc w:val="both"/>
        <w:rPr>
          <w:rFonts w:ascii="Times New Roman" w:hAnsi="Times New Roman" w:eastAsia="Times New Roman" w:cs="Times New Roman"/>
        </w:rPr>
      </w:pPr>
      <w:r>
        <w:rPr>
          <w:rFonts w:eastAsia="Times New Roman" w:cs="Times New Roman" w:ascii="Times New Roman" w:hAnsi="Times New Roman"/>
        </w:rPr>
        <w:t>8.6 Other contributions that may be or are required of partners (e.g., property, services).</w: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900" w:end="740"/>
        <w:jc w:val="both"/>
        <w:rPr>
          <w:rFonts w:ascii="Times New Roman" w:hAnsi="Times New Roman" w:eastAsia="Times New Roman" w:cs="Times New Roman"/>
        </w:rPr>
      </w:pPr>
      <w:r>
        <w:rPr>
          <w:rFonts w:eastAsia="Times New Roman" w:cs="Times New Roman" w:ascii="Times New Roman" w:hAnsi="Times New Roman"/>
        </w:rPr>
        <w:t>8.7 Obligations of partners to provide their own equipment, cars, office furni-ture, etc.</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Times New Roman" w:hAnsi="Times New Roman" w:eastAsia="Times New Roman" w:cs="Times New Roman"/>
        </w:rPr>
      </w:pPr>
      <w:r>
        <w:rPr>
          <w:rFonts w:eastAsia="Times New Roman" w:cs="Times New Roman" w:ascii="Times New Roman" w:hAnsi="Times New Roman"/>
        </w:rPr>
        <w:t>8.8 Obligations of partners with respect to costs and expenses.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NOTES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5">
            <wp:simplePos x="0" y="0"/>
            <wp:positionH relativeFrom="column">
              <wp:posOffset>-852170</wp:posOffset>
            </wp:positionH>
            <wp:positionV relativeFrom="paragraph">
              <wp:posOffset>59690</wp:posOffset>
            </wp:positionV>
            <wp:extent cx="2072005" cy="9525"/>
            <wp:effectExtent l="0" t="0" r="0" b="0"/>
            <wp:wrapNone/>
            <wp:docPr id="1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title=""/>
                    <pic:cNvPicPr>
                      <a:picLocks noChangeAspect="1" noChangeArrowheads="1"/>
                    </pic:cNvPicPr>
                  </pic:nvPicPr>
                  <pic:blipFill>
                    <a:blip r:embed="rId9"/>
                    <a:srcRect l="-9" t="-1887" r="-9" b="-1887"/>
                    <a:stretch>
                      <a:fillRect/>
                    </a:stretch>
                  </pic:blipFill>
                  <pic:spPr bwMode="auto">
                    <a:xfrm>
                      <a:off x="0" y="0"/>
                      <a:ext cx="2072005" cy="9525"/>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-852170</wp:posOffset>
            </wp:positionH>
            <wp:positionV relativeFrom="paragraph">
              <wp:posOffset>8406765</wp:posOffset>
            </wp:positionV>
            <wp:extent cx="2064385" cy="9525"/>
            <wp:effectExtent l="0" t="0" r="0" b="0"/>
            <wp:wrapNone/>
            <wp:docPr id="1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title=""/>
                    <pic:cNvPicPr>
                      <a:picLocks noChangeAspect="1" noChangeArrowheads="1"/>
                    </pic:cNvPicPr>
                  </pic:nvPicPr>
                  <pic:blipFill>
                    <a:blip r:embed="rId10"/>
                    <a:srcRect l="-9" t="-1887" r="-9" b="-1887"/>
                    <a:stretch>
                      <a:fillRect/>
                    </a:stretch>
                  </pic:blipFill>
                  <pic:spPr bwMode="auto">
                    <a:xfrm>
                      <a:off x="0" y="0"/>
                      <a:ext cx="2064385" cy="9525"/>
                    </a:xfrm>
                    <a:prstGeom prst="rect">
                      <a:avLst/>
                    </a:prstGeom>
                  </pic:spPr>
                </pic:pic>
              </a:graphicData>
            </a:graphic>
          </wp:anchor>
        </w:drawing>
      </w:r>
    </w:p>
    <w:p>
      <w:pPr>
        <w:sectPr>
          <w:type w:val="continuous"/>
          <w:pgSz w:w="12240" w:h="15840"/>
          <w:pgMar w:left="1440" w:right="720" w:gutter="0" w:header="0" w:top="340" w:footer="0" w:bottom="0"/>
          <w:cols w:num="2" w:equalWidth="false" w:sep="false">
            <w:col w:w="7560" w:space="720"/>
            <w:col w:w="1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60" w:leader="none"/>
        </w:tabs>
        <w:spacing w:lineRule="atLeast" w:line="0"/>
        <w:rPr/>
      </w:pPr>
      <w:r>
        <w:rPr>
          <w:rFonts w:eastAsia="Times New Roman" w:cs="Times New Roman" w:ascii="Times New Roman" w:hAnsi="Times New Roman"/>
          <w:sz w:val="21"/>
        </w:rPr>
        <w:t>11/16</w:t>
        <w:tab/>
      </w:r>
      <w:r>
        <w:rPr/>
        <w:t>B-9-5</w:t>
      </w:r>
    </w:p>
    <w:p>
      <w:pPr>
        <w:sectPr>
          <w:type w:val="continuous"/>
          <w:pgSz w:w="12240" w:h="15840"/>
          <w:pgMar w:left="1440" w:right="720" w:gutter="0" w:header="0" w:top="340" w:footer="0" w:bottom="0"/>
          <w:formProt w:val="false"/>
          <w:textDirection w:val="lrTb"/>
          <w:docGrid w:type="default" w:linePitch="360" w:charSpace="0"/>
        </w:sectPr>
      </w:pPr>
    </w:p>
    <w:tbl>
      <w:tblPr>
        <w:tblW w:w="10280" w:type="dxa"/>
        <w:jc w:val="start"/>
        <w:tblInd w:w="0" w:type="dxa"/>
        <w:tblLayout w:type="fixed"/>
        <w:tblCellMar>
          <w:top w:w="0" w:type="dxa"/>
          <w:start w:w="0" w:type="dxa"/>
          <w:bottom w:w="0" w:type="dxa"/>
          <w:end w:w="0" w:type="dxa"/>
        </w:tblCellMar>
      </w:tblPr>
      <w:tblGrid>
        <w:gridCol w:w="5400"/>
        <w:gridCol w:w="4880"/>
      </w:tblGrid>
      <w:tr>
        <w:trPr>
          <w:trHeight w:val="253" w:hRule="atLeast"/>
        </w:trPr>
        <w:tc>
          <w:tcPr>
            <w:tcW w:w="5400" w:type="dxa"/>
            <w:tcBorders/>
          </w:tcPr>
          <w:p>
            <w:pPr>
              <w:pStyle w:val="Normal"/>
              <w:spacing w:lineRule="atLeast" w:line="0"/>
              <w:ind w:start="100" w:end="0"/>
              <w:rPr>
                <w:rFonts w:ascii="Times New Roman" w:hAnsi="Times New Roman" w:eastAsia="Times New Roman" w:cs="Times New Roman"/>
                <w:b/>
                <w:sz w:val="22"/>
              </w:rPr>
            </w:pPr>
            <w:bookmarkStart w:id="5" w:name="page6"/>
            <w:bookmarkEnd w:id="5"/>
            <w:r>
              <w:rPr>
                <w:rFonts w:eastAsia="Times New Roman" w:cs="Times New Roman" w:ascii="Times New Roman" w:hAnsi="Times New Roman"/>
                <w:b/>
                <w:sz w:val="22"/>
              </w:rPr>
              <w:t>PARTNERSHIP AGREEMENT</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LAW SOCIETY OF BRITISH COLUMBIA</w:t>
            </w:r>
          </w:p>
        </w:tc>
      </w:tr>
      <w:tr>
        <w:trPr>
          <w:trHeight w:val="290" w:hRule="atLeast"/>
        </w:trPr>
        <w:tc>
          <w:tcPr>
            <w:tcW w:w="5400" w:type="dxa"/>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DRAFTING</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PRACTICE CHECKLISTS MANUAL</w:t>
            </w:r>
          </w:p>
        </w:tc>
      </w:tr>
      <w:tr>
        <w:trPr>
          <w:trHeight w:val="341"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6" w:hRule="atLeast"/>
        </w:trPr>
        <w:tc>
          <w:tcPr>
            <w:tcW w:w="5400" w:type="dxa"/>
            <w:tcBorders/>
          </w:tcPr>
          <w:p>
            <w:pPr>
              <w:pStyle w:val="Normal"/>
              <w:spacing w:lineRule="atLeast" w:line="0"/>
              <w:ind w:start="2200" w:end="0"/>
              <w:rPr>
                <w:rFonts w:ascii="Arial" w:hAnsi="Arial" w:eastAsia="Arial" w:cs="Arial"/>
                <w:sz w:val="16"/>
              </w:rPr>
            </w:pPr>
            <w:r>
              <w:rPr>
                <w:rFonts w:eastAsia="Arial" w:cs="Arial" w:ascii="Arial" w:hAnsi="Arial"/>
                <w:sz w:val="16"/>
              </w:rPr>
              <w:t>PROVISIONS TO BE CONSIDERED</w:t>
            </w:r>
          </w:p>
        </w:tc>
        <w:tc>
          <w:tcPr>
            <w:tcW w:w="4880" w:type="dxa"/>
            <w:tcBorders/>
          </w:tcPr>
          <w:p>
            <w:pPr>
              <w:pStyle w:val="Normal"/>
              <w:spacing w:lineRule="atLeast" w:line="0"/>
              <w:ind w:end="1240"/>
              <w:jc w:val="end"/>
              <w:rPr>
                <w:rFonts w:ascii="Arial" w:hAnsi="Arial" w:eastAsia="Arial" w:cs="Arial"/>
                <w:sz w:val="16"/>
              </w:rPr>
            </w:pPr>
            <w:r>
              <w:rPr>
                <w:rFonts w:eastAsia="Arial" w:cs="Arial" w:ascii="Arial" w:hAnsi="Arial"/>
                <w:sz w:val="16"/>
              </w:rPr>
              <w:t>NOTES</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7">
                <wp:simplePos x="0" y="0"/>
                <wp:positionH relativeFrom="column">
                  <wp:posOffset>-4445</wp:posOffset>
                </wp:positionH>
                <wp:positionV relativeFrom="paragraph">
                  <wp:posOffset>46355</wp:posOffset>
                </wp:positionV>
                <wp:extent cx="6544945" cy="0"/>
                <wp:effectExtent l="0" t="5080" r="0" b="5080"/>
                <wp:wrapNone/>
                <wp:docPr id="16" name=""/>
                <a:graphic xmlns:a="http://schemas.openxmlformats.org/drawingml/2006/main">
                  <a:graphicData uri="http://schemas.microsoft.com/office/word/2010/wordprocessingShape">
                    <wps:wsp>
                      <wps:cNvSpPr/>
                      <wps:spPr>
                        <a:xfrm>
                          <a:off x="0" y="0"/>
                          <a:ext cx="6544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65pt" to="514.95pt,3.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4463415</wp:posOffset>
                </wp:positionH>
                <wp:positionV relativeFrom="paragraph">
                  <wp:posOffset>-264160</wp:posOffset>
                </wp:positionV>
                <wp:extent cx="0" cy="8667115"/>
                <wp:effectExtent l="5080" t="0" r="5080" b="0"/>
                <wp:wrapNone/>
                <wp:docPr id="17" name=""/>
                <a:graphic xmlns:a="http://schemas.openxmlformats.org/drawingml/2006/main">
                  <a:graphicData uri="http://schemas.microsoft.com/office/word/2010/wordprocessingShape">
                    <wps:wsp>
                      <wps:cNvSpPr/>
                      <wps:spPr>
                        <a:xfrm>
                          <a:off x="0" y="0"/>
                          <a:ext cx="0" cy="86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45pt,-20.8pt" to="351.45pt,661.6pt" stroked="t" o:allowincell="f" style="position:absolute">
                <v:stroke color="black" weight="9360" joinstyle="miter" endcap="flat"/>
                <v:fill o:detectmouseclick="t" on="false"/>
                <w10:wrap type="none"/>
              </v:line>
            </w:pict>
          </mc:Fallback>
        </mc:AlternateConten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30" w:start="1000" w:end="3360"/>
        <w:jc w:val="both"/>
        <w:rPr/>
      </w:pPr>
      <w:r>
        <w:rPr>
          <w:rFonts w:eastAsia="Times New Roman" w:cs="Times New Roman" w:ascii="Times New Roman" w:hAnsi="Times New Roman"/>
        </w:rPr>
        <w:t>8.9 Matters relevant to the determination of taxable income, such as the rate at which capital cost allowance (“CCA”) is claimed, whether deductible ex-penses are capitalized, etc.</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8.10 Allocation of profits and losses.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8.11 Distributions: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233" w:start="1280" w:end="3360"/>
        <w:jc w:val="both"/>
        <w:rPr>
          <w:rFonts w:ascii="Times New Roman" w:hAnsi="Times New Roman" w:eastAsia="Times New Roman" w:cs="Times New Roman"/>
        </w:rPr>
      </w:pPr>
      <w:r>
        <w:rPr>
          <w:rFonts w:eastAsia="Times New Roman" w:cs="Times New Roman" w:ascii="Times New Roman" w:hAnsi="Times New Roman"/>
        </w:rPr>
        <w:t>.1 In what amounts distribution will occur (e.g., except as prohibited by the terms of debt financing, and to the extent permitted by law, after provi-sion (by a specified mechanism) for necessary reserves).</w:t>
      </w: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.2 Frequency of distribution.</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280" w:end="3360"/>
        <w:jc w:val="both"/>
        <w:rPr/>
      </w:pPr>
      <w:r>
        <w:rPr>
          <w:rFonts w:eastAsia="Times New Roman" w:cs="Times New Roman" w:ascii="Times New Roman" w:hAnsi="Times New Roman"/>
        </w:rPr>
        <w:t>.3 Basis for distribution (e.g., based on each partner’s book equity, percent-age of interest).</w: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PARTNERSHIP PROPERTY</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9.1 Lease, sale, or contribution of property by partners to the partnership.</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330" w:start="1000" w:end="3360"/>
        <w:jc w:val="both"/>
        <w:rPr>
          <w:rFonts w:ascii="Times New Roman" w:hAnsi="Times New Roman" w:eastAsia="Times New Roman" w:cs="Times New Roman"/>
        </w:rPr>
      </w:pPr>
      <w:r>
        <w:rPr>
          <w:rFonts w:eastAsia="Times New Roman" w:cs="Times New Roman" w:ascii="Times New Roman" w:hAnsi="Times New Roman"/>
        </w:rPr>
        <w:t>9.2 Statement of assets that are partnership property (consider attaching a schedule).</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 w:end="0"/>
        <w:rPr>
          <w:rFonts w:ascii="Times New Roman" w:hAnsi="Times New Roman" w:eastAsia="Times New Roman" w:cs="Times New Roman"/>
        </w:rPr>
      </w:pPr>
      <w:r>
        <w:rPr>
          <w:rFonts w:eastAsia="Times New Roman" w:cs="Times New Roman" w:ascii="Times New Roman" w:hAnsi="Times New Roman"/>
        </w:rPr>
        <w:t>9.3 Statement of types of assets that will become partnership property.</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330" w:start="1000" w:end="3360"/>
        <w:jc w:val="both"/>
        <w:rPr>
          <w:rFonts w:ascii="Times New Roman" w:hAnsi="Times New Roman" w:eastAsia="Times New Roman" w:cs="Times New Roman"/>
        </w:rPr>
      </w:pPr>
      <w:r>
        <w:rPr>
          <w:rFonts w:eastAsia="Times New Roman" w:cs="Times New Roman" w:ascii="Times New Roman" w:hAnsi="Times New Roman"/>
        </w:rPr>
        <w:t>9.4 Statement affirming types of assets that will not become partnership proper-ty (desirable when property is co-owned by partners who wish to claim CCA at different rates).</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hanging="330" w:start="1000" w:end="3360"/>
        <w:jc w:val="both"/>
        <w:rPr>
          <w:rFonts w:ascii="Times New Roman" w:hAnsi="Times New Roman" w:eastAsia="Times New Roman" w:cs="Times New Roman"/>
          <w:sz w:val="19"/>
        </w:rPr>
      </w:pPr>
      <w:r>
        <w:rPr>
          <w:rFonts w:eastAsia="Times New Roman" w:cs="Times New Roman" w:ascii="Times New Roman" w:hAnsi="Times New Roman"/>
          <w:sz w:val="19"/>
        </w:rPr>
        <w:t>9.5 Statement regarding the nature of the interest of each partner in the partner-ship and its assets (e.g., whether the interest consists of contractual rights).</w:t>
      </w:r>
    </w:p>
    <w:p>
      <w:pPr>
        <w:pStyle w:val="Normal"/>
        <w:spacing w:lineRule="exact" w:line="17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5"/>
        </w:numPr>
        <w:tabs>
          <w:tab w:val="clear" w:pos="720"/>
          <w:tab w:val="left" w:pos="540" w:leader="none"/>
        </w:tabs>
        <w:spacing w:lineRule="atLeast" w:line="0"/>
        <w:ind w:hanging="440" w:start="540" w:end="0"/>
        <w:rPr>
          <w:rFonts w:ascii="Times New Roman" w:hAnsi="Times New Roman" w:eastAsia="Times New Roman" w:cs="Times New Roman"/>
          <w:b/>
        </w:rPr>
      </w:pPr>
      <w:r>
        <w:rPr>
          <w:rFonts w:eastAsia="Times New Roman" w:cs="Times New Roman" w:ascii="Times New Roman" w:hAnsi="Times New Roman"/>
          <w:b/>
        </w:rPr>
        <w:t>TRANSFER AND ENCUMBRANCE OF INTEREST IN PARTNERSHIP</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hanging="427" w:start="1000" w:end="3360"/>
        <w:jc w:val="both"/>
        <w:rPr>
          <w:rFonts w:ascii="Times New Roman" w:hAnsi="Times New Roman" w:eastAsia="Times New Roman" w:cs="Times New Roman"/>
        </w:rPr>
      </w:pPr>
      <w:r>
        <w:rPr>
          <w:rFonts w:eastAsia="Times New Roman" w:cs="Times New Roman" w:ascii="Times New Roman" w:hAnsi="Times New Roman"/>
        </w:rPr>
        <w:t>10.1 No partner shall dispose of or mortgage his or her interest except as set out in the agreement (ensure that the agreement specifies any differences be-tween general and limited partners).</w:t>
      </w: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434" w:start="1000" w:end="3360"/>
        <w:jc w:val="both"/>
        <w:rPr>
          <w:rFonts w:ascii="Times New Roman" w:hAnsi="Times New Roman" w:eastAsia="Times New Roman" w:cs="Times New Roman"/>
        </w:rPr>
      </w:pPr>
      <w:r>
        <w:rPr>
          <w:rFonts w:eastAsia="Times New Roman" w:cs="Times New Roman" w:ascii="Times New Roman" w:hAnsi="Times New Roman"/>
        </w:rPr>
        <w:t>10.2 Conditions that must be met before a partner may dispose of his or her interest, including consideration of:</w: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Times New Roman" w:hAnsi="Times New Roman" w:eastAsia="Times New Roman" w:cs="Times New Roman"/>
        </w:rPr>
      </w:pPr>
      <w:r>
        <w:rPr>
          <w:rFonts w:eastAsia="Times New Roman" w:cs="Times New Roman" w:ascii="Times New Roman" w:hAnsi="Times New Roman"/>
        </w:rPr>
        <w:t>.1 Written consent of all the other partners.</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233" w:start="1280" w:end="3360"/>
        <w:jc w:val="both"/>
        <w:rPr/>
      </w:pPr>
      <w:r>
        <w:rPr>
          <w:rFonts w:eastAsia="Times New Roman" w:cs="Times New Roman" w:ascii="Times New Roman" w:hAnsi="Times New Roman"/>
        </w:rPr>
        <w:t>.2 Right of first refusal to be offered to the other partners. See, for example, item 10 of the</w:t>
      </w:r>
      <w:r>
        <w:rPr>
          <w:rFonts w:eastAsia="Times New Roman" w:cs="Times New Roman" w:ascii="Times New Roman" w:hAnsi="Times New Roman"/>
          <w:sz w:val="16"/>
        </w:rPr>
        <w:t xml:space="preserve"> SHAREHOLDERS</w:t>
      </w:r>
      <w:r>
        <w:rPr>
          <w:rFonts w:eastAsia="Times New Roman" w:cs="Times New Roman" w:ascii="Times New Roman" w:hAnsi="Times New Roman"/>
        </w:rPr>
        <w:t>’</w:t>
      </w:r>
      <w:r>
        <w:rPr>
          <w:rFonts w:eastAsia="Times New Roman" w:cs="Times New Roman" w:ascii="Times New Roman" w:hAnsi="Times New Roman"/>
          <w:sz w:val="16"/>
        </w:rPr>
        <w:t xml:space="preserve"> AGREEMENT DRAFTING</w:t>
      </w:r>
      <w:r>
        <w:rPr>
          <w:rFonts w:eastAsia="Times New Roman" w:cs="Times New Roman" w:ascii="Times New Roman" w:hAnsi="Times New Roman"/>
        </w:rPr>
        <w:t xml:space="preserve"> (B-7) checklist, and adapt it to the circumstances.</w:t>
      </w:r>
    </w:p>
    <w:p>
      <w:pPr>
        <w:pStyle w:val="Normal"/>
        <w:spacing w:lineRule="exact" w:line="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233" w:start="1280" w:end="3360"/>
        <w:jc w:val="both"/>
        <w:rPr>
          <w:rFonts w:ascii="Times New Roman" w:hAnsi="Times New Roman" w:eastAsia="Times New Roman" w:cs="Times New Roman"/>
        </w:rPr>
      </w:pPr>
      <w:r>
        <w:rPr>
          <w:rFonts w:eastAsia="Times New Roman" w:cs="Times New Roman" w:ascii="Times New Roman" w:hAnsi="Times New Roman"/>
        </w:rPr>
        <w:t>.3 Piggy-back rights pursuant to which the partner may dispose of his or her interest pursuant to a right of first refusal only if the purchaser also purchases the interests of all, or certain of, the other partners on their re-quest.</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233" w:start="1280" w:end="3360"/>
        <w:jc w:val="both"/>
        <w:rPr>
          <w:rFonts w:ascii="Times New Roman" w:hAnsi="Times New Roman" w:eastAsia="Times New Roman" w:cs="Times New Roman"/>
        </w:rPr>
      </w:pPr>
      <w:r>
        <w:rPr>
          <w:rFonts w:eastAsia="Times New Roman" w:cs="Times New Roman" w:ascii="Times New Roman" w:hAnsi="Times New Roman"/>
        </w:rPr>
        <w:t>.4 Drag-along rights where a selling partner may require other partners to sell their interests on the same terms, if they do not exercise their rights of first refusal to buy.</w:t>
      </w:r>
    </w:p>
    <w:p>
      <w:pPr>
        <w:pStyle w:val="Normal"/>
        <w:spacing w:lineRule="exact" w:line="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hanging="427" w:start="1000" w:end="3360"/>
        <w:rPr/>
      </w:pPr>
      <w:r>
        <w:rPr>
          <w:rFonts w:eastAsia="Times New Roman" w:cs="Times New Roman" w:ascii="Times New Roman" w:hAnsi="Times New Roman"/>
          <w:sz w:val="19"/>
        </w:rPr>
        <w:t>10.3 Circumstances in which a partner may force the purchase of that partner’s interest or the sale of another partner’s interest, including consideration of:</w:t>
      </w:r>
    </w:p>
    <w:p>
      <w:pPr>
        <w:pStyle w:val="Normal"/>
        <w:spacing w:lineRule="exact" w:line="1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4"/>
        <w:ind w:hanging="233" w:start="1280" w:end="3360"/>
        <w:jc w:val="both"/>
        <w:rPr/>
      </w:pPr>
      <w:r>
        <w:rPr>
          <w:rFonts w:eastAsia="Times New Roman" w:cs="Times New Roman" w:ascii="Times New Roman" w:hAnsi="Times New Roman"/>
        </w:rPr>
        <w:t>.1 A compulsory buy-out (roulette or shotgun clause). See, for example, item 11 of the</w:t>
      </w:r>
      <w:r>
        <w:rPr>
          <w:rFonts w:eastAsia="Times New Roman" w:cs="Times New Roman" w:ascii="Times New Roman" w:hAnsi="Times New Roman"/>
          <w:sz w:val="16"/>
        </w:rPr>
        <w:t xml:space="preserve"> SHAREHOLDERS</w:t>
      </w:r>
      <w:r>
        <w:rPr>
          <w:rFonts w:eastAsia="Times New Roman" w:cs="Times New Roman" w:ascii="Times New Roman" w:hAnsi="Times New Roman"/>
        </w:rPr>
        <w:t>’</w:t>
      </w:r>
      <w:r>
        <w:rPr>
          <w:rFonts w:eastAsia="Times New Roman" w:cs="Times New Roman" w:ascii="Times New Roman" w:hAnsi="Times New Roman"/>
          <w:sz w:val="16"/>
        </w:rPr>
        <w:t xml:space="preserve"> AGREEMENT DRAFTING</w:t>
      </w:r>
      <w:r>
        <w:rPr>
          <w:rFonts w:eastAsia="Times New Roman" w:cs="Times New Roman" w:ascii="Times New Roman" w:hAnsi="Times New Roman"/>
        </w:rPr>
        <w:t xml:space="preserve"> (B-7) checklist, and adapt it to the circumstances.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9">
                <wp:simplePos x="0" y="0"/>
                <wp:positionH relativeFrom="column">
                  <wp:posOffset>-13970</wp:posOffset>
                </wp:positionH>
                <wp:positionV relativeFrom="paragraph">
                  <wp:posOffset>248285</wp:posOffset>
                </wp:positionV>
                <wp:extent cx="6546850" cy="0"/>
                <wp:effectExtent l="0" t="5080" r="0" b="5080"/>
                <wp:wrapNone/>
                <wp:docPr id="18" name=""/>
                <a:graphic xmlns:a="http://schemas.openxmlformats.org/drawingml/2006/main">
                  <a:graphicData uri="http://schemas.microsoft.com/office/word/2010/wordprocessingShape">
                    <wps:wsp>
                      <wps:cNvSpPr/>
                      <wps:spPr>
                        <a:xfrm>
                          <a:off x="0" y="0"/>
                          <a:ext cx="6546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19.55pt" to="514.35pt,19.5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80" w:leader="none"/>
        </w:tabs>
        <w:spacing w:lineRule="atLeast" w:line="0"/>
        <w:ind w:start="100" w:end="0"/>
        <w:rPr/>
      </w:pPr>
      <w:r>
        <w:rPr>
          <w:rFonts w:eastAsia="Times New Roman" w:cs="Times New Roman" w:ascii="Times New Roman" w:hAnsi="Times New Roman"/>
          <w:sz w:val="22"/>
        </w:rPr>
        <w:t>B-9-6</w:t>
      </w:r>
      <w:r>
        <w:rPr>
          <w:rFonts w:eastAsia="Times New Roman" w:cs="Times New Roman" w:ascii="Times New Roman" w:hAnsi="Times New Roman"/>
        </w:rPr>
        <w:tab/>
      </w:r>
      <w:r>
        <w:rPr>
          <w:rFonts w:eastAsia="Times New Roman" w:cs="Times New Roman" w:ascii="Times New Roman" w:hAnsi="Times New Roman"/>
          <w:sz w:val="21"/>
        </w:rPr>
        <w:t>11/16</w:t>
      </w:r>
    </w:p>
    <w:p>
      <w:pPr>
        <w:sectPr>
          <w:type w:val="continuous"/>
          <w:pgSz w:w="12240" w:h="15840"/>
          <w:pgMar w:left="620" w:right="1340" w:gutter="0" w:header="0" w:top="340" w:footer="0" w:bottom="0"/>
          <w:formProt w:val="false"/>
          <w:textDirection w:val="lrTb"/>
          <w:docGrid w:type="default" w:linePitch="360" w:charSpace="0"/>
        </w:sectPr>
      </w:pPr>
    </w:p>
    <w:p>
      <w:pPr>
        <w:pStyle w:val="Normal"/>
        <w:tabs>
          <w:tab w:val="clear" w:pos="720"/>
          <w:tab w:val="left" w:pos="6980" w:leader="none"/>
        </w:tabs>
        <w:spacing w:lineRule="atLeast" w:line="0"/>
        <w:rPr/>
      </w:pPr>
      <w:bookmarkStart w:id="6" w:name="page7"/>
      <w:bookmarkEnd w:id="6"/>
      <w:r>
        <w:rPr>
          <w:rFonts w:eastAsia="Times New Roman" w:cs="Times New Roman" w:ascii="Times New Roman" w:hAnsi="Times New Roman"/>
          <w:b/>
          <w:sz w:val="22"/>
        </w:rPr>
        <w:t>LAW SOCIETY OF BRITISH COLUMBIA</w:t>
      </w:r>
      <w:r>
        <w:rPr>
          <w:rFonts w:eastAsia="Times New Roman" w:cs="Times New Roman" w:ascii="Times New Roman" w:hAnsi="Times New Roman"/>
        </w:rPr>
        <w:tab/>
      </w:r>
      <w:r>
        <w:rPr>
          <w:rFonts w:eastAsia="Times New Roman" w:cs="Times New Roman" w:ascii="Times New Roman" w:hAnsi="Times New Roman"/>
          <w:b/>
          <w:sz w:val="22"/>
        </w:rPr>
        <w:t>PARTNERSHIP AGREEMENT</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880" w:leader="none"/>
        </w:tabs>
        <w:spacing w:lineRule="atLeast" w:line="0"/>
        <w:rPr/>
      </w:pPr>
      <w:r>
        <w:rPr>
          <w:rFonts w:eastAsia="Times New Roman" w:cs="Times New Roman" w:ascii="Times New Roman" w:hAnsi="Times New Roman"/>
          <w:b/>
          <w:sz w:val="22"/>
        </w:rPr>
        <w:t>PRACTICE CHECKLISTS MANUAL</w:t>
      </w:r>
      <w:r>
        <w:rPr>
          <w:rFonts w:eastAsia="Times New Roman" w:cs="Times New Roman" w:ascii="Times New Roman" w:hAnsi="Times New Roman"/>
        </w:rPr>
        <w:tab/>
      </w:r>
      <w:r>
        <w:rPr>
          <w:rFonts w:eastAsia="Times New Roman" w:cs="Times New Roman" w:ascii="Times New Roman" w:hAnsi="Times New Roman"/>
          <w:b/>
          <w:sz w:val="22"/>
        </w:rPr>
        <w:t>DRAFTING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0">
            <wp:simplePos x="0" y="0"/>
            <wp:positionH relativeFrom="column">
              <wp:posOffset>-77470</wp:posOffset>
            </wp:positionH>
            <wp:positionV relativeFrom="paragraph">
              <wp:posOffset>238125</wp:posOffset>
            </wp:positionV>
            <wp:extent cx="6547485" cy="8661400"/>
            <wp:effectExtent l="0" t="0" r="0" b="0"/>
            <wp:wrapNone/>
            <wp:docPr id="19"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 descr="" title=""/>
                    <pic:cNvPicPr>
                      <a:picLocks noChangeAspect="1" noChangeArrowheads="1"/>
                    </pic:cNvPicPr>
                  </pic:nvPicPr>
                  <pic:blipFill>
                    <a:blip r:embed="rId11"/>
                    <a:srcRect l="-3" t="-2" r="-3" b="-2"/>
                    <a:stretch>
                      <a:fillRect/>
                    </a:stretch>
                  </pic:blipFill>
                  <pic:spPr bwMode="auto">
                    <a:xfrm>
                      <a:off x="0" y="0"/>
                      <a:ext cx="6547485" cy="8661400"/>
                    </a:xfrm>
                    <a:prstGeom prst="rect">
                      <a:avLst/>
                    </a:prstGeom>
                  </pic:spPr>
                </pic:pic>
              </a:graphicData>
            </a:graphic>
          </wp:anchor>
        </w:drawing>
      </w:r>
    </w:p>
    <w:p>
      <w:pPr>
        <w:sectPr>
          <w:type w:val="nextPage"/>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00" w:end="0"/>
        <w:rPr>
          <w:rFonts w:ascii="Arial" w:hAnsi="Arial" w:eastAsia="Arial" w:cs="Arial"/>
          <w:sz w:val="16"/>
        </w:rPr>
      </w:pPr>
      <w:r>
        <w:rPr>
          <w:rFonts w:eastAsia="Arial" w:cs="Arial" w:ascii="Arial" w:hAnsi="Arial"/>
          <w:sz w:val="16"/>
        </w:rPr>
        <w:t>PROVISIONS TO BE CONSIDERED</w:t>
      </w:r>
    </w:p>
    <w:p>
      <w:pPr>
        <w:pStyle w:val="Normal"/>
        <w:spacing w:lineRule="exact" w:line="25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9"/>
        <w:ind w:hanging="233" w:start="1180" w:end="740"/>
        <w:jc w:val="both"/>
        <w:rPr/>
      </w:pPr>
      <w:r>
        <w:rPr>
          <w:rFonts w:eastAsia="Times New Roman" w:cs="Times New Roman" w:ascii="Times New Roman" w:hAnsi="Times New Roman"/>
        </w:rPr>
        <w:t>.2 A piggy-back clause providing that a partner may require the other partners to join in the sale of all of their interests to an outsider. See, for example, item 12 of the</w:t>
      </w:r>
      <w:r>
        <w:rPr>
          <w:rFonts w:eastAsia="Times New Roman" w:cs="Times New Roman" w:ascii="Times New Roman" w:hAnsi="Times New Roman"/>
          <w:sz w:val="16"/>
        </w:rPr>
        <w:t xml:space="preserve"> SHAREHOLDERS</w:t>
      </w:r>
      <w:r>
        <w:rPr>
          <w:rFonts w:eastAsia="Times New Roman" w:cs="Times New Roman" w:ascii="Times New Roman" w:hAnsi="Times New Roman"/>
        </w:rPr>
        <w:t>’</w:t>
      </w:r>
      <w:r>
        <w:rPr>
          <w:rFonts w:eastAsia="Times New Roman" w:cs="Times New Roman" w:ascii="Times New Roman" w:hAnsi="Times New Roman"/>
          <w:sz w:val="16"/>
        </w:rPr>
        <w:t xml:space="preserve"> AGREEMENT DRAFTING</w:t>
      </w:r>
      <w:r>
        <w:rPr>
          <w:rFonts w:eastAsia="Times New Roman" w:cs="Times New Roman" w:ascii="Times New Roman" w:hAnsi="Times New Roman"/>
        </w:rPr>
        <w:t xml:space="preserve"> (B-7) checklist, and adapt it to the circumstances.</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hanging="233" w:start="1180" w:end="740"/>
        <w:jc w:val="both"/>
        <w:rPr/>
      </w:pPr>
      <w:r>
        <w:rPr>
          <w:rFonts w:eastAsia="Times New Roman" w:cs="Times New Roman" w:ascii="Times New Roman" w:hAnsi="Times New Roman"/>
        </w:rPr>
        <w:t>.3 A drag-along clause providing that a partner may require the other partners to purchase that partner’s interest upon the occurrence of speci-fied events (e.g., retirement from the work force or from active involvement in the partnership).</w: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427" w:start="900" w:end="740"/>
        <w:jc w:val="both"/>
        <w:rPr/>
      </w:pPr>
      <w:r>
        <w:rPr>
          <w:rFonts w:eastAsia="Times New Roman" w:cs="Times New Roman" w:ascii="Times New Roman" w:hAnsi="Times New Roman"/>
        </w:rPr>
        <w:t>10.4 A defaulting partner is not entitled to dispose of the defaulting partner’s interest pursuant to the above provisions, unless prior to or concurrently with the transfer that partner ceases to be a defaulting partner.</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sz w:val="19"/>
        </w:rPr>
      </w:pPr>
      <w:r>
        <w:rPr>
          <w:rFonts w:eastAsia="Times New Roman" w:cs="Times New Roman" w:ascii="Times New Roman" w:hAnsi="Times New Roman"/>
          <w:sz w:val="19"/>
        </w:rPr>
        <w:t>10.5 Consider including a set-off where the seller is indebted to the partnership.</w:t>
      </w:r>
    </w:p>
    <w:p>
      <w:pPr>
        <w:pStyle w:val="Normal"/>
        <w:spacing w:lineRule="exact" w:line="1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10.6 Conditions upon which a transferee will be admitted as a partner.</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427" w:start="900" w:end="740"/>
        <w:jc w:val="both"/>
        <w:rPr/>
      </w:pPr>
      <w:r>
        <w:rPr>
          <w:rFonts w:eastAsia="Times New Roman" w:cs="Times New Roman" w:ascii="Times New Roman" w:hAnsi="Times New Roman"/>
        </w:rPr>
        <w:t>10.7 Obligation of the partners, where a partner has disposed of all of the part-ner’s interest in compliance with the agreement, to use all reasonable efforts to have any guarantee or pledge given by the partner discharged or can-celled, and to indemnify the departing partner for those liabilities after the partner’s departure.</w: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hanging="427" w:start="900" w:end="740"/>
        <w:jc w:val="both"/>
        <w:rPr>
          <w:rFonts w:ascii="Times New Roman" w:hAnsi="Times New Roman" w:eastAsia="Times New Roman" w:cs="Times New Roman"/>
          <w:sz w:val="19"/>
        </w:rPr>
      </w:pPr>
      <w:r>
        <w:rPr>
          <w:rFonts w:eastAsia="Times New Roman" w:cs="Times New Roman" w:ascii="Times New Roman" w:hAnsi="Times New Roman"/>
          <w:sz w:val="19"/>
        </w:rPr>
        <w:t>10.8 Consider circumstances in which a potential purchaser under item 10.2.2 or item 10.3.1 can decide not to close, or can renegotiate the purchase price (e.g., material adverse change before closing, breach of representations and warranties, failure to obtain requisite consents and approvals).</w:t>
      </w:r>
    </w:p>
    <w:p>
      <w:pPr>
        <w:pStyle w:val="Normal"/>
        <w:spacing w:lineRule="exact" w:line="20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6"/>
        </w:numPr>
        <w:tabs>
          <w:tab w:val="clear" w:pos="720"/>
          <w:tab w:val="left" w:pos="440" w:leader="none"/>
        </w:tabs>
        <w:spacing w:lineRule="atLeast" w:line="0"/>
        <w:ind w:hanging="440" w:start="440" w:end="0"/>
        <w:rPr>
          <w:rFonts w:ascii="Times New Roman" w:hAnsi="Times New Roman" w:eastAsia="Times New Roman" w:cs="Times New Roman"/>
          <w:b/>
        </w:rPr>
      </w:pPr>
      <w:r>
        <w:rPr>
          <w:rFonts w:eastAsia="Times New Roman" w:cs="Times New Roman" w:ascii="Times New Roman" w:hAnsi="Times New Roman"/>
          <w:b/>
        </w:rPr>
        <w:t>EFFECT ON THE PARTNERSHIP OF VARIOUS EVENTS</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hanging="427" w:start="900" w:end="740"/>
        <w:rPr>
          <w:rFonts w:ascii="Times New Roman" w:hAnsi="Times New Roman" w:eastAsia="Times New Roman" w:cs="Times New Roman"/>
        </w:rPr>
      </w:pPr>
      <w:r>
        <w:rPr>
          <w:rFonts w:eastAsia="Times New Roman" w:cs="Times New Roman" w:ascii="Times New Roman" w:hAnsi="Times New Roman"/>
        </w:rPr>
        <w:t>11.1 Provision for various events, including their effect and the procedures to be followed:</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.1 Withdrawal from the partnership.</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.2 Retirement from the partnership.</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pPr>
      <w:r>
        <w:rPr>
          <w:rFonts w:eastAsia="Times New Roman" w:cs="Times New Roman" w:ascii="Times New Roman" w:hAnsi="Times New Roman"/>
        </w:rPr>
        <w:t>.3 An active partner’s incapacity or inability to work.</w: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180" w:end="740"/>
        <w:jc w:val="both"/>
        <w:rPr>
          <w:rFonts w:ascii="Times New Roman" w:hAnsi="Times New Roman" w:eastAsia="Times New Roman" w:cs="Times New Roman"/>
        </w:rPr>
      </w:pPr>
      <w:r>
        <w:rPr>
          <w:rFonts w:eastAsia="Times New Roman" w:cs="Times New Roman" w:ascii="Times New Roman" w:hAnsi="Times New Roman"/>
        </w:rPr>
        <w:t>.4 Expulsion from the partnership (note that reasonable notice must be given before a partner is expelled).</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233" w:start="1180" w:end="740"/>
        <w:jc w:val="both"/>
        <w:rPr/>
      </w:pPr>
      <w:r>
        <w:rPr>
          <w:rFonts w:eastAsia="Times New Roman" w:cs="Times New Roman" w:ascii="Times New Roman" w:hAnsi="Times New Roman"/>
          <w:sz w:val="19"/>
        </w:rPr>
        <w:t>.5 Death (also consider a provision that the partnership or partners be required to maintain life insurance policies on each other, to be used in financing a compulsory purchase of a deceased partner’s interest). See also items 15 (insurance policies), 16 (sale on death), and 17 (wills/alter ego trust) of the</w:t>
      </w:r>
      <w:r>
        <w:rPr>
          <w:rFonts w:eastAsia="Times New Roman" w:cs="Times New Roman" w:ascii="Times New Roman" w:hAnsi="Times New Roman"/>
          <w:sz w:val="15"/>
        </w:rPr>
        <w:t xml:space="preserve"> SHAREHOLDERS</w:t>
      </w:r>
      <w:r>
        <w:rPr>
          <w:rFonts w:eastAsia="Times New Roman" w:cs="Times New Roman" w:ascii="Times New Roman" w:hAnsi="Times New Roman"/>
          <w:sz w:val="19"/>
        </w:rPr>
        <w:t>’</w:t>
      </w:r>
      <w:r>
        <w:rPr>
          <w:rFonts w:eastAsia="Times New Roman" w:cs="Times New Roman" w:ascii="Times New Roman" w:hAnsi="Times New Roman"/>
          <w:sz w:val="15"/>
        </w:rPr>
        <w:t xml:space="preserve"> AGREEMENT DRAFTING</w:t>
      </w:r>
      <w:r>
        <w:rPr>
          <w:rFonts w:eastAsia="Times New Roman" w:cs="Times New Roman" w:ascii="Times New Roman" w:hAnsi="Times New Roman"/>
          <w:sz w:val="19"/>
        </w:rPr>
        <w:t xml:space="preserve"> (B-7) checklist.</w:t>
      </w:r>
    </w:p>
    <w:p>
      <w:pPr>
        <w:pStyle w:val="Normal"/>
        <w:spacing w:lineRule="exact" w:line="9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11.2 Default:</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.1 Circumstances that constitute a default, such as:</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540" w:leader="none"/>
        </w:tabs>
        <w:spacing w:lineRule="auto" w:line="254"/>
        <w:ind w:hanging="313" w:start="1540" w:end="740"/>
        <w:jc w:val="both"/>
        <w:rPr>
          <w:rFonts w:ascii="Times New Roman" w:hAnsi="Times New Roman" w:eastAsia="Times New Roman" w:cs="Times New Roman"/>
        </w:rPr>
      </w:pPr>
      <w:r>
        <w:rPr>
          <w:rFonts w:eastAsia="Times New Roman" w:cs="Times New Roman" w:ascii="Times New Roman" w:hAnsi="Times New Roman"/>
        </w:rPr>
        <w:t>Failure to carry out obligations under the agreement for a specified period of time after the other partners have made a written demand that the failure be cured.</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540" w:leader="none"/>
        </w:tabs>
        <w:spacing w:lineRule="auto" w:line="249"/>
        <w:ind w:hanging="324" w:start="1540" w:end="740"/>
        <w:jc w:val="both"/>
        <w:rPr>
          <w:rFonts w:ascii="Times New Roman" w:hAnsi="Times New Roman" w:eastAsia="Times New Roman" w:cs="Times New Roman"/>
        </w:rPr>
      </w:pPr>
      <w:r>
        <w:rPr>
          <w:rFonts w:eastAsia="Times New Roman" w:cs="Times New Roman" w:ascii="Times New Roman" w:hAnsi="Times New Roman"/>
        </w:rPr>
        <w:t>Failure to defend assiduously a proceeding affecting possession or management of the partner’s interest for a specified period of time after the other partners have made a written demand that the failure be cured.</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NOTES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1">
            <wp:simplePos x="0" y="0"/>
            <wp:positionH relativeFrom="column">
              <wp:posOffset>-852170</wp:posOffset>
            </wp:positionH>
            <wp:positionV relativeFrom="paragraph">
              <wp:posOffset>59690</wp:posOffset>
            </wp:positionV>
            <wp:extent cx="2072005" cy="9525"/>
            <wp:effectExtent l="0" t="0" r="0" b="0"/>
            <wp:wrapNone/>
            <wp:docPr id="2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 descr="" title=""/>
                    <pic:cNvPicPr>
                      <a:picLocks noChangeAspect="1" noChangeArrowheads="1"/>
                    </pic:cNvPicPr>
                  </pic:nvPicPr>
                  <pic:blipFill>
                    <a:blip r:embed="rId12"/>
                    <a:srcRect l="-9" t="-1887" r="-9" b="-1887"/>
                    <a:stretch>
                      <a:fillRect/>
                    </a:stretch>
                  </pic:blipFill>
                  <pic:spPr bwMode="auto">
                    <a:xfrm>
                      <a:off x="0" y="0"/>
                      <a:ext cx="2072005" cy="9525"/>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-852170</wp:posOffset>
            </wp:positionH>
            <wp:positionV relativeFrom="paragraph">
              <wp:posOffset>8405495</wp:posOffset>
            </wp:positionV>
            <wp:extent cx="2064385" cy="9525"/>
            <wp:effectExtent l="0" t="0" r="0" b="0"/>
            <wp:wrapNone/>
            <wp:docPr id="2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 descr="" title=""/>
                    <pic:cNvPicPr>
                      <a:picLocks noChangeAspect="1" noChangeArrowheads="1"/>
                    </pic:cNvPicPr>
                  </pic:nvPicPr>
                  <pic:blipFill>
                    <a:blip r:embed="rId13"/>
                    <a:srcRect l="-9" t="-1887" r="-9" b="-1887"/>
                    <a:stretch>
                      <a:fillRect/>
                    </a:stretch>
                  </pic:blipFill>
                  <pic:spPr bwMode="auto">
                    <a:xfrm>
                      <a:off x="0" y="0"/>
                      <a:ext cx="2064385" cy="9525"/>
                    </a:xfrm>
                    <a:prstGeom prst="rect">
                      <a:avLst/>
                    </a:prstGeom>
                  </pic:spPr>
                </pic:pic>
              </a:graphicData>
            </a:graphic>
          </wp:anchor>
        </w:drawing>
      </w:r>
    </w:p>
    <w:p>
      <w:pPr>
        <w:sectPr>
          <w:type w:val="continuous"/>
          <w:pgSz w:w="12240" w:h="15840"/>
          <w:pgMar w:left="1440" w:right="720" w:gutter="0" w:header="0" w:top="340" w:footer="0" w:bottom="0"/>
          <w:cols w:num="2" w:equalWidth="false" w:sep="false">
            <w:col w:w="7560" w:space="720"/>
            <w:col w:w="1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60" w:leader="none"/>
        </w:tabs>
        <w:spacing w:lineRule="atLeast" w:line="0"/>
        <w:rPr/>
      </w:pPr>
      <w:r>
        <w:rPr>
          <w:rFonts w:eastAsia="Times New Roman" w:cs="Times New Roman" w:ascii="Times New Roman" w:hAnsi="Times New Roman"/>
          <w:sz w:val="21"/>
        </w:rPr>
        <w:t>11/16</w:t>
        <w:tab/>
      </w:r>
      <w:r>
        <w:rPr/>
        <w:t>B-9-7</w:t>
      </w:r>
    </w:p>
    <w:p>
      <w:pPr>
        <w:sectPr>
          <w:type w:val="continuous"/>
          <w:pgSz w:w="12240" w:h="15840"/>
          <w:pgMar w:left="1440" w:right="720" w:gutter="0" w:header="0" w:top="340" w:footer="0" w:bottom="0"/>
          <w:formProt w:val="false"/>
          <w:textDirection w:val="lrTb"/>
          <w:docGrid w:type="default" w:linePitch="360" w:charSpace="0"/>
        </w:sectPr>
      </w:pPr>
    </w:p>
    <w:tbl>
      <w:tblPr>
        <w:tblW w:w="10280" w:type="dxa"/>
        <w:jc w:val="start"/>
        <w:tblInd w:w="0" w:type="dxa"/>
        <w:tblLayout w:type="fixed"/>
        <w:tblCellMar>
          <w:top w:w="0" w:type="dxa"/>
          <w:start w:w="0" w:type="dxa"/>
          <w:bottom w:w="0" w:type="dxa"/>
          <w:end w:w="0" w:type="dxa"/>
        </w:tblCellMar>
      </w:tblPr>
      <w:tblGrid>
        <w:gridCol w:w="5400"/>
        <w:gridCol w:w="4880"/>
      </w:tblGrid>
      <w:tr>
        <w:trPr>
          <w:trHeight w:val="253" w:hRule="atLeast"/>
        </w:trPr>
        <w:tc>
          <w:tcPr>
            <w:tcW w:w="5400" w:type="dxa"/>
            <w:tcBorders/>
          </w:tcPr>
          <w:p>
            <w:pPr>
              <w:pStyle w:val="Normal"/>
              <w:spacing w:lineRule="atLeast" w:line="0"/>
              <w:ind w:start="100" w:end="0"/>
              <w:rPr>
                <w:rFonts w:ascii="Times New Roman" w:hAnsi="Times New Roman" w:eastAsia="Times New Roman" w:cs="Times New Roman"/>
                <w:b/>
                <w:sz w:val="22"/>
              </w:rPr>
            </w:pPr>
            <w:bookmarkStart w:id="7" w:name="page8"/>
            <w:bookmarkEnd w:id="7"/>
            <w:r>
              <w:rPr>
                <w:rFonts w:eastAsia="Times New Roman" w:cs="Times New Roman" w:ascii="Times New Roman" w:hAnsi="Times New Roman"/>
                <w:b/>
                <w:sz w:val="22"/>
              </w:rPr>
              <w:t>PARTNERSHIP AGREEMENT</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LAW SOCIETY OF BRITISH COLUMBIA</w:t>
            </w:r>
          </w:p>
        </w:tc>
      </w:tr>
      <w:tr>
        <w:trPr>
          <w:trHeight w:val="290" w:hRule="atLeast"/>
        </w:trPr>
        <w:tc>
          <w:tcPr>
            <w:tcW w:w="5400" w:type="dxa"/>
            <w:tcBorders/>
          </w:tcPr>
          <w:p>
            <w:pPr>
              <w:pStyle w:val="Normal"/>
              <w:spacing w:lineRule="atLeast" w:line="0"/>
              <w:ind w:start="100" w:end="0"/>
              <w:rPr>
                <w:rFonts w:ascii="Times New Roman" w:hAnsi="Times New Roman" w:eastAsia="Times New Roman" w:cs="Times New Roman"/>
                <w:b/>
                <w:sz w:val="22"/>
              </w:rPr>
            </w:pPr>
            <w:r>
              <w:rPr>
                <w:rFonts w:eastAsia="Times New Roman" w:cs="Times New Roman" w:ascii="Times New Roman" w:hAnsi="Times New Roman"/>
                <w:b/>
                <w:sz w:val="22"/>
              </w:rPr>
              <w:t>DRAFTING</w:t>
            </w:r>
          </w:p>
        </w:tc>
        <w:tc>
          <w:tcPr>
            <w:tcW w:w="4880" w:type="dxa"/>
            <w:tcBorders/>
          </w:tcPr>
          <w:p>
            <w:pPr>
              <w:pStyle w:val="Normal"/>
              <w:spacing w:lineRule="atLeast" w:line="0"/>
              <w:jc w:val="end"/>
              <w:rPr>
                <w:rFonts w:ascii="Times New Roman" w:hAnsi="Times New Roman" w:eastAsia="Times New Roman" w:cs="Times New Roman"/>
                <w:b/>
                <w:sz w:val="22"/>
              </w:rPr>
            </w:pPr>
            <w:r>
              <w:rPr>
                <w:rFonts w:eastAsia="Times New Roman" w:cs="Times New Roman" w:ascii="Times New Roman" w:hAnsi="Times New Roman"/>
                <w:b/>
                <w:sz w:val="22"/>
              </w:rPr>
              <w:t>PRACTICE CHECKLISTS MANUAL</w:t>
            </w:r>
          </w:p>
        </w:tc>
      </w:tr>
      <w:tr>
        <w:trPr>
          <w:trHeight w:val="341" w:hRule="atLeast"/>
        </w:trPr>
        <w:tc>
          <w:tcPr>
            <w:tcW w:w="5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6" w:hRule="atLeast"/>
        </w:trPr>
        <w:tc>
          <w:tcPr>
            <w:tcW w:w="5400" w:type="dxa"/>
            <w:tcBorders/>
          </w:tcPr>
          <w:p>
            <w:pPr>
              <w:pStyle w:val="Normal"/>
              <w:spacing w:lineRule="atLeast" w:line="0"/>
              <w:ind w:start="2200" w:end="0"/>
              <w:rPr>
                <w:rFonts w:ascii="Arial" w:hAnsi="Arial" w:eastAsia="Arial" w:cs="Arial"/>
                <w:sz w:val="16"/>
              </w:rPr>
            </w:pPr>
            <w:r>
              <w:rPr>
                <w:rFonts w:eastAsia="Arial" w:cs="Arial" w:ascii="Arial" w:hAnsi="Arial"/>
                <w:sz w:val="16"/>
              </w:rPr>
              <w:t>PROVISIONS TO BE CONSIDERED</w:t>
            </w:r>
          </w:p>
        </w:tc>
        <w:tc>
          <w:tcPr>
            <w:tcW w:w="4880" w:type="dxa"/>
            <w:tcBorders/>
          </w:tcPr>
          <w:p>
            <w:pPr>
              <w:pStyle w:val="Normal"/>
              <w:spacing w:lineRule="atLeast" w:line="0"/>
              <w:ind w:end="1240"/>
              <w:jc w:val="end"/>
              <w:rPr>
                <w:rFonts w:ascii="Arial" w:hAnsi="Arial" w:eastAsia="Arial" w:cs="Arial"/>
                <w:sz w:val="16"/>
              </w:rPr>
            </w:pPr>
            <w:r>
              <w:rPr>
                <w:rFonts w:eastAsia="Arial" w:cs="Arial" w:ascii="Arial" w:hAnsi="Arial"/>
                <w:sz w:val="16"/>
              </w:rPr>
              <w:t>NOTES</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3">
                <wp:simplePos x="0" y="0"/>
                <wp:positionH relativeFrom="column">
                  <wp:posOffset>-4445</wp:posOffset>
                </wp:positionH>
                <wp:positionV relativeFrom="paragraph">
                  <wp:posOffset>46355</wp:posOffset>
                </wp:positionV>
                <wp:extent cx="6544945" cy="0"/>
                <wp:effectExtent l="0" t="5080" r="0" b="5080"/>
                <wp:wrapNone/>
                <wp:docPr id="22" name=""/>
                <a:graphic xmlns:a="http://schemas.openxmlformats.org/drawingml/2006/main">
                  <a:graphicData uri="http://schemas.microsoft.com/office/word/2010/wordprocessingShape">
                    <wps:wsp>
                      <wps:cNvSpPr/>
                      <wps:spPr>
                        <a:xfrm>
                          <a:off x="0" y="0"/>
                          <a:ext cx="6544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35pt,3.65pt" to="514.95pt,3.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4463415</wp:posOffset>
                </wp:positionH>
                <wp:positionV relativeFrom="paragraph">
                  <wp:posOffset>-264160</wp:posOffset>
                </wp:positionV>
                <wp:extent cx="0" cy="8661400"/>
                <wp:effectExtent l="5080" t="0" r="5080" b="0"/>
                <wp:wrapNone/>
                <wp:docPr id="23" name=""/>
                <a:graphic xmlns:a="http://schemas.openxmlformats.org/drawingml/2006/main">
                  <a:graphicData uri="http://schemas.microsoft.com/office/word/2010/wordprocessingShape">
                    <wps:wsp>
                      <wps:cNvSpPr/>
                      <wps:spPr>
                        <a:xfrm>
                          <a:off x="0" y="0"/>
                          <a:ext cx="0" cy="86612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45pt,-20.8pt" to="351.45pt,661.15pt" stroked="t" o:allowincell="f" style="position:absolute">
                <v:stroke color="black" weight="9360" joinstyle="miter" endcap="flat"/>
                <v:fill o:detectmouseclick="t" on="false"/>
                <w10:wrap type="none"/>
              </v:line>
            </w:pict>
          </mc:Fallback>
        </mc:AlternateContent>
      </w:r>
    </w:p>
    <w:p>
      <w:pPr>
        <w:pStyle w:val="Normal"/>
        <w:spacing w:lineRule="exact" w:line="1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640" w:leader="none"/>
        </w:tabs>
        <w:spacing w:lineRule="auto" w:line="273"/>
        <w:ind w:hanging="313" w:start="1640" w:end="3360"/>
        <w:jc w:val="both"/>
        <w:rPr>
          <w:rFonts w:ascii="Times New Roman" w:hAnsi="Times New Roman" w:eastAsia="Times New Roman" w:cs="Times New Roman"/>
          <w:sz w:val="19"/>
        </w:rPr>
      </w:pPr>
      <w:r>
        <w:rPr>
          <w:rFonts w:eastAsia="Times New Roman" w:cs="Times New Roman" w:ascii="Times New Roman" w:hAnsi="Times New Roman"/>
          <w:sz w:val="19"/>
        </w:rPr>
        <w:t>Bankruptcy, commission of an act of bankruptcy, the appointment of a receiver or receiver-manager with respect to the partner’s as-sets, or an assignment for the benefit of creditors or otherwise.</w:t>
      </w:r>
    </w:p>
    <w:p>
      <w:pPr>
        <w:pStyle w:val="Normal"/>
        <w:spacing w:lineRule="exact" w:line="1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8"/>
        </w:numPr>
        <w:tabs>
          <w:tab w:val="clear" w:pos="720"/>
          <w:tab w:val="left" w:pos="1620" w:leader="none"/>
        </w:tabs>
        <w:spacing w:lineRule="atLeast" w:line="0"/>
        <w:ind w:hanging="304" w:start="1620" w:end="0"/>
        <w:rPr>
          <w:rFonts w:ascii="Times New Roman" w:hAnsi="Times New Roman" w:eastAsia="Times New Roman" w:cs="Times New Roman"/>
        </w:rPr>
      </w:pPr>
      <w:r>
        <w:rPr>
          <w:rFonts w:eastAsia="Times New Roman" w:cs="Times New Roman" w:ascii="Times New Roman" w:hAnsi="Times New Roman"/>
        </w:rPr>
        <w:t>Change in control of a corporate partner.</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640" w:leader="none"/>
        </w:tabs>
        <w:spacing w:lineRule="auto" w:line="254"/>
        <w:ind w:hanging="313" w:start="1640" w:end="3360"/>
        <w:jc w:val="both"/>
        <w:rPr>
          <w:rFonts w:ascii="Times New Roman" w:hAnsi="Times New Roman" w:eastAsia="Times New Roman" w:cs="Times New Roman"/>
        </w:rPr>
      </w:pPr>
      <w:r>
        <w:rPr>
          <w:rFonts w:eastAsia="Times New Roman" w:cs="Times New Roman" w:ascii="Times New Roman" w:hAnsi="Times New Roman"/>
        </w:rPr>
        <w:t>Termination of employment, retirement or death of a partner, or of a representative of a partner which is a corporation or other legal per-son, who was employed by the partnership.</w: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640" w:leader="none"/>
        </w:tabs>
        <w:spacing w:lineRule="atLeast" w:line="0"/>
        <w:ind w:hanging="291" w:start="1640" w:end="0"/>
        <w:rPr>
          <w:rFonts w:ascii="Times New Roman" w:hAnsi="Times New Roman" w:eastAsia="Times New Roman" w:cs="Times New Roman"/>
        </w:rPr>
      </w:pPr>
      <w:r>
        <w:rPr>
          <w:rFonts w:eastAsia="Times New Roman" w:cs="Times New Roman" w:ascii="Times New Roman" w:hAnsi="Times New Roman"/>
        </w:rPr>
        <w:t>Incapacity (as defined in the agreement).</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233" w:start="1280" w:end="3360"/>
        <w:rPr>
          <w:rFonts w:ascii="Times New Roman" w:hAnsi="Times New Roman" w:eastAsia="Times New Roman" w:cs="Times New Roman"/>
        </w:rPr>
      </w:pPr>
      <w:r>
        <w:rPr>
          <w:rFonts w:eastAsia="Times New Roman" w:cs="Times New Roman" w:ascii="Times New Roman" w:hAnsi="Times New Roman"/>
        </w:rPr>
        <w:t>.2 Consequences of default (indicate if consequences differ for different types of default; indicate alternatives), such as:</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1640" w:leader="none"/>
        </w:tabs>
        <w:spacing w:lineRule="atLeast" w:line="0"/>
        <w:ind w:hanging="313" w:start="1640" w:end="0"/>
        <w:rPr>
          <w:rFonts w:ascii="Times New Roman" w:hAnsi="Times New Roman" w:eastAsia="Times New Roman" w:cs="Times New Roman"/>
        </w:rPr>
      </w:pPr>
      <w:r>
        <w:rPr>
          <w:rFonts w:eastAsia="Times New Roman" w:cs="Times New Roman" w:ascii="Times New Roman" w:hAnsi="Times New Roman"/>
        </w:rPr>
        <w:t>Dissolution.</w: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1640" w:leader="none"/>
        </w:tabs>
        <w:spacing w:lineRule="atLeast" w:line="0"/>
        <w:ind w:hanging="324" w:start="1640" w:end="0"/>
        <w:rPr>
          <w:rFonts w:ascii="Times New Roman" w:hAnsi="Times New Roman" w:eastAsia="Times New Roman" w:cs="Times New Roman"/>
        </w:rPr>
      </w:pPr>
      <w:r>
        <w:rPr>
          <w:rFonts w:eastAsia="Times New Roman" w:cs="Times New Roman" w:ascii="Times New Roman" w:hAnsi="Times New Roman"/>
        </w:rPr>
        <w:t>Other partners may waive the specific default.</w: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1640" w:leader="none"/>
        </w:tabs>
        <w:spacing w:lineRule="atLeast" w:line="0"/>
        <w:ind w:hanging="313" w:start="1640" w:end="0"/>
        <w:rPr>
          <w:rFonts w:ascii="Times New Roman" w:hAnsi="Times New Roman" w:eastAsia="Times New Roman" w:cs="Times New Roman"/>
        </w:rPr>
      </w:pPr>
      <w:r>
        <w:rPr>
          <w:rFonts w:eastAsia="Times New Roman" w:cs="Times New Roman" w:ascii="Times New Roman" w:hAnsi="Times New Roman"/>
        </w:rPr>
        <w:t>Other partners may pursue any remedy available in law or equity.</w:t>
      </w: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1640" w:leader="none"/>
        </w:tabs>
        <w:spacing w:lineRule="auto" w:line="254"/>
        <w:ind w:hanging="324" w:start="1640" w:end="3360"/>
        <w:jc w:val="both"/>
        <w:rPr>
          <w:rFonts w:ascii="Times New Roman" w:hAnsi="Times New Roman" w:eastAsia="Times New Roman" w:cs="Times New Roman"/>
        </w:rPr>
      </w:pPr>
      <w:r>
        <w:rPr>
          <w:rFonts w:eastAsia="Times New Roman" w:cs="Times New Roman" w:ascii="Times New Roman" w:hAnsi="Times New Roman"/>
        </w:rPr>
        <w:t>Other partners may take such actions as may reasonably be required to cure the default, in which case expenses shall be recoverable as provided in the agreement.</w: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9"/>
        </w:numPr>
        <w:tabs>
          <w:tab w:val="clear" w:pos="720"/>
          <w:tab w:val="left" w:pos="1640" w:leader="none"/>
        </w:tabs>
        <w:spacing w:lineRule="auto" w:line="273"/>
        <w:ind w:hanging="313" w:start="1640" w:end="3360"/>
        <w:jc w:val="both"/>
        <w:rPr>
          <w:rFonts w:ascii="Times New Roman" w:hAnsi="Times New Roman" w:eastAsia="Times New Roman" w:cs="Times New Roman"/>
          <w:sz w:val="19"/>
        </w:rPr>
      </w:pPr>
      <w:r>
        <w:rPr>
          <w:rFonts w:eastAsia="Times New Roman" w:cs="Times New Roman" w:ascii="Times New Roman" w:hAnsi="Times New Roman"/>
          <w:sz w:val="19"/>
        </w:rPr>
        <w:t>Implementation of a buy/sell procedure, whereby the defaulting partner is deemed to offer to sell all or a part of the partner’s interest to the other partners, possibly at a reasonably discounted value.</w:t>
      </w:r>
    </w:p>
    <w:p>
      <w:pPr>
        <w:pStyle w:val="Normal"/>
        <w:spacing w:lineRule="exact" w:line="214"/>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0"/>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DISSOLUTION</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8"/>
        <w:ind w:hanging="427" w:start="1000" w:end="3360"/>
        <w:rPr>
          <w:rFonts w:ascii="Times New Roman" w:hAnsi="Times New Roman" w:eastAsia="Times New Roman" w:cs="Times New Roman"/>
        </w:rPr>
      </w:pPr>
      <w:r>
        <w:rPr>
          <w:rFonts w:eastAsia="Times New Roman" w:cs="Times New Roman" w:ascii="Times New Roman" w:hAnsi="Times New Roman"/>
        </w:rPr>
        <w:t>12.1 The partnership will be dissolved in the circumstances specified (e.g., writ-ten consent of the parties, insolvency of the partnership).</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12.2 The partnership will not be dissolved in the circumstances specified.</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12.3 Procedures to be followed upon dissolution (e.g., notices to creditors).</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560" w:leader="none"/>
        </w:tabs>
        <w:spacing w:lineRule="atLeast" w:line="0"/>
        <w:ind w:hanging="460" w:start="560" w:end="0"/>
        <w:rPr>
          <w:rFonts w:ascii="Times New Roman" w:hAnsi="Times New Roman" w:eastAsia="Times New Roman" w:cs="Times New Roman"/>
          <w:b/>
        </w:rPr>
      </w:pPr>
      <w:r>
        <w:rPr>
          <w:rFonts w:eastAsia="Times New Roman" w:cs="Times New Roman" w:ascii="Times New Roman" w:hAnsi="Times New Roman"/>
          <w:b/>
        </w:rPr>
        <w:t>MISCELLANEOUS AND GENERAL PROVISIONS</w:t>
      </w:r>
    </w:p>
    <w:p>
      <w:pPr>
        <w:pStyle w:val="Normal"/>
        <w:spacing w:lineRule="exact" w:line="1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13.1 Interest rate on any funds required to be paid to other partners.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427" w:start="1000" w:end="3360"/>
        <w:jc w:val="both"/>
        <w:rPr>
          <w:rFonts w:ascii="Times New Roman" w:hAnsi="Times New Roman" w:eastAsia="Times New Roman" w:cs="Times New Roman"/>
        </w:rPr>
      </w:pPr>
      <w:r>
        <w:rPr>
          <w:rFonts w:eastAsia="Times New Roman" w:cs="Times New Roman" w:ascii="Times New Roman" w:hAnsi="Times New Roman"/>
        </w:rPr>
        <w:t>13.2 Valuation methods (e.g., to value an interest in the partnership, the purchase price in various circumstances).</w: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60"/>
        <w:jc w:val="center"/>
        <w:rPr>
          <w:rFonts w:ascii="Times New Roman" w:hAnsi="Times New Roman" w:eastAsia="Times New Roman" w:cs="Times New Roman"/>
        </w:rPr>
      </w:pPr>
      <w:r>
        <w:rPr>
          <w:rFonts w:eastAsia="Times New Roman" w:cs="Times New Roman" w:ascii="Times New Roman" w:hAnsi="Times New Roman"/>
        </w:rPr>
        <w:t>13.3 Whether insurance is to be carried by the partnership or the partners (e.g.,</w:t>
      </w:r>
    </w:p>
    <w:p>
      <w:pPr>
        <w:pStyle w:val="Normal"/>
        <w:spacing w:lineRule="atLeast" w:line="0"/>
        <w:ind w:end="3260"/>
        <w:jc w:val="center"/>
        <w:rPr>
          <w:rFonts w:ascii="Times New Roman" w:hAnsi="Times New Roman" w:eastAsia="Times New Roman" w:cs="Times New Roman"/>
        </w:rPr>
      </w:pPr>
      <w:r>
        <w:rPr>
          <w:rFonts w:eastAsia="Times New Roman" w:cs="Times New Roman" w:ascii="Times New Roman" w:hAnsi="Times New Roman"/>
        </w:rPr>
        <w:t>life insurance (see item 11.1.5), income protection, accident insurance).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427" w:start="1000" w:end="3360"/>
        <w:jc w:val="both"/>
        <w:rPr/>
      </w:pPr>
      <w:r>
        <w:rPr>
          <w:rFonts w:eastAsia="Times New Roman" w:cs="Times New Roman" w:ascii="Times New Roman" w:hAnsi="Times New Roman"/>
        </w:rPr>
        <w:t>13.4 If a partner disposes of all of the partner’s interest, in compliance with the agreement, then the partner is bound by only the rights and obligations that arose pursuant to the agreement prior to that disposition.</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13.5 Execution of further assurances.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13.6 Entire agreement.</w:t>
      </w:r>
    </w:p>
    <w:p>
      <w:pPr>
        <w:pStyle w:val="Normal"/>
        <w:spacing w:lineRule="exact" w:line="1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427" w:start="1000" w:end="3360"/>
        <w:jc w:val="both"/>
        <w:rPr>
          <w:rFonts w:ascii="Times New Roman" w:hAnsi="Times New Roman" w:eastAsia="Times New Roman" w:cs="Times New Roman"/>
        </w:rPr>
      </w:pPr>
      <w:r>
        <w:rPr>
          <w:rFonts w:eastAsia="Times New Roman" w:cs="Times New Roman" w:ascii="Times New Roman" w:hAnsi="Times New Roman"/>
        </w:rPr>
        <w:t>13.7 Amendments may be made as provided in the agreement (specify the type of amendment and the procedure that must be followed for each, particularly notice and consent requirements).</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427" w:start="1000" w:end="3360"/>
        <w:jc w:val="both"/>
        <w:rPr>
          <w:rFonts w:ascii="Times New Roman" w:hAnsi="Times New Roman" w:eastAsia="Times New Roman" w:cs="Times New Roman"/>
        </w:rPr>
      </w:pPr>
      <w:r>
        <w:rPr>
          <w:rFonts w:eastAsia="Times New Roman" w:cs="Times New Roman" w:ascii="Times New Roman" w:hAnsi="Times New Roman"/>
        </w:rPr>
        <w:t>13.8 Any provision having the effect of imposing on a limited partner the duties of a general partner shall be of no force and effect.</w:t>
      </w:r>
    </w:p>
    <w:p>
      <w:pPr>
        <w:pStyle w:val="Normal"/>
        <w:spacing w:lineRule="exact" w:line="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13.9 Severability of invalid provisions.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Times New Roman" w:hAnsi="Times New Roman" w:eastAsia="Times New Roman" w:cs="Times New Roman"/>
        </w:rPr>
      </w:pPr>
      <w:r>
        <w:rPr>
          <w:rFonts w:eastAsia="Times New Roman" w:cs="Times New Roman" w:ascii="Times New Roman" w:hAnsi="Times New Roman"/>
        </w:rPr>
        <w:t>13.10 Time is of the essence.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5">
                <wp:simplePos x="0" y="0"/>
                <wp:positionH relativeFrom="column">
                  <wp:posOffset>-13970</wp:posOffset>
                </wp:positionH>
                <wp:positionV relativeFrom="paragraph">
                  <wp:posOffset>314325</wp:posOffset>
                </wp:positionV>
                <wp:extent cx="6546850" cy="0"/>
                <wp:effectExtent l="0" t="5080" r="0" b="5080"/>
                <wp:wrapNone/>
                <wp:docPr id="24" name=""/>
                <a:graphic xmlns:a="http://schemas.openxmlformats.org/drawingml/2006/main">
                  <a:graphicData uri="http://schemas.microsoft.com/office/word/2010/wordprocessingShape">
                    <wps:wsp>
                      <wps:cNvSpPr/>
                      <wps:spPr>
                        <a:xfrm>
                          <a:off x="0" y="0"/>
                          <a:ext cx="6546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pt,24.75pt" to="514.35pt,24.7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80" w:leader="none"/>
        </w:tabs>
        <w:spacing w:lineRule="atLeast" w:line="0"/>
        <w:ind w:start="100" w:end="0"/>
        <w:rPr/>
      </w:pPr>
      <w:r>
        <w:rPr>
          <w:rFonts w:eastAsia="Times New Roman" w:cs="Times New Roman" w:ascii="Times New Roman" w:hAnsi="Times New Roman"/>
          <w:sz w:val="22"/>
        </w:rPr>
        <w:t>B-9-8</w:t>
      </w:r>
      <w:r>
        <w:rPr>
          <w:rFonts w:eastAsia="Times New Roman" w:cs="Times New Roman" w:ascii="Times New Roman" w:hAnsi="Times New Roman"/>
        </w:rPr>
        <w:tab/>
      </w:r>
      <w:r>
        <w:rPr>
          <w:rFonts w:eastAsia="Times New Roman" w:cs="Times New Roman" w:ascii="Times New Roman" w:hAnsi="Times New Roman"/>
          <w:sz w:val="21"/>
        </w:rPr>
        <w:t>11/16</w:t>
      </w:r>
    </w:p>
    <w:p>
      <w:pPr>
        <w:sectPr>
          <w:type w:val="continuous"/>
          <w:pgSz w:w="12240" w:h="15840"/>
          <w:pgMar w:left="620" w:right="1340" w:gutter="0" w:header="0" w:top="340" w:footer="0" w:bottom="0"/>
          <w:formProt w:val="false"/>
          <w:textDirection w:val="lrTb"/>
          <w:docGrid w:type="default" w:linePitch="360" w:charSpace="0"/>
        </w:sectPr>
      </w:pPr>
    </w:p>
    <w:p>
      <w:pPr>
        <w:pStyle w:val="Normal"/>
        <w:tabs>
          <w:tab w:val="clear" w:pos="720"/>
          <w:tab w:val="left" w:pos="6980" w:leader="none"/>
        </w:tabs>
        <w:spacing w:lineRule="atLeast" w:line="0"/>
        <w:rPr/>
      </w:pPr>
      <w:bookmarkStart w:id="8" w:name="page9"/>
      <w:bookmarkEnd w:id="8"/>
      <w:r>
        <w:rPr>
          <w:rFonts w:eastAsia="Times New Roman" w:cs="Times New Roman" w:ascii="Times New Roman" w:hAnsi="Times New Roman"/>
          <w:b/>
          <w:sz w:val="22"/>
        </w:rPr>
        <w:t>LAW SOCIETY OF BRITISH COLUMBIA</w:t>
      </w:r>
      <w:r>
        <w:rPr>
          <w:rFonts w:eastAsia="Times New Roman" w:cs="Times New Roman" w:ascii="Times New Roman" w:hAnsi="Times New Roman"/>
        </w:rPr>
        <w:tab/>
      </w:r>
      <w:r>
        <w:rPr>
          <w:rFonts w:eastAsia="Times New Roman" w:cs="Times New Roman" w:ascii="Times New Roman" w:hAnsi="Times New Roman"/>
          <w:b/>
          <w:sz w:val="22"/>
        </w:rPr>
        <w:t>PARTNERSHIP AGREEMENT</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880" w:leader="none"/>
        </w:tabs>
        <w:spacing w:lineRule="atLeast" w:line="0"/>
        <w:rPr/>
      </w:pPr>
      <w:r>
        <w:rPr>
          <w:rFonts w:eastAsia="Times New Roman" w:cs="Times New Roman" w:ascii="Times New Roman" w:hAnsi="Times New Roman"/>
          <w:b/>
          <w:sz w:val="22"/>
        </w:rPr>
        <w:t>PRACTICE CHECKLISTS MANUAL</w:t>
      </w:r>
      <w:r>
        <w:rPr>
          <w:rFonts w:eastAsia="Times New Roman" w:cs="Times New Roman" w:ascii="Times New Roman" w:hAnsi="Times New Roman"/>
        </w:rPr>
        <w:tab/>
      </w:r>
      <w:r>
        <w:rPr>
          <w:rFonts w:eastAsia="Times New Roman" w:cs="Times New Roman" w:ascii="Times New Roman" w:hAnsi="Times New Roman"/>
          <w:b/>
          <w:sz w:val="22"/>
        </w:rPr>
        <w:t>DRAFTING</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drawing>
          <wp:anchor behindDoc="1" distT="0" distB="0" distL="114935" distR="114935" simplePos="0" locked="0" layoutInCell="1" allowOverlap="1" relativeHeight="26">
            <wp:simplePos x="0" y="0"/>
            <wp:positionH relativeFrom="column">
              <wp:posOffset>-77470</wp:posOffset>
            </wp:positionH>
            <wp:positionV relativeFrom="paragraph">
              <wp:posOffset>238125</wp:posOffset>
            </wp:positionV>
            <wp:extent cx="6547485" cy="8659495"/>
            <wp:effectExtent l="0" t="0" r="0" b="0"/>
            <wp:wrapNone/>
            <wp:docPr id="2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 descr="" title=""/>
                    <pic:cNvPicPr>
                      <a:picLocks noChangeAspect="1" noChangeArrowheads="1"/>
                    </pic:cNvPicPr>
                  </pic:nvPicPr>
                  <pic:blipFill>
                    <a:blip r:embed="rId14"/>
                    <a:srcRect l="-3" t="-2" r="-3" b="-2"/>
                    <a:stretch>
                      <a:fillRect/>
                    </a:stretch>
                  </pic:blipFill>
                  <pic:spPr bwMode="auto">
                    <a:xfrm>
                      <a:off x="0" y="0"/>
                      <a:ext cx="6547485" cy="8659495"/>
                    </a:xfrm>
                    <a:prstGeom prst="rect">
                      <a:avLst/>
                    </a:prstGeom>
                  </pic:spPr>
                </pic:pic>
              </a:graphicData>
            </a:graphic>
          </wp:anchor>
        </w:drawing>
      </w:r>
    </w:p>
    <w:p>
      <w:pPr>
        <w:sectPr>
          <w:type w:val="nextPage"/>
          <w:pgSz w:w="12240" w:h="15840"/>
          <w:pgMar w:left="1440" w:right="720" w:gutter="0" w:header="0" w:top="3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00" w:end="0"/>
        <w:rPr>
          <w:rFonts w:ascii="Arial" w:hAnsi="Arial" w:eastAsia="Arial" w:cs="Arial"/>
          <w:sz w:val="16"/>
        </w:rPr>
      </w:pPr>
      <w:r>
        <w:rPr>
          <w:rFonts w:eastAsia="Arial" w:cs="Arial" w:ascii="Arial" w:hAnsi="Arial"/>
          <w:sz w:val="16"/>
        </w:rPr>
        <w:t>PROVISIONS TO BE CONSIDERED</w:t>
      </w:r>
    </w:p>
    <w:p>
      <w:pPr>
        <w:pStyle w:val="Normal"/>
        <w:spacing w:lineRule="exact" w:line="2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4"/>
        <w:ind w:hanging="524" w:start="900" w:end="740"/>
        <w:jc w:val="both"/>
        <w:rPr>
          <w:rFonts w:ascii="Times New Roman" w:hAnsi="Times New Roman" w:eastAsia="Times New Roman" w:cs="Times New Roman"/>
        </w:rPr>
      </w:pPr>
      <w:r>
        <w:rPr>
          <w:rFonts w:eastAsia="Times New Roman" w:cs="Times New Roman" w:ascii="Times New Roman" w:hAnsi="Times New Roman"/>
        </w:rPr>
        <w:t>13.11 Failure to insist upon strict performance of any provision of the agreement shall not prevent a subsequent violation of the agreement from having the effect of an original violation.</w:t>
      </w:r>
    </w:p>
    <w:p>
      <w:pPr>
        <w:pStyle w:val="Normal"/>
        <w:spacing w:lineRule="exact" w:line="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Times New Roman" w:hAnsi="Times New Roman" w:eastAsia="Times New Roman" w:cs="Times New Roman"/>
        </w:rPr>
      </w:pPr>
      <w:r>
        <w:rPr>
          <w:rFonts w:eastAsia="Times New Roman" w:cs="Times New Roman" w:ascii="Times New Roman" w:hAnsi="Times New Roman"/>
        </w:rPr>
        <w:t>13.12 Notices:</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.1 Addresses for service.</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.2 Prepaid registered mail, facsimile, email, or other arrangement.</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40" w:end="0"/>
        <w:rPr>
          <w:rFonts w:ascii="Times New Roman" w:hAnsi="Times New Roman" w:eastAsia="Times New Roman" w:cs="Times New Roman"/>
        </w:rPr>
      </w:pPr>
      <w:r>
        <w:rPr>
          <w:rFonts w:eastAsia="Times New Roman" w:cs="Times New Roman" w:ascii="Times New Roman" w:hAnsi="Times New Roman"/>
        </w:rPr>
        <w:t>.3 Deemed date of receipt, including effect of any postal strike.</w: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hanging="524" w:start="900" w:end="740"/>
        <w:jc w:val="both"/>
        <w:rPr/>
      </w:pPr>
      <w:r>
        <w:rPr>
          <w:rFonts w:eastAsia="Times New Roman" w:cs="Times New Roman" w:ascii="Times New Roman" w:hAnsi="Times New Roman"/>
        </w:rPr>
        <w:t>13.13 Dispute resolution, with initial reference to parties’ executives and discre-tion (or not) to elect mediation, arbitration, or recourse to the courts. (The first Protocol of Amendment to the NWPTA was signed on January 6, 2015, resulting in amendments that clarify labour mobility language and dispute resolution provisions.)</w: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Times New Roman" w:hAnsi="Times New Roman" w:eastAsia="Times New Roman" w:cs="Times New Roman"/>
        </w:rPr>
      </w:pPr>
      <w:r>
        <w:rPr>
          <w:rFonts w:eastAsia="Times New Roman" w:cs="Times New Roman" w:ascii="Times New Roman" w:hAnsi="Times New Roman"/>
        </w:rPr>
        <w:t>13.14 Binding on heirs and executors, successors and assigns.</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524" w:start="900" w:end="740"/>
        <w:jc w:val="both"/>
        <w:rPr>
          <w:rFonts w:ascii="Times New Roman" w:hAnsi="Times New Roman" w:eastAsia="Times New Roman" w:cs="Times New Roman"/>
        </w:rPr>
      </w:pPr>
      <w:r>
        <w:rPr>
          <w:rFonts w:eastAsia="Times New Roman" w:cs="Times New Roman" w:ascii="Times New Roman" w:hAnsi="Times New Roman"/>
        </w:rPr>
        <w:t>13.15 Validity of counterparts, execution by facsimile or other specified electronic means, and other adopting instruments.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NOTES</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7">
            <wp:simplePos x="0" y="0"/>
            <wp:positionH relativeFrom="column">
              <wp:posOffset>-852170</wp:posOffset>
            </wp:positionH>
            <wp:positionV relativeFrom="paragraph">
              <wp:posOffset>59690</wp:posOffset>
            </wp:positionV>
            <wp:extent cx="2072005" cy="9525"/>
            <wp:effectExtent l="0" t="0" r="0" b="0"/>
            <wp:wrapNone/>
            <wp:docPr id="2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 descr="" title=""/>
                    <pic:cNvPicPr>
                      <a:picLocks noChangeAspect="1" noChangeArrowheads="1"/>
                    </pic:cNvPicPr>
                  </pic:nvPicPr>
                  <pic:blipFill>
                    <a:blip r:embed="rId15"/>
                    <a:srcRect l="-9" t="-1887" r="-9" b="-1887"/>
                    <a:stretch>
                      <a:fillRect/>
                    </a:stretch>
                  </pic:blipFill>
                  <pic:spPr bwMode="auto">
                    <a:xfrm>
                      <a:off x="0" y="0"/>
                      <a:ext cx="2072005" cy="9525"/>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-852170</wp:posOffset>
            </wp:positionH>
            <wp:positionV relativeFrom="paragraph">
              <wp:posOffset>8403590</wp:posOffset>
            </wp:positionV>
            <wp:extent cx="2064385" cy="9525"/>
            <wp:effectExtent l="0" t="0" r="0" b="0"/>
            <wp:wrapNone/>
            <wp:docPr id="2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5" descr="" title=""/>
                    <pic:cNvPicPr>
                      <a:picLocks noChangeAspect="1" noChangeArrowheads="1"/>
                    </pic:cNvPicPr>
                  </pic:nvPicPr>
                  <pic:blipFill>
                    <a:blip r:embed="rId16"/>
                    <a:srcRect l="-9" t="-1887" r="-9" b="-1887"/>
                    <a:stretch>
                      <a:fillRect/>
                    </a:stretch>
                  </pic:blipFill>
                  <pic:spPr bwMode="auto">
                    <a:xfrm>
                      <a:off x="0" y="0"/>
                      <a:ext cx="2064385" cy="9525"/>
                    </a:xfrm>
                    <a:prstGeom prst="rect">
                      <a:avLst/>
                    </a:prstGeom>
                  </pic:spPr>
                </pic:pic>
              </a:graphicData>
            </a:graphic>
          </wp:anchor>
        </w:drawing>
      </w:r>
    </w:p>
    <w:p>
      <w:pPr>
        <w:sectPr>
          <w:type w:val="continuous"/>
          <w:pgSz w:w="12240" w:h="15840"/>
          <w:pgMar w:left="1440" w:right="720" w:gutter="0" w:header="0" w:top="340" w:footer="0" w:bottom="0"/>
          <w:cols w:num="2" w:equalWidth="false" w:sep="false">
            <w:col w:w="7560" w:space="720"/>
            <w:col w:w="18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560" w:leader="none"/>
        </w:tabs>
        <w:spacing w:lineRule="atLeast" w:line="0"/>
        <w:rPr/>
      </w:pPr>
      <w:r>
        <w:rPr>
          <w:rFonts w:eastAsia="Times New Roman" w:cs="Times New Roman" w:ascii="Times New Roman" w:hAnsi="Times New Roman"/>
          <w:sz w:val="21"/>
        </w:rPr>
        <w:t>11/16</w:t>
      </w:r>
      <w:r>
        <w:rPr>
          <w:rFonts w:eastAsia="Times New Roman" w:cs="Times New Roman" w:ascii="Times New Roman" w:hAnsi="Times New Roman"/>
        </w:rPr>
        <w:tab/>
      </w:r>
      <w:r>
        <w:rPr>
          <w:rFonts w:eastAsia="Times New Roman" w:cs="Times New Roman" w:ascii="Times New Roman" w:hAnsi="Times New Roman"/>
          <w:sz w:val="21"/>
        </w:rPr>
        <w:t>B-9-9</w:t>
      </w:r>
    </w:p>
    <w:sectPr>
      <w:type w:val="continuous"/>
      <w:pgSz w:w="12240" w:h="15840"/>
      <w:pgMar w:left="1440" w:right="720" w:gutter="0" w:header="0" w:top="3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7"/>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2"/>
      <w:numFmt w:val="lowerLetter"/>
      <w:lvlText w:val="(%1)"/>
      <w:lvlJc w:val="start"/>
      <w:pPr>
        <w:tabs>
          <w:tab w:val="num" w:pos="0"/>
        </w:tabs>
        <w:ind w:start="0" w:hanging="0"/>
      </w:pPr>
    </w:lvl>
  </w:abstractNum>
  <w:abstractNum w:abstractNumId="10">
    <w:lvl w:ilvl="0">
      <w:start w:val="1"/>
      <w:numFmt w:val="lowerLetter"/>
      <w:lvlText w:val="(%1)"/>
      <w:lvlJc w:val="start"/>
      <w:pPr>
        <w:tabs>
          <w:tab w:val="num" w:pos="0"/>
        </w:tabs>
        <w:ind w:start="0" w:hanging="0"/>
      </w:pPr>
    </w:lvl>
  </w:abstractNum>
  <w:abstractNum w:abstractNumId="11">
    <w:lvl w:ilvl="0">
      <w:start w:val="8"/>
      <w:numFmt w:val="decimal"/>
      <w:lvlText w:val="%1."/>
      <w:lvlJc w:val="start"/>
      <w:pPr>
        <w:tabs>
          <w:tab w:val="num" w:pos="0"/>
        </w:tabs>
        <w:ind w:start="0" w:hanging="0"/>
      </w:pPr>
    </w:lvl>
  </w:abstractNum>
  <w:abstractNum w:abstractNumId="12">
    <w:lvl w:ilvl="0">
      <w:start w:val="1"/>
      <w:numFmt w:val="lowerLetter"/>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9"/>
      <w:numFmt w:val="decimal"/>
      <w:lvlText w:val="%1."/>
      <w:lvlJc w:val="start"/>
      <w:pPr>
        <w:tabs>
          <w:tab w:val="num" w:pos="0"/>
        </w:tabs>
        <w:ind w:start="0" w:hanging="0"/>
      </w:pPr>
    </w:lvl>
  </w:abstractNum>
  <w:abstractNum w:abstractNumId="15">
    <w:lvl w:ilvl="0">
      <w:start w:val="10"/>
      <w:numFmt w:val="decimal"/>
      <w:lvlText w:val="%1."/>
      <w:lvlJc w:val="start"/>
      <w:pPr>
        <w:tabs>
          <w:tab w:val="num" w:pos="0"/>
        </w:tabs>
        <w:ind w:start="0" w:hanging="0"/>
      </w:pPr>
    </w:lvl>
  </w:abstractNum>
  <w:abstractNum w:abstractNumId="16">
    <w:lvl w:ilvl="0">
      <w:start w:val="11"/>
      <w:numFmt w:val="decimal"/>
      <w:lvlText w:val="%1."/>
      <w:lvlJc w:val="start"/>
      <w:pPr>
        <w:tabs>
          <w:tab w:val="num" w:pos="0"/>
        </w:tabs>
        <w:ind w:start="0" w:hanging="0"/>
      </w:pPr>
    </w:lvl>
  </w:abstractNum>
  <w:abstractNum w:abstractNumId="17">
    <w:lvl w:ilvl="0">
      <w:start w:val="1"/>
      <w:numFmt w:val="lowerLetter"/>
      <w:lvlText w:val="(%1)"/>
      <w:lvlJc w:val="start"/>
      <w:pPr>
        <w:tabs>
          <w:tab w:val="num" w:pos="0"/>
        </w:tabs>
        <w:ind w:start="0" w:hanging="0"/>
      </w:pPr>
    </w:lvl>
  </w:abstractNum>
  <w:abstractNum w:abstractNumId="18">
    <w:lvl w:ilvl="0">
      <w:start w:val="3"/>
      <w:numFmt w:val="lowerLetter"/>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2"/>
      <w:numFmt w:val="decimal"/>
      <w:lvlText w:val="%1."/>
      <w:lvlJc w:val="start"/>
      <w:pPr>
        <w:tabs>
          <w:tab w:val="num" w:pos="0"/>
        </w:tabs>
        <w:ind w:start="0" w:hanging="0"/>
      </w:pPr>
    </w:lvl>
  </w:abstractNum>
  <w:abstractNum w:abstractNumId="21">
    <w:lvl w:ilvl="0">
      <w:start w:val="13"/>
      <w:numFmt w:val="decimal"/>
      <w:lvlText w:val="%1."/>
      <w:lvlJc w:val="start"/>
      <w:pPr>
        <w:tabs>
          <w:tab w:val="num" w:pos="0"/>
        </w:tabs>
        <w:ind w:start="0" w:hanging="0"/>
      </w:pPr>
    </w:lvl>
  </w:abstractNum>
  <w:abstractNum w:abstractNumId="2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5.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6.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14</Pages>
  <Words>3314</Words>
  <Characters>18631</Characters>
  <CharactersWithSpaces>21660</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