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7040" w:end="0"/>
        <w:jc w:val="center"/>
        <w:rPr>
          <w:rFonts w:ascii="Times New Roman" w:hAnsi="Times New Roman" w:eastAsia="Times New Roman" w:cs="Times New Roman"/>
          <w:sz w:val="18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sz w:val="18"/>
        </w:rPr>
        <w:t>Sample Document</w:t>
      </w:r>
    </w:p>
    <w:p>
      <w:pPr>
        <w:pStyle w:val="Normal"/>
        <w:spacing w:lineRule="exact" w:line="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end"/>
        <w:rPr>
          <w:rFonts w:ascii="Franklin Gothic Heavy" w:hAnsi="Franklin Gothic Heavy" w:eastAsia="Franklin Gothic Heavy" w:cs="Franklin Gothic Heavy"/>
          <w:b/>
          <w:sz w:val="36"/>
          <w:u w:val="single"/>
        </w:rPr>
      </w:pPr>
      <w:r>
        <w:rPr>
          <w:rFonts w:eastAsia="Franklin Gothic Heavy" w:cs="Franklin Gothic Heavy" w:ascii="Franklin Gothic Heavy" w:hAnsi="Franklin Gothic Heavy"/>
          <w:b/>
          <w:sz w:val="36"/>
          <w:u w:val="single"/>
        </w:rPr>
        <w:t>THE BALANCE SHEET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4470400</wp:posOffset>
                </wp:positionH>
                <wp:positionV relativeFrom="paragraph">
                  <wp:posOffset>-252730</wp:posOffset>
                </wp:positionV>
                <wp:extent cx="2235200" cy="0"/>
                <wp:effectExtent l="0" t="3175" r="0" b="317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2pt,-19.9pt" to="527.95pt,-19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firstLine="295" w:end="300"/>
        <w:rPr/>
      </w:pPr>
      <w:r>
        <w:rPr>
          <w:rFonts w:eastAsia="Times New Roman" w:cs="Times New Roman" w:ascii="Times New Roman" w:hAnsi="Times New Roman"/>
          <w:sz w:val="18"/>
        </w:rPr>
        <w:t>The Balance Sheet is a measure of the solvency of the business, and the degree of the owner’s investment which, in the last analysis, is the “cushion” that protects creditors. Illustrated below is a typical balance sheet format (applicable to any type of business).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Name of Company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958850</wp:posOffset>
                </wp:positionH>
                <wp:positionV relativeFrom="paragraph">
                  <wp:posOffset>-31115</wp:posOffset>
                </wp:positionV>
                <wp:extent cx="5746750" cy="0"/>
                <wp:effectExtent l="0" t="3175" r="0" b="317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5.5pt,-2.45pt" to="527.95pt,-2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Address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457200</wp:posOffset>
                </wp:positionH>
                <wp:positionV relativeFrom="paragraph">
                  <wp:posOffset>-31115</wp:posOffset>
                </wp:positionV>
                <wp:extent cx="624840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-2.45pt" to="527.95pt,-2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To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158750</wp:posOffset>
                </wp:positionH>
                <wp:positionV relativeFrom="paragraph">
                  <wp:posOffset>-31115</wp:posOffset>
                </wp:positionV>
                <wp:extent cx="2527300" cy="0"/>
                <wp:effectExtent l="0" t="3175" r="0" b="317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.5pt,-2.45pt" to="211.45pt,-2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79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00"/>
        <w:gridCol w:w="360"/>
        <w:gridCol w:w="1300"/>
        <w:gridCol w:w="320"/>
        <w:gridCol w:w="560"/>
        <w:gridCol w:w="1880"/>
        <w:gridCol w:w="260"/>
        <w:gridCol w:w="260"/>
        <w:gridCol w:w="920"/>
        <w:gridCol w:w="23"/>
        <w:gridCol w:w="237"/>
        <w:gridCol w:w="23"/>
        <w:gridCol w:w="137"/>
        <w:gridCol w:w="260"/>
      </w:tblGrid>
      <w:tr>
        <w:trPr>
          <w:trHeight w:val="157" w:hRule="atLeast"/>
        </w:trPr>
        <w:tc>
          <w:tcPr>
            <w:tcW w:w="170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Balance Sheet As Of</w:t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20</w:t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88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34" w:hRule="atLeast"/>
        </w:trPr>
        <w:tc>
          <w:tcPr>
            <w:tcW w:w="17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456" w:hRule="atLeast"/>
        </w:trPr>
        <w:tc>
          <w:tcPr>
            <w:tcW w:w="20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Franklin Gothic Heavy" w:hAnsi="Franklin Gothic Heavy" w:eastAsia="Franklin Gothic Heavy" w:cs="Franklin Gothic Heavy"/>
                <w:b/>
                <w:sz w:val="18"/>
              </w:rPr>
            </w:pPr>
            <w:r>
              <w:rPr>
                <w:rFonts w:eastAsia="Franklin Gothic Heavy" w:cs="Franklin Gothic Heavy" w:ascii="Franklin Gothic Heavy" w:hAnsi="Franklin Gothic Heavy"/>
                <w:b/>
                <w:sz w:val="18"/>
              </w:rPr>
              <w:t>CURRENT ASSETS:</w:t>
            </w:r>
          </w:p>
        </w:tc>
        <w:tc>
          <w:tcPr>
            <w:tcW w:w="40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Cash on Hand and in Banks ...........................</w:t>
            </w:r>
          </w:p>
        </w:tc>
        <w:tc>
          <w:tcPr>
            <w:tcW w:w="260" w:type="dxa"/>
            <w:vMerge w:val="restart"/>
            <w:tcBorders/>
          </w:tcPr>
          <w:p>
            <w:pPr>
              <w:pStyle w:val="Normal"/>
              <w:spacing w:lineRule="atLeast" w:line="0"/>
              <w:ind w:end="1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$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4" w:hRule="atLeast"/>
        </w:trPr>
        <w:tc>
          <w:tcPr>
            <w:tcW w:w="20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0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320" w:type="dxa"/>
            <w:gridSpan w:val="5"/>
            <w:tcBorders/>
          </w:tcPr>
          <w:p>
            <w:pPr>
              <w:pStyle w:val="Normal"/>
              <w:spacing w:lineRule="atLeast" w:line="0"/>
              <w:ind w:end="23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Accounts Receivable .......................................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30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..................................•NotesReceivable,Trade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0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6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Notes Receivable, Other ..................................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3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32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3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Inventory ........................................................</w:t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30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32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1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32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9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32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ind w:end="23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Marketable Securities .....................................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32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9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32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ind w:end="23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Other Current Assets ......................................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32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60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4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Franklin Gothic Heavy" w:hAnsi="Franklin Gothic Heavy" w:eastAsia="Franklin Gothic Heavy" w:cs="Franklin Gothic Heavy"/>
                <w:b/>
                <w:sz w:val="18"/>
              </w:rPr>
            </w:pPr>
            <w:r>
              <w:rPr>
                <w:rFonts w:eastAsia="Franklin Gothic Heavy" w:cs="Franklin Gothic Heavy" w:ascii="Franklin Gothic Heavy" w:hAnsi="Franklin Gothic Heavy"/>
                <w:b/>
                <w:sz w:val="18"/>
              </w:rPr>
              <w:t>Total Current Assets:</w:t>
            </w:r>
          </w:p>
        </w:tc>
        <w:tc>
          <w:tcPr>
            <w:tcW w:w="186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$</w:t>
            </w:r>
          </w:p>
        </w:tc>
      </w:tr>
      <w:tr>
        <w:trPr>
          <w:trHeight w:val="206" w:hRule="atLeast"/>
        </w:trPr>
        <w:tc>
          <w:tcPr>
            <w:tcW w:w="20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Franklin Gothic Heavy" w:hAnsi="Franklin Gothic Heavy" w:eastAsia="Franklin Gothic Heavy" w:cs="Franklin Gothic Heavy"/>
                <w:b/>
                <w:sz w:val="18"/>
              </w:rPr>
            </w:pPr>
            <w:r>
              <w:rPr>
                <w:rFonts w:eastAsia="Franklin Gothic Heavy" w:cs="Franklin Gothic Heavy" w:ascii="Franklin Gothic Heavy" w:hAnsi="Franklin Gothic Heavy"/>
                <w:b/>
                <w:sz w:val="18"/>
              </w:rPr>
              <w:t>LONG-TERM ASSETS:</w:t>
            </w:r>
          </w:p>
        </w:tc>
        <w:tc>
          <w:tcPr>
            <w:tcW w:w="432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ind w:end="23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Real Estate......................................................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34" w:hRule="atLeast"/>
        </w:trPr>
        <w:tc>
          <w:tcPr>
            <w:tcW w:w="20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32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1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9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Machinery &amp; Equipment .................................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0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6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Other Assets (attach list if needed) .................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30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...........•Deferred,Prepaid,IntangibleExpenses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70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44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Franklin Gothic Heavy" w:hAnsi="Franklin Gothic Heavy" w:eastAsia="Franklin Gothic Heavy" w:cs="Franklin Gothic Heavy"/>
                <w:b/>
                <w:sz w:val="18"/>
              </w:rPr>
            </w:pPr>
            <w:r>
              <w:rPr>
                <w:rFonts w:eastAsia="Franklin Gothic Heavy" w:cs="Franklin Gothic Heavy" w:ascii="Franklin Gothic Heavy" w:hAnsi="Franklin Gothic Heavy"/>
                <w:b/>
                <w:sz w:val="18"/>
              </w:rPr>
              <w:t>Total Long-Term Assets:</w:t>
            </w:r>
          </w:p>
        </w:tc>
        <w:tc>
          <w:tcPr>
            <w:tcW w:w="186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$</w:t>
            </w:r>
          </w:p>
        </w:tc>
      </w:tr>
      <w:tr>
        <w:trPr>
          <w:trHeight w:val="260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Franklin Gothic Heavy" w:hAnsi="Franklin Gothic Heavy" w:eastAsia="Franklin Gothic Heavy" w:cs="Franklin Gothic Heavy"/>
                <w:b/>
                <w:sz w:val="18"/>
              </w:rPr>
            </w:pPr>
            <w:r>
              <w:rPr>
                <w:rFonts w:eastAsia="Franklin Gothic Heavy" w:cs="Franklin Gothic Heavy" w:ascii="Franklin Gothic Heavy" w:hAnsi="Franklin Gothic Heavy"/>
                <w:b/>
                <w:sz w:val="18"/>
              </w:rPr>
              <w:t>Total Assets:</w:t>
            </w:r>
          </w:p>
        </w:tc>
        <w:tc>
          <w:tcPr>
            <w:tcW w:w="186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$</w:t>
            </w:r>
          </w:p>
        </w:tc>
      </w:tr>
      <w:tr>
        <w:trPr>
          <w:trHeight w:val="196" w:hRule="atLeast"/>
        </w:trPr>
        <w:tc>
          <w:tcPr>
            <w:tcW w:w="20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Franklin Gothic Heavy" w:hAnsi="Franklin Gothic Heavy" w:eastAsia="Franklin Gothic Heavy" w:cs="Franklin Gothic Heavy"/>
                <w:b/>
                <w:sz w:val="18"/>
              </w:rPr>
            </w:pPr>
            <w:r>
              <w:rPr>
                <w:rFonts w:eastAsia="Franklin Gothic Heavy" w:cs="Franklin Gothic Heavy" w:ascii="Franklin Gothic Heavy" w:hAnsi="Franklin Gothic Heavy"/>
                <w:b/>
                <w:sz w:val="18"/>
              </w:rPr>
              <w:t>CURRENT LIABILITIES:</w:t>
            </w:r>
          </w:p>
        </w:tc>
        <w:tc>
          <w:tcPr>
            <w:tcW w:w="40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Notes Payable, Banks......................................</w:t>
            </w:r>
          </w:p>
        </w:tc>
        <w:tc>
          <w:tcPr>
            <w:tcW w:w="260" w:type="dxa"/>
            <w:vMerge w:val="restart"/>
            <w:tcBorders/>
          </w:tcPr>
          <w:p>
            <w:pPr>
              <w:pStyle w:val="Normal"/>
              <w:spacing w:lineRule="atLeast" w:line="0"/>
              <w:ind w:end="1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$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4" w:hRule="atLeast"/>
        </w:trPr>
        <w:tc>
          <w:tcPr>
            <w:tcW w:w="20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6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32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ind w:end="23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Notes Payable, Other .......................................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32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9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Accounts Payable, Current .............................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9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Accounts Payable, Past Due ............................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9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Accrued Federal, State Income Taxes ..............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9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Other Accrued Expenses .................................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9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Current Portion Long-Term Debt ....................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3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97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Other Current Liabilities .................................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3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61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4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Franklin Gothic Heavy" w:hAnsi="Franklin Gothic Heavy" w:eastAsia="Franklin Gothic Heavy" w:cs="Franklin Gothic Heavy"/>
                <w:b/>
                <w:sz w:val="18"/>
              </w:rPr>
            </w:pPr>
            <w:r>
              <w:rPr>
                <w:rFonts w:eastAsia="Franklin Gothic Heavy" w:cs="Franklin Gothic Heavy" w:ascii="Franklin Gothic Heavy" w:hAnsi="Franklin Gothic Heavy"/>
                <w:b/>
                <w:sz w:val="18"/>
              </w:rPr>
              <w:t>Total Current Liabilities:</w:t>
            </w:r>
          </w:p>
        </w:tc>
        <w:tc>
          <w:tcPr>
            <w:tcW w:w="186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$</w:t>
            </w:r>
          </w:p>
        </w:tc>
      </w:tr>
      <w:tr>
        <w:trPr>
          <w:trHeight w:val="196" w:hRule="atLeast"/>
        </w:trPr>
        <w:tc>
          <w:tcPr>
            <w:tcW w:w="6120" w:type="dxa"/>
            <w:gridSpan w:val="6"/>
            <w:vMerge w:val="restart"/>
            <w:tcBorders/>
          </w:tcPr>
          <w:p>
            <w:pPr>
              <w:pStyle w:val="Normal"/>
              <w:spacing w:lineRule="exact" w:line="314"/>
              <w:rPr/>
            </w:pPr>
            <w:r>
              <w:rPr>
                <w:rFonts w:eastAsia="Franklin Gothic Heavy" w:cs="Franklin Gothic Heavy" w:ascii="Franklin Gothic Heavy" w:hAnsi="Franklin Gothic Heavy"/>
                <w:b/>
                <w:w w:val="70"/>
                <w:sz w:val="32"/>
                <w:vertAlign w:val="subscript"/>
              </w:rPr>
              <w:t>LONG-TERM LIABILITIES:</w:t>
            </w:r>
            <w:r>
              <w:rPr>
                <w:rFonts w:eastAsia="Times New Roman" w:cs="Times New Roman" w:ascii="Times New Roman" w:hAnsi="Times New Roman"/>
                <w:w w:val="70"/>
                <w:sz w:val="32"/>
                <w:vertAlign w:val="subscript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w w:val="70"/>
                <w:sz w:val="32"/>
              </w:rPr>
              <w:t>• Mortgage Debt due after 1 year .......................</w:t>
            </w:r>
          </w:p>
        </w:tc>
        <w:tc>
          <w:tcPr>
            <w:tcW w:w="260" w:type="dxa"/>
            <w:vMerge w:val="restart"/>
            <w:tcBorders/>
          </w:tcPr>
          <w:p>
            <w:pPr>
              <w:pStyle w:val="Normal"/>
              <w:spacing w:lineRule="atLeast" w:line="0"/>
              <w:ind w:end="1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$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98" w:hRule="atLeast"/>
        </w:trPr>
        <w:tc>
          <w:tcPr>
            <w:tcW w:w="612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42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60" w:type="dxa"/>
            <w:gridSpan w:val="4"/>
            <w:vMerge w:val="restart"/>
            <w:tcBorders/>
          </w:tcPr>
          <w:p>
            <w:pPr>
              <w:pStyle w:val="Normal"/>
              <w:spacing w:lineRule="exact" w:line="206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Equipment Debt due after 1 year ....................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9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32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ind w:end="23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Other Long-Term Debt ....................................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32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60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4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Franklin Gothic Heavy" w:hAnsi="Franklin Gothic Heavy" w:eastAsia="Franklin Gothic Heavy" w:cs="Franklin Gothic Heavy"/>
                <w:b/>
                <w:sz w:val="18"/>
              </w:rPr>
            </w:pPr>
            <w:r>
              <w:rPr>
                <w:rFonts w:eastAsia="Franklin Gothic Heavy" w:cs="Franklin Gothic Heavy" w:ascii="Franklin Gothic Heavy" w:hAnsi="Franklin Gothic Heavy"/>
                <w:b/>
                <w:sz w:val="18"/>
              </w:rPr>
              <w:t>Total Long-Term Liabilities:</w:t>
            </w:r>
          </w:p>
        </w:tc>
        <w:tc>
          <w:tcPr>
            <w:tcW w:w="186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$</w:t>
            </w:r>
          </w:p>
        </w:tc>
      </w:tr>
      <w:tr>
        <w:trPr>
          <w:trHeight w:val="19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Capital Account (Corporate Only)....................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9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32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ind w:end="23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Preferred Stock................................................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32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9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32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ind w:end="23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Common Stock ................................................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32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8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32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ind w:end="23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Capital Surplus...............................................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5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32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1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196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32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ind w:end="23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sz w:val="18"/>
              </w:rPr>
              <w:t>Retained Earnings ..........................................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7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32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60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Franklin Gothic Heavy" w:hAnsi="Franklin Gothic Heavy" w:eastAsia="Franklin Gothic Heavy" w:cs="Franklin Gothic Heavy"/>
                <w:b/>
                <w:sz w:val="18"/>
              </w:rPr>
            </w:pPr>
            <w:r>
              <w:rPr>
                <w:rFonts w:eastAsia="Franklin Gothic Heavy" w:cs="Franklin Gothic Heavy" w:ascii="Franklin Gothic Heavy" w:hAnsi="Franklin Gothic Heavy"/>
                <w:b/>
                <w:sz w:val="18"/>
              </w:rPr>
              <w:t>Total Net Worth:</w:t>
            </w:r>
          </w:p>
        </w:tc>
        <w:tc>
          <w:tcPr>
            <w:tcW w:w="186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$</w:t>
            </w:r>
          </w:p>
        </w:tc>
      </w:tr>
      <w:tr>
        <w:trPr>
          <w:trHeight w:val="260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6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>
                <w:rFonts w:ascii="Franklin Gothic Heavy" w:hAnsi="Franklin Gothic Heavy" w:eastAsia="Franklin Gothic Heavy" w:cs="Franklin Gothic Heavy"/>
                <w:b/>
                <w:sz w:val="18"/>
              </w:rPr>
            </w:pPr>
            <w:r>
              <w:rPr>
                <w:rFonts w:eastAsia="Franklin Gothic Heavy" w:cs="Franklin Gothic Heavy" w:ascii="Franklin Gothic Heavy" w:hAnsi="Franklin Gothic Heavy"/>
                <w:b/>
                <w:sz w:val="18"/>
              </w:rPr>
              <w:t>Total Liabilities and Net Worth:</w:t>
            </w:r>
          </w:p>
        </w:tc>
        <w:tc>
          <w:tcPr>
            <w:tcW w:w="186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$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5111750</wp:posOffset>
                </wp:positionH>
                <wp:positionV relativeFrom="paragraph">
                  <wp:posOffset>-4330065</wp:posOffset>
                </wp:positionV>
                <wp:extent cx="762000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2.5pt,-340.95pt" to="462.45pt,-340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5105400</wp:posOffset>
                </wp:positionH>
                <wp:positionV relativeFrom="paragraph">
                  <wp:posOffset>-3504565</wp:posOffset>
                </wp:positionV>
                <wp:extent cx="762000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2pt,-275.95pt" to="461.95pt,-275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5105400</wp:posOffset>
                </wp:positionH>
                <wp:positionV relativeFrom="paragraph">
                  <wp:posOffset>-3339465</wp:posOffset>
                </wp:positionV>
                <wp:extent cx="762000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2pt,-262.95pt" to="461.95pt,-262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5111750</wp:posOffset>
                </wp:positionH>
                <wp:positionV relativeFrom="paragraph">
                  <wp:posOffset>-1853565</wp:posOffset>
                </wp:positionV>
                <wp:extent cx="762000" cy="0"/>
                <wp:effectExtent l="0" t="3175" r="0" b="317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2.5pt,-145.95pt" to="462.45pt,-145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5105400</wp:posOffset>
                </wp:positionH>
                <wp:positionV relativeFrom="paragraph">
                  <wp:posOffset>-1193165</wp:posOffset>
                </wp:positionV>
                <wp:extent cx="762000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2pt,-93.95pt" to="461.95pt,-93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5111750</wp:posOffset>
                </wp:positionH>
                <wp:positionV relativeFrom="paragraph">
                  <wp:posOffset>-201930</wp:posOffset>
                </wp:positionV>
                <wp:extent cx="762000" cy="0"/>
                <wp:effectExtent l="0" t="3175" r="0" b="317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2.5pt,-15.9pt" to="462.45pt,-15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5111750</wp:posOffset>
                </wp:positionH>
                <wp:positionV relativeFrom="paragraph">
                  <wp:posOffset>-40005</wp:posOffset>
                </wp:positionV>
                <wp:extent cx="762000" cy="0"/>
                <wp:effectExtent l="0" t="12700" r="0" b="1270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2.5pt,-3.15pt" to="462.45pt,-3.15pt" stroked="t" o:allowincell="f" style="position:absolute">
                <v:stroke color="black" weight="25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840" w:right="840" w:gutter="0" w:header="0" w:top="607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Franklin Gothic Heavy" w:cs="Franklin Gothic Heavy" w:ascii="Franklin Gothic Heavy" w:hAnsi="Franklin Gothic Heavy"/>
          <w:b/>
          <w:sz w:val="18"/>
        </w:rPr>
        <w:t>NOTE:</w:t>
      </w:r>
      <w:r>
        <w:rPr>
          <w:rFonts w:eastAsia="Times New Roman" w:cs="Times New Roman" w:ascii="Times New Roman" w:hAnsi="Times New Roman"/>
          <w:sz w:val="18"/>
        </w:rPr>
        <w:t xml:space="preserve"> In order to complete the Balance Sheet properly, </w:t>
      </w:r>
      <w:r>
        <w:rPr>
          <w:rFonts w:eastAsia="Times New Roman" w:cs="Times New Roman" w:ascii="Times New Roman" w:hAnsi="Times New Roman"/>
          <w:i/>
          <w:sz w:val="18"/>
        </w:rPr>
        <w:t>Total Assets</w:t>
      </w:r>
      <w:r>
        <w:rPr>
          <w:rFonts w:eastAsia="Times New Roman" w:cs="Times New Roman" w:ascii="Times New Roman" w:hAnsi="Times New Roman"/>
          <w:sz w:val="18"/>
        </w:rPr>
        <w:t xml:space="preserve"> must equal </w:t>
      </w:r>
      <w:r>
        <w:rPr>
          <w:rFonts w:eastAsia="Times New Roman" w:cs="Times New Roman" w:ascii="Times New Roman" w:hAnsi="Times New Roman"/>
          <w:i/>
          <w:sz w:val="18"/>
        </w:rPr>
        <w:t>Total Liabilities</w:t>
      </w:r>
      <w:r>
        <w:rPr>
          <w:rFonts w:eastAsia="Times New Roman" w:cs="Times New Roman" w:ascii="Times New Roman" w:hAnsi="Times New Roman"/>
          <w:sz w:val="18"/>
        </w:rPr>
        <w:t xml:space="preserve"> plus </w:t>
      </w:r>
      <w:r>
        <w:rPr>
          <w:rFonts w:eastAsia="Times New Roman" w:cs="Times New Roman" w:ascii="Times New Roman" w:hAnsi="Times New Roman"/>
          <w:i/>
          <w:sz w:val="18"/>
        </w:rPr>
        <w:t>Net Worth.</w:t>
      </w:r>
    </w:p>
    <w:sectPr>
      <w:type w:val="continuous"/>
      <w:pgSz w:w="12240" w:h="15840"/>
      <w:pgMar w:left="840" w:right="840" w:gutter="0" w:header="0" w:top="607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Franklin Gothic Heavy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