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40" w:end="0"/>
        <w:rPr>
          <w:rFonts w:ascii="Arial" w:hAnsi="Arial" w:eastAsia="Arial" w:cs="Arial"/>
          <w:sz w:val="16"/>
        </w:rPr>
      </w:pPr>
      <w:bookmarkStart w:id="0" w:name="page1"/>
      <w:bookmarkEnd w:id="0"/>
      <w:r>
        <w:rPr>
          <w:rFonts w:eastAsia="Arial" w:cs="Arial" w:ascii="Arial" w:hAnsi="Arial"/>
          <w:sz w:val="16"/>
        </w:rPr>
        <w:t>Title Company:</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sz w:val="16"/>
        </w:rPr>
      </w:pPr>
      <w:r>
        <w:rPr>
          <w:rFonts w:eastAsia="Arial" w:cs="Arial" w:ascii="Arial" w:hAnsi="Arial"/>
          <w:sz w:val="16"/>
        </w:rPr>
        <w:t>Fife Number</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0" w:end="0"/>
        <w:rPr>
          <w:rFonts w:ascii="Arial" w:hAnsi="Arial" w:eastAsia="Arial" w:cs="Arial"/>
          <w:sz w:val="32"/>
        </w:rPr>
      </w:pPr>
      <w:r>
        <w:rPr>
          <w:rFonts w:eastAsia="Arial" w:cs="Arial" w:ascii="Arial" w:hAnsi="Arial"/>
          <w:sz w:val="32"/>
        </w:rPr>
        <w:t>State of New Mexico</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40" w:end="0"/>
        <w:rPr>
          <w:rFonts w:ascii="Arial" w:hAnsi="Arial" w:eastAsia="Arial" w:cs="Arial"/>
          <w:sz w:val="40"/>
        </w:rPr>
      </w:pPr>
      <w:r>
        <w:rPr>
          <w:rFonts w:eastAsia="Arial" w:cs="Arial" w:ascii="Arial" w:hAnsi="Arial"/>
          <w:sz w:val="40"/>
        </w:rPr>
        <w:t>Real Property Transfer Declaration Affidavit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5080</wp:posOffset>
                </wp:positionH>
                <wp:positionV relativeFrom="paragraph">
                  <wp:posOffset>9525</wp:posOffset>
                </wp:positionV>
                <wp:extent cx="0" cy="7623175"/>
                <wp:effectExtent l="4445" t="0" r="4445" b="0"/>
                <wp:wrapNone/>
                <wp:docPr id="1" name=""/>
                <a:graphic xmlns:a="http://schemas.openxmlformats.org/drawingml/2006/main">
                  <a:graphicData uri="http://schemas.microsoft.com/office/word/2010/wordprocessingShape">
                    <wps:wsp>
                      <wps:cNvSpPr/>
                      <wps:spPr>
                        <a:xfrm>
                          <a:off x="0" y="0"/>
                          <a:ext cx="0" cy="7623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pt,0.75pt" to="0.4pt,60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6802120</wp:posOffset>
                </wp:positionH>
                <wp:positionV relativeFrom="paragraph">
                  <wp:posOffset>9525</wp:posOffset>
                </wp:positionV>
                <wp:extent cx="0" cy="7623175"/>
                <wp:effectExtent l="4445" t="0" r="4445" b="0"/>
                <wp:wrapNone/>
                <wp:docPr id="2" name=""/>
                <a:graphic xmlns:a="http://schemas.openxmlformats.org/drawingml/2006/main">
                  <a:graphicData uri="http://schemas.microsoft.com/office/word/2010/wordprocessingShape">
                    <wps:wsp>
                      <wps:cNvSpPr/>
                      <wps:spPr>
                        <a:xfrm>
                          <a:off x="0" y="0"/>
                          <a:ext cx="0" cy="76230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35.6pt,0.75pt" to="535.6pt,60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13970</wp:posOffset>
                </wp:positionV>
                <wp:extent cx="6806565" cy="0"/>
                <wp:effectExtent l="0" t="4445" r="0" b="4445"/>
                <wp:wrapNone/>
                <wp:docPr id="3"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pt" to="535.9pt,1.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453390</wp:posOffset>
                </wp:positionV>
                <wp:extent cx="6806565" cy="0"/>
                <wp:effectExtent l="0" t="4445" r="0" b="4445"/>
                <wp:wrapNone/>
                <wp:docPr id="4"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5.7pt" to="535.9pt,3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702945</wp:posOffset>
                </wp:positionV>
                <wp:extent cx="6806565" cy="0"/>
                <wp:effectExtent l="0" t="4445" r="0" b="4445"/>
                <wp:wrapNone/>
                <wp:docPr id="5"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5.35pt" to="535.9pt,55.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953770</wp:posOffset>
                </wp:positionV>
                <wp:extent cx="6806565" cy="0"/>
                <wp:effectExtent l="0" t="4445" r="0" b="4445"/>
                <wp:wrapNone/>
                <wp:docPr id="6"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5.1pt" to="535.9pt,75.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1209675</wp:posOffset>
                </wp:positionV>
                <wp:extent cx="6806565" cy="0"/>
                <wp:effectExtent l="0" t="4445" r="0" b="4445"/>
                <wp:wrapNone/>
                <wp:docPr id="7"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5.25pt" to="535.9pt,95.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3412490</wp:posOffset>
                </wp:positionH>
                <wp:positionV relativeFrom="paragraph">
                  <wp:posOffset>9525</wp:posOffset>
                </wp:positionV>
                <wp:extent cx="0" cy="3295650"/>
                <wp:effectExtent l="4445" t="0" r="4445" b="0"/>
                <wp:wrapNone/>
                <wp:docPr id="8" name=""/>
                <a:graphic xmlns:a="http://schemas.openxmlformats.org/drawingml/2006/main">
                  <a:graphicData uri="http://schemas.microsoft.com/office/word/2010/wordprocessingShape">
                    <wps:wsp>
                      <wps:cNvSpPr/>
                      <wps:spPr>
                        <a:xfrm>
                          <a:off x="0" y="0"/>
                          <a:ext cx="0" cy="3295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8.7pt,0.75pt" to="268.7pt,260.2pt" stroked="t" o:allowincell="f" style="position:absolute">
                <v:stroke color="black" weight="900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tbl>
      <w:tblPr>
        <w:tblW w:w="9440" w:type="dxa"/>
        <w:jc w:val="start"/>
        <w:tblInd w:w="40" w:type="dxa"/>
        <w:tblLayout w:type="fixed"/>
        <w:tblCellMar>
          <w:top w:w="0" w:type="dxa"/>
          <w:start w:w="0" w:type="dxa"/>
          <w:bottom w:w="0" w:type="dxa"/>
          <w:end w:w="0" w:type="dxa"/>
        </w:tblCellMar>
      </w:tblPr>
      <w:tblGrid>
        <w:gridCol w:w="1620"/>
        <w:gridCol w:w="3040"/>
        <w:gridCol w:w="2360"/>
        <w:gridCol w:w="2420"/>
      </w:tblGrid>
      <w:tr>
        <w:trPr>
          <w:trHeight w:val="185" w:hRule="atLeast"/>
        </w:trPr>
        <w:tc>
          <w:tcPr>
            <w:tcW w:w="1620" w:type="dxa"/>
            <w:tcBorders/>
          </w:tcPr>
          <w:p>
            <w:pPr>
              <w:pStyle w:val="Normal"/>
              <w:spacing w:lineRule="atLeast" w:line="0"/>
              <w:rPr>
                <w:rFonts w:ascii="Arial" w:hAnsi="Arial" w:eastAsia="Arial" w:cs="Arial"/>
                <w:sz w:val="14"/>
              </w:rPr>
            </w:pPr>
            <w:r>
              <w:rPr>
                <w:rFonts w:eastAsia="Arial" w:cs="Arial" w:ascii="Arial" w:hAnsi="Arial"/>
                <w:sz w:val="14"/>
              </w:rPr>
              <w:t>Transferor(S) / Seller(s)</w:t>
            </w:r>
          </w:p>
        </w:tc>
        <w:tc>
          <w:tcPr>
            <w:tcW w:w="3040" w:type="dxa"/>
            <w:tcBorders/>
          </w:tcPr>
          <w:p>
            <w:pPr>
              <w:pStyle w:val="Normal"/>
              <w:spacing w:lineRule="atLeast" w:line="0"/>
              <w:ind w:start="140" w:end="0"/>
              <w:rPr>
                <w:rFonts w:ascii="Arial" w:hAnsi="Arial" w:eastAsia="Arial" w:cs="Arial"/>
                <w:sz w:val="14"/>
              </w:rPr>
            </w:pPr>
            <w:r>
              <w:rPr>
                <w:rFonts w:eastAsia="Arial" w:cs="Arial" w:ascii="Arial" w:hAnsi="Arial"/>
                <w:sz w:val="14"/>
              </w:rPr>
              <w:t>Full Name* and Mailing Address(s)</w:t>
            </w:r>
          </w:p>
        </w:tc>
        <w:tc>
          <w:tcPr>
            <w:tcW w:w="2360" w:type="dxa"/>
            <w:tcBorders/>
          </w:tcPr>
          <w:p>
            <w:pPr>
              <w:pStyle w:val="Normal"/>
              <w:spacing w:lineRule="atLeast" w:line="0"/>
              <w:ind w:start="720" w:end="0"/>
              <w:rPr>
                <w:rFonts w:ascii="Arial" w:hAnsi="Arial" w:eastAsia="Arial" w:cs="Arial"/>
                <w:sz w:val="14"/>
              </w:rPr>
            </w:pPr>
            <w:r>
              <w:rPr>
                <w:rFonts w:eastAsia="Arial" w:cs="Arial" w:ascii="Arial" w:hAnsi="Arial"/>
                <w:sz w:val="14"/>
              </w:rPr>
              <w:t>Transferees) / Buyer&lt;S)</w:t>
            </w:r>
          </w:p>
        </w:tc>
        <w:tc>
          <w:tcPr>
            <w:tcW w:w="2420" w:type="dxa"/>
            <w:tcBorders/>
          </w:tcPr>
          <w:p>
            <w:pPr>
              <w:pStyle w:val="Normal"/>
              <w:spacing w:lineRule="atLeast" w:line="0"/>
              <w:ind w:start="160" w:end="0"/>
              <w:rPr>
                <w:rFonts w:ascii="Arial" w:hAnsi="Arial" w:eastAsia="Arial" w:cs="Arial"/>
                <w:w w:val="99"/>
                <w:sz w:val="14"/>
              </w:rPr>
            </w:pPr>
            <w:r>
              <w:rPr>
                <w:rFonts w:eastAsia="Arial" w:cs="Arial" w:ascii="Arial" w:hAnsi="Arial"/>
                <w:w w:val="99"/>
                <w:sz w:val="14"/>
              </w:rPr>
              <w:t>Full Name/s and Mailing Addresses)</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tbl>
      <w:tblPr>
        <w:tblW w:w="10720" w:type="dxa"/>
        <w:jc w:val="start"/>
        <w:tblInd w:w="0" w:type="dxa"/>
        <w:tblLayout w:type="fixed"/>
        <w:tblCellMar>
          <w:top w:w="0" w:type="dxa"/>
          <w:start w:w="0" w:type="dxa"/>
          <w:bottom w:w="0" w:type="dxa"/>
          <w:end w:w="0" w:type="dxa"/>
        </w:tblCellMar>
      </w:tblPr>
      <w:tblGrid>
        <w:gridCol w:w="5040"/>
        <w:gridCol w:w="3020"/>
        <w:gridCol w:w="2660"/>
      </w:tblGrid>
      <w:tr>
        <w:trPr>
          <w:trHeight w:val="288" w:hRule="atLeast"/>
        </w:trPr>
        <w:tc>
          <w:tcPr>
            <w:tcW w:w="5040" w:type="dxa"/>
            <w:tcBorders/>
          </w:tcPr>
          <w:p>
            <w:pPr>
              <w:pStyle w:val="Normal"/>
              <w:spacing w:lineRule="atLeast" w:line="0"/>
              <w:ind w:start="40" w:end="0"/>
              <w:rPr>
                <w:rFonts w:ascii="Arial" w:hAnsi="Arial" w:eastAsia="Arial" w:cs="Arial"/>
                <w:sz w:val="18"/>
              </w:rPr>
            </w:pPr>
            <w:r>
              <w:rPr>
                <w:rFonts w:eastAsia="Arial" w:cs="Arial" w:ascii="Arial" w:hAnsi="Arial"/>
                <w:sz w:val="18"/>
              </w:rPr>
              <w:t>Physical Location of the Property Assessor's Parcel ID* :</w:t>
            </w:r>
          </w:p>
        </w:tc>
        <w:tc>
          <w:tcPr>
            <w:tcW w:w="5680" w:type="dxa"/>
            <w:gridSpan w:val="2"/>
            <w:tcBorders/>
          </w:tcPr>
          <w:p>
            <w:pPr>
              <w:pStyle w:val="Normal"/>
              <w:spacing w:lineRule="atLeast" w:line="0"/>
              <w:ind w:start="380" w:end="0"/>
              <w:rPr>
                <w:rFonts w:ascii="Arial" w:hAnsi="Arial" w:eastAsia="Arial" w:cs="Arial"/>
              </w:rPr>
            </w:pPr>
            <w:r>
              <w:rPr>
                <w:rFonts w:eastAsia="Arial" w:cs="Arial" w:ascii="Arial" w:hAnsi="Arial"/>
              </w:rPr>
              <w:t>Consideration / Sales Information Date of Sate :</w:t>
            </w:r>
          </w:p>
        </w:tc>
      </w:tr>
      <w:tr>
        <w:trPr>
          <w:trHeight w:val="295"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5040" w:type="dxa"/>
            <w:tcBorders/>
          </w:tcPr>
          <w:p>
            <w:pPr>
              <w:pStyle w:val="Normal"/>
              <w:spacing w:lineRule="atLeast" w:line="0"/>
              <w:ind w:start="40" w:end="0"/>
              <w:rPr>
                <w:rFonts w:ascii="Arial" w:hAnsi="Arial" w:eastAsia="Arial" w:cs="Arial"/>
                <w:sz w:val="18"/>
              </w:rPr>
            </w:pPr>
            <w:r>
              <w:rPr>
                <w:rFonts w:eastAsia="Arial" w:cs="Arial" w:ascii="Arial" w:hAnsi="Arial"/>
                <w:sz w:val="18"/>
              </w:rPr>
              <w:t>Physical Address :</w:t>
            </w:r>
          </w:p>
        </w:tc>
        <w:tc>
          <w:tcPr>
            <w:tcW w:w="3020" w:type="dxa"/>
            <w:tcBorders/>
          </w:tcPr>
          <w:p>
            <w:pPr>
              <w:pStyle w:val="Normal"/>
              <w:spacing w:lineRule="atLeast" w:line="0"/>
              <w:ind w:start="380" w:end="0"/>
              <w:rPr>
                <w:rFonts w:ascii="Arial" w:hAnsi="Arial" w:eastAsia="Arial" w:cs="Arial"/>
                <w:sz w:val="18"/>
              </w:rPr>
            </w:pPr>
            <w:r>
              <w:rPr>
                <w:rFonts w:eastAsia="Arial" w:cs="Arial" w:ascii="Arial" w:hAnsi="Arial"/>
                <w:sz w:val="18"/>
              </w:rPr>
              <w:t>Total Sates Price : $</w:t>
            </w:r>
          </w:p>
        </w:tc>
        <w:tc>
          <w:tcPr>
            <w:tcW w:w="2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61"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3" w:hRule="atLeast"/>
        </w:trPr>
        <w:tc>
          <w:tcPr>
            <w:tcW w:w="5040" w:type="dxa"/>
            <w:tcBorders/>
          </w:tcPr>
          <w:p>
            <w:pPr>
              <w:pStyle w:val="Normal"/>
              <w:spacing w:lineRule="atLeast" w:line="0"/>
              <w:ind w:start="40" w:end="0"/>
              <w:rPr>
                <w:rFonts w:ascii="Arial" w:hAnsi="Arial" w:eastAsia="Arial" w:cs="Arial"/>
                <w:sz w:val="18"/>
              </w:rPr>
            </w:pPr>
            <w:r>
              <w:rPr>
                <w:rFonts w:eastAsia="Arial" w:cs="Arial" w:ascii="Arial" w:hAnsi="Arial"/>
                <w:sz w:val="18"/>
              </w:rPr>
              <w:t>City/Town/Village/Zip :</w:t>
            </w:r>
          </w:p>
        </w:tc>
        <w:tc>
          <w:tcPr>
            <w:tcW w:w="3020" w:type="dxa"/>
            <w:tcBorders/>
          </w:tcPr>
          <w:p>
            <w:pPr>
              <w:pStyle w:val="Normal"/>
              <w:spacing w:lineRule="atLeast" w:line="0"/>
              <w:ind w:start="380" w:end="0"/>
              <w:rPr>
                <w:rFonts w:ascii="Arial" w:hAnsi="Arial" w:eastAsia="Arial" w:cs="Arial"/>
                <w:sz w:val="18"/>
              </w:rPr>
            </w:pPr>
            <w:r>
              <w:rPr>
                <w:rFonts w:eastAsia="Arial" w:cs="Arial" w:ascii="Arial" w:hAnsi="Arial"/>
                <w:sz w:val="18"/>
              </w:rPr>
              <w:t>Value of Personal Property : S</w:t>
            </w:r>
          </w:p>
        </w:tc>
        <w:tc>
          <w:tcPr>
            <w:tcW w:w="2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59"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89" w:hRule="atLeast"/>
        </w:trPr>
        <w:tc>
          <w:tcPr>
            <w:tcW w:w="5040" w:type="dxa"/>
            <w:tcBorders/>
          </w:tcPr>
          <w:p>
            <w:pPr>
              <w:pStyle w:val="Normal"/>
              <w:spacing w:lineRule="exact" w:line="189"/>
              <w:ind w:start="40" w:end="0"/>
              <w:rPr>
                <w:rFonts w:ascii="Arial" w:hAnsi="Arial" w:eastAsia="Arial" w:cs="Arial"/>
                <w:sz w:val="18"/>
              </w:rPr>
            </w:pPr>
            <w:r>
              <w:rPr>
                <w:rFonts w:eastAsia="Arial" w:cs="Arial" w:ascii="Arial" w:hAnsi="Arial"/>
                <w:sz w:val="18"/>
              </w:rPr>
              <w:t>Legal Description</w:t>
            </w:r>
          </w:p>
        </w:tc>
        <w:tc>
          <w:tcPr>
            <w:tcW w:w="3020" w:type="dxa"/>
            <w:tcBorders/>
          </w:tcPr>
          <w:p>
            <w:pPr>
              <w:pStyle w:val="Normal"/>
              <w:spacing w:lineRule="exact" w:line="189"/>
              <w:ind w:start="380" w:end="0"/>
              <w:rPr>
                <w:rFonts w:ascii="Arial" w:hAnsi="Arial" w:eastAsia="Arial" w:cs="Arial"/>
                <w:sz w:val="18"/>
              </w:rPr>
            </w:pPr>
            <w:r>
              <w:rPr>
                <w:rFonts w:eastAsia="Arial" w:cs="Arial" w:ascii="Arial" w:hAnsi="Arial"/>
                <w:sz w:val="18"/>
              </w:rPr>
              <w:t>Type of Financing :</w:t>
            </w:r>
          </w:p>
        </w:tc>
        <w:tc>
          <w:tcPr>
            <w:tcW w:w="2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0" w:hRule="atLeast"/>
        </w:trPr>
        <w:tc>
          <w:tcPr>
            <w:tcW w:w="5040" w:type="dxa"/>
            <w:tcBorders/>
          </w:tcPr>
          <w:p>
            <w:pPr>
              <w:pStyle w:val="Normal"/>
              <w:spacing w:lineRule="atLeast" w:line="0"/>
              <w:ind w:start="40" w:end="0"/>
              <w:rPr>
                <w:rFonts w:ascii="Arial" w:hAnsi="Arial" w:eastAsia="Arial" w:cs="Arial"/>
                <w:sz w:val="16"/>
              </w:rPr>
            </w:pPr>
            <w:r>
              <w:rPr>
                <w:rFonts w:eastAsia="Arial" w:cs="Arial" w:ascii="Arial" w:hAnsi="Arial"/>
                <w:sz w:val="16"/>
              </w:rPr>
              <w:t>[May attach deed or instrument of conveyance] :</w:t>
            </w:r>
          </w:p>
        </w:tc>
        <w:tc>
          <w:tcPr>
            <w:tcW w:w="3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8"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3" w:hRule="atLeast"/>
        </w:trPr>
        <w:tc>
          <w:tcPr>
            <w:tcW w:w="5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20" w:type="dxa"/>
            <w:tcBorders/>
          </w:tcPr>
          <w:p>
            <w:pPr>
              <w:pStyle w:val="Normal"/>
              <w:spacing w:lineRule="atLeast" w:line="0"/>
              <w:ind w:start="380" w:end="0"/>
              <w:rPr>
                <w:rFonts w:ascii="Arial" w:hAnsi="Arial" w:eastAsia="Arial" w:cs="Arial"/>
                <w:sz w:val="18"/>
              </w:rPr>
            </w:pPr>
            <w:r>
              <w:rPr>
                <w:rFonts w:eastAsia="Arial" w:cs="Arial" w:ascii="Arial" w:hAnsi="Arial"/>
                <w:sz w:val="18"/>
              </w:rPr>
              <w:t>Down Payment : S</w:t>
            </w:r>
          </w:p>
        </w:tc>
        <w:tc>
          <w:tcPr>
            <w:tcW w:w="2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9"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3" w:hRule="atLeast"/>
        </w:trPr>
        <w:tc>
          <w:tcPr>
            <w:tcW w:w="5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20" w:type="dxa"/>
            <w:tcBorders/>
          </w:tcPr>
          <w:p>
            <w:pPr>
              <w:pStyle w:val="Normal"/>
              <w:spacing w:lineRule="atLeast" w:line="0"/>
              <w:ind w:start="380" w:end="0"/>
              <w:rPr>
                <w:rFonts w:ascii="Arial" w:hAnsi="Arial" w:eastAsia="Arial" w:cs="Arial"/>
                <w:sz w:val="18"/>
              </w:rPr>
            </w:pPr>
            <w:r>
              <w:rPr>
                <w:rFonts w:eastAsia="Arial" w:cs="Arial" w:ascii="Arial" w:hAnsi="Arial"/>
                <w:sz w:val="18"/>
              </w:rPr>
              <w:t>Interest Rate :</w:t>
            </w:r>
          </w:p>
        </w:tc>
        <w:tc>
          <w:tcPr>
            <w:tcW w:w="2660" w:type="dxa"/>
            <w:tcBorders/>
          </w:tcPr>
          <w:p>
            <w:pPr>
              <w:pStyle w:val="Normal"/>
              <w:spacing w:lineRule="atLeast" w:line="0"/>
              <w:ind w:end="2050"/>
              <w:jc w:val="end"/>
              <w:rPr>
                <w:rFonts w:ascii="Arial" w:hAnsi="Arial" w:eastAsia="Arial" w:cs="Arial"/>
                <w:sz w:val="18"/>
              </w:rPr>
            </w:pPr>
            <w:r>
              <w:rPr>
                <w:rFonts w:eastAsia="Arial" w:cs="Arial" w:ascii="Arial" w:hAnsi="Arial"/>
                <w:sz w:val="18"/>
              </w:rPr>
              <w:t>%</w:t>
            </w:r>
          </w:p>
        </w:tc>
      </w:tr>
      <w:tr>
        <w:trPr>
          <w:trHeight w:val="209"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5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tcBorders/>
          </w:tcPr>
          <w:p>
            <w:pPr>
              <w:pStyle w:val="Normal"/>
              <w:spacing w:lineRule="atLeast" w:line="0"/>
              <w:ind w:start="380" w:end="0"/>
              <w:rPr>
                <w:rFonts w:ascii="Arial" w:hAnsi="Arial" w:eastAsia="Arial" w:cs="Arial"/>
                <w:sz w:val="18"/>
              </w:rPr>
            </w:pPr>
            <w:r>
              <w:rPr>
                <w:rFonts w:eastAsia="Arial" w:cs="Arial" w:ascii="Arial" w:hAnsi="Arial"/>
                <w:sz w:val="18"/>
              </w:rPr>
              <w:t>Number of Years Financed :</w:t>
            </w:r>
          </w:p>
        </w:tc>
        <w:tc>
          <w:tcPr>
            <w:tcW w:w="2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105410</wp:posOffset>
                </wp:positionV>
                <wp:extent cx="6806565" cy="0"/>
                <wp:effectExtent l="0" t="4445" r="0" b="4445"/>
                <wp:wrapNone/>
                <wp:docPr id="9"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3pt" to="535.9pt,8.3pt" stroked="t" o:allowincell="f" style="position:absolute">
                <v:stroke color="black" weight="9000" joinstyle="miter" endcap="flat"/>
                <v:fill o:detectmouseclick="t" on="false"/>
                <w10:wrap type="none"/>
              </v:line>
            </w:pict>
          </mc:Fallback>
        </mc:AlternateConten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tbl>
      <w:tblPr>
        <w:tblW w:w="10720" w:type="dxa"/>
        <w:jc w:val="start"/>
        <w:tblInd w:w="0" w:type="dxa"/>
        <w:tblLayout w:type="fixed"/>
        <w:tblCellMar>
          <w:top w:w="0" w:type="dxa"/>
          <w:start w:w="0" w:type="dxa"/>
          <w:bottom w:w="0" w:type="dxa"/>
          <w:end w:w="0" w:type="dxa"/>
        </w:tblCellMar>
      </w:tblPr>
      <w:tblGrid>
        <w:gridCol w:w="2980"/>
        <w:gridCol w:w="1680"/>
        <w:gridCol w:w="1960"/>
        <w:gridCol w:w="2040"/>
        <w:gridCol w:w="2060"/>
      </w:tblGrid>
      <w:tr>
        <w:trPr>
          <w:trHeight w:val="224" w:hRule="atLeast"/>
        </w:trPr>
        <w:tc>
          <w:tcPr>
            <w:tcW w:w="2980" w:type="dxa"/>
            <w:tcBorders/>
          </w:tcPr>
          <w:p>
            <w:pPr>
              <w:pStyle w:val="Normal"/>
              <w:spacing w:lineRule="atLeast" w:line="0"/>
              <w:ind w:start="40" w:end="0"/>
              <w:rPr>
                <w:rFonts w:ascii="Arial" w:hAnsi="Arial" w:eastAsia="Arial" w:cs="Arial"/>
                <w:sz w:val="17"/>
              </w:rPr>
            </w:pPr>
            <w:r>
              <w:rPr>
                <w:rFonts w:eastAsia="Arial" w:cs="Arial" w:ascii="Arial" w:hAnsi="Arial"/>
                <w:sz w:val="17"/>
              </w:rPr>
              <w:t>Was this an arms length transaction? :</w:t>
            </w:r>
          </w:p>
        </w:tc>
        <w:tc>
          <w:tcPr>
            <w:tcW w:w="1680" w:type="dxa"/>
            <w:tcBorders/>
          </w:tcPr>
          <w:p>
            <w:pPr>
              <w:pStyle w:val="Normal"/>
              <w:spacing w:lineRule="atLeast" w:line="0"/>
              <w:ind w:start="140" w:end="0"/>
              <w:rPr>
                <w:rFonts w:ascii="Arial" w:hAnsi="Arial" w:eastAsia="Arial" w:cs="Arial"/>
                <w:sz w:val="17"/>
              </w:rPr>
            </w:pPr>
            <w:r>
              <w:rPr>
                <w:rFonts w:eastAsia="Arial" w:cs="Arial" w:ascii="Arial" w:hAnsi="Arial"/>
                <w:sz w:val="17"/>
              </w:rPr>
              <w:t>YES Q   NoQ</w:t>
            </w:r>
          </w:p>
        </w:tc>
        <w:tc>
          <w:tcPr>
            <w:tcW w:w="4000" w:type="dxa"/>
            <w:gridSpan w:val="2"/>
            <w:tcBorders/>
          </w:tcPr>
          <w:p>
            <w:pPr>
              <w:pStyle w:val="Normal"/>
              <w:spacing w:lineRule="atLeast" w:line="0"/>
              <w:ind w:start="500" w:end="0"/>
              <w:rPr>
                <w:rFonts w:ascii="Arial" w:hAnsi="Arial" w:eastAsia="Arial" w:cs="Arial"/>
                <w:sz w:val="17"/>
              </w:rPr>
            </w:pPr>
            <w:r>
              <w:rPr>
                <w:rFonts w:eastAsia="Arial" w:cs="Arial" w:ascii="Arial" w:hAnsi="Arial"/>
                <w:sz w:val="17"/>
              </w:rPr>
              <w:t>Are the buyer and seller related? :  YES Q]</w:t>
            </w:r>
          </w:p>
        </w:tc>
        <w:tc>
          <w:tcPr>
            <w:tcW w:w="2060" w:type="dxa"/>
            <w:tcBorders/>
          </w:tcPr>
          <w:p>
            <w:pPr>
              <w:pStyle w:val="Normal"/>
              <w:spacing w:lineRule="atLeast" w:line="0"/>
              <w:ind w:start="160" w:end="0"/>
              <w:rPr>
                <w:rFonts w:ascii="Arial" w:hAnsi="Arial" w:eastAsia="Arial" w:cs="Arial"/>
                <w:sz w:val="17"/>
              </w:rPr>
            </w:pPr>
            <w:r>
              <w:rPr>
                <w:rFonts w:eastAsia="Arial" w:cs="Arial" w:ascii="Arial" w:hAnsi="Arial"/>
                <w:sz w:val="17"/>
              </w:rPr>
              <w:t>NO[_J</w:t>
            </w:r>
          </w:p>
        </w:tc>
      </w:tr>
      <w:tr>
        <w:trPr>
          <w:trHeight w:val="146" w:hRule="atLeast"/>
        </w:trPr>
        <w:tc>
          <w:tcPr>
            <w:tcW w:w="86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0" w:hRule="atLeast"/>
        </w:trPr>
        <w:tc>
          <w:tcPr>
            <w:tcW w:w="8660" w:type="dxa"/>
            <w:gridSpan w:val="4"/>
            <w:tcBorders/>
          </w:tcPr>
          <w:p>
            <w:pPr>
              <w:pStyle w:val="Normal"/>
              <w:spacing w:lineRule="atLeast" w:line="0"/>
              <w:ind w:start="40" w:end="0"/>
              <w:rPr>
                <w:rFonts w:ascii="Arial" w:hAnsi="Arial" w:eastAsia="Arial" w:cs="Arial"/>
              </w:rPr>
            </w:pPr>
            <w:r>
              <w:rPr>
                <w:rFonts w:eastAsia="Arial" w:cs="Arial" w:ascii="Arial" w:hAnsi="Arial"/>
              </w:rPr>
              <w:t>If this affidavit is not required under Section 7-38-12.1 D, enter the reason [see back]</w:t>
            </w:r>
          </w:p>
        </w:tc>
        <w:tc>
          <w:tcPr>
            <w:tcW w:w="2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71" w:hRule="atLeast"/>
        </w:trPr>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60" w:hRule="atLeast"/>
        </w:trPr>
        <w:tc>
          <w:tcPr>
            <w:tcW w:w="2980" w:type="dxa"/>
            <w:tcBorders/>
          </w:tcPr>
          <w:p>
            <w:pPr>
              <w:pStyle w:val="Normal"/>
              <w:spacing w:lineRule="atLeast" w:line="0"/>
              <w:ind w:start="40" w:end="0"/>
              <w:rPr>
                <w:rFonts w:ascii="Arial" w:hAnsi="Arial" w:eastAsia="Arial" w:cs="Arial"/>
              </w:rPr>
            </w:pPr>
            <w:r>
              <w:rPr>
                <w:rFonts w:eastAsia="Arial" w:cs="Arial" w:ascii="Arial" w:hAnsi="Arial"/>
              </w:rPr>
              <w:t>Structure Type and Description</w:t>
            </w:r>
          </w:p>
        </w:tc>
        <w:tc>
          <w:tcPr>
            <w:tcW w:w="1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7" w:hRule="atLeast"/>
        </w:trPr>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60" w:hRule="atLeast"/>
        </w:trPr>
        <w:tc>
          <w:tcPr>
            <w:tcW w:w="2980" w:type="dxa"/>
            <w:tcBorders/>
          </w:tcPr>
          <w:p>
            <w:pPr>
              <w:pStyle w:val="Normal"/>
              <w:spacing w:lineRule="atLeast" w:line="0"/>
              <w:ind w:start="40" w:end="0"/>
              <w:rPr>
                <w:rFonts w:ascii="Arial" w:hAnsi="Arial" w:eastAsia="Arial" w:cs="Arial"/>
              </w:rPr>
            </w:pPr>
            <w:r>
              <w:rPr>
                <w:rFonts w:eastAsia="Arial" w:cs="Arial" w:ascii="Arial" w:hAnsi="Arial"/>
              </w:rPr>
              <w:t>Single Family Dwelling :</w:t>
            </w:r>
          </w:p>
        </w:tc>
        <w:tc>
          <w:tcPr>
            <w:tcW w:w="1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60" w:type="dxa"/>
            <w:tcBorders/>
          </w:tcPr>
          <w:p>
            <w:pPr>
              <w:pStyle w:val="Normal"/>
              <w:spacing w:lineRule="atLeast" w:line="0"/>
              <w:ind w:start="420" w:end="0"/>
              <w:rPr>
                <w:rFonts w:ascii="Arial" w:hAnsi="Arial" w:eastAsia="Arial" w:cs="Arial"/>
              </w:rPr>
            </w:pPr>
            <w:r>
              <w:rPr>
                <w:rFonts w:eastAsia="Arial" w:cs="Arial" w:ascii="Arial" w:hAnsi="Arial"/>
              </w:rPr>
              <w:t>Duplex :   |</w:t>
            </w:r>
          </w:p>
        </w:tc>
        <w:tc>
          <w:tcPr>
            <w:tcW w:w="2040" w:type="dxa"/>
            <w:tcBorders/>
          </w:tcPr>
          <w:p>
            <w:pPr>
              <w:pStyle w:val="Normal"/>
              <w:spacing w:lineRule="atLeast" w:line="0"/>
              <w:ind w:start="800" w:end="0"/>
              <w:rPr>
                <w:rFonts w:ascii="Arial" w:hAnsi="Arial" w:eastAsia="Arial" w:cs="Arial"/>
              </w:rPr>
            </w:pPr>
            <w:r>
              <w:rPr>
                <w:rFonts w:eastAsia="Arial" w:cs="Arial" w:ascii="Arial" w:hAnsi="Arial"/>
              </w:rPr>
              <w:t>If other, brief</w:t>
            </w:r>
          </w:p>
        </w:tc>
        <w:tc>
          <w:tcPr>
            <w:tcW w:w="2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6" w:hRule="atLeast"/>
        </w:trPr>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3" w:hRule="atLeast"/>
        </w:trPr>
        <w:tc>
          <w:tcPr>
            <w:tcW w:w="2980" w:type="dxa"/>
            <w:tcBorders>
              <w:bottom w:val="single" w:sz="8" w:space="0" w:color="000000"/>
            </w:tcBorders>
          </w:tcPr>
          <w:p>
            <w:pPr>
              <w:pStyle w:val="Normal"/>
              <w:spacing w:lineRule="atLeast" w:line="0"/>
              <w:ind w:start="40" w:end="0"/>
              <w:rPr>
                <w:rFonts w:ascii="Arial" w:hAnsi="Arial" w:eastAsia="Arial" w:cs="Arial"/>
              </w:rPr>
            </w:pPr>
            <w:r>
              <w:rPr>
                <w:rFonts w:eastAsia="Arial" w:cs="Arial" w:ascii="Arial" w:hAnsi="Arial"/>
              </w:rPr>
              <w:t>Manufactured Home :</w:t>
            </w:r>
          </w:p>
        </w:tc>
        <w:tc>
          <w:tcPr>
            <w:tcW w:w="3640" w:type="dxa"/>
            <w:gridSpan w:val="2"/>
            <w:tcBorders>
              <w:bottom w:val="single" w:sz="8" w:space="0" w:color="000000"/>
            </w:tcBorders>
          </w:tcPr>
          <w:p>
            <w:pPr>
              <w:pStyle w:val="Normal"/>
              <w:spacing w:lineRule="atLeast" w:line="0"/>
              <w:ind w:start="300" w:end="0"/>
              <w:rPr>
                <w:rFonts w:ascii="Arial" w:hAnsi="Arial" w:eastAsia="Arial" w:cs="Arial"/>
              </w:rPr>
            </w:pPr>
            <w:r>
              <w:rPr>
                <w:rFonts w:eastAsia="Arial" w:cs="Arial" w:ascii="Arial" w:hAnsi="Arial"/>
              </w:rPr>
              <w:t>Multi Family Apartments : | _ |</w:t>
            </w:r>
          </w:p>
        </w:tc>
        <w:tc>
          <w:tcPr>
            <w:tcW w:w="2040" w:type="dxa"/>
            <w:tcBorders>
              <w:bottom w:val="single" w:sz="8" w:space="0" w:color="000000"/>
            </w:tcBorders>
          </w:tcPr>
          <w:p>
            <w:pPr>
              <w:pStyle w:val="Normal"/>
              <w:spacing w:lineRule="atLeast" w:line="0"/>
              <w:ind w:start="480" w:end="0"/>
              <w:rPr>
                <w:rFonts w:ascii="Arial" w:hAnsi="Arial" w:eastAsia="Arial" w:cs="Arial"/>
              </w:rPr>
            </w:pPr>
            <w:r>
              <w:rPr>
                <w:rFonts w:eastAsia="Arial" w:cs="Arial" w:ascii="Arial" w:hAnsi="Arial"/>
              </w:rPr>
              <w:t>explanation</w:t>
            </w:r>
          </w:p>
        </w:tc>
        <w:tc>
          <w:tcPr>
            <w:tcW w:w="20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4" w:hRule="atLeast"/>
        </w:trPr>
        <w:tc>
          <w:tcPr>
            <w:tcW w:w="2980" w:type="dxa"/>
            <w:tcBorders/>
          </w:tcPr>
          <w:p>
            <w:pPr>
              <w:pStyle w:val="Normal"/>
              <w:spacing w:lineRule="atLeast" w:line="0"/>
              <w:ind w:start="40" w:end="0"/>
              <w:rPr>
                <w:rFonts w:ascii="Arial" w:hAnsi="Arial" w:eastAsia="Arial" w:cs="Arial"/>
                <w:sz w:val="17"/>
              </w:rPr>
            </w:pPr>
            <w:r>
              <w:rPr>
                <w:rFonts w:eastAsia="Arial" w:cs="Arial" w:ascii="Arial" w:hAnsi="Arial"/>
                <w:sz w:val="17"/>
              </w:rPr>
              <w:t>Other :</w:t>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96520</wp:posOffset>
                </wp:positionV>
                <wp:extent cx="6806565" cy="0"/>
                <wp:effectExtent l="0" t="4445" r="0" b="4445"/>
                <wp:wrapNone/>
                <wp:docPr id="10"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6pt" to="535.9pt,7.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tbl>
      <w:tblPr>
        <w:tblW w:w="10720" w:type="dxa"/>
        <w:jc w:val="start"/>
        <w:tblInd w:w="0" w:type="dxa"/>
        <w:tblLayout w:type="fixed"/>
        <w:tblCellMar>
          <w:top w:w="0" w:type="dxa"/>
          <w:start w:w="0" w:type="dxa"/>
          <w:bottom w:w="0" w:type="dxa"/>
          <w:end w:w="0" w:type="dxa"/>
        </w:tblCellMar>
      </w:tblPr>
      <w:tblGrid>
        <w:gridCol w:w="2580"/>
        <w:gridCol w:w="1160"/>
        <w:gridCol w:w="1640"/>
        <w:gridCol w:w="5340"/>
      </w:tblGrid>
      <w:tr>
        <w:trPr>
          <w:trHeight w:val="267" w:hRule="atLeast"/>
        </w:trPr>
        <w:tc>
          <w:tcPr>
            <w:tcW w:w="2580" w:type="dxa"/>
            <w:tcBorders/>
          </w:tcPr>
          <w:p>
            <w:pPr>
              <w:pStyle w:val="Normal"/>
              <w:spacing w:lineRule="atLeast" w:line="0"/>
              <w:ind w:start="40" w:end="0"/>
              <w:rPr>
                <w:rFonts w:ascii="Arial" w:hAnsi="Arial" w:eastAsia="Arial" w:cs="Arial"/>
                <w:sz w:val="23"/>
              </w:rPr>
            </w:pPr>
            <w:r>
              <w:rPr>
                <w:rFonts w:eastAsia="Arial" w:cs="Arial" w:ascii="Arial" w:hAnsi="Arial"/>
                <w:sz w:val="23"/>
              </w:rPr>
              <w:t>Signature of:   Seller D</w:t>
            </w:r>
          </w:p>
        </w:tc>
        <w:tc>
          <w:tcPr>
            <w:tcW w:w="1160" w:type="dxa"/>
            <w:tcBorders/>
          </w:tcPr>
          <w:p>
            <w:pPr>
              <w:pStyle w:val="Normal"/>
              <w:spacing w:lineRule="atLeast" w:line="0"/>
              <w:ind w:start="140" w:end="0"/>
              <w:rPr>
                <w:rFonts w:ascii="Arial" w:hAnsi="Arial" w:eastAsia="Arial" w:cs="Arial"/>
                <w:sz w:val="23"/>
              </w:rPr>
            </w:pPr>
            <w:r>
              <w:rPr>
                <w:rFonts w:eastAsia="Arial" w:cs="Arial" w:ascii="Arial" w:hAnsi="Arial"/>
                <w:sz w:val="23"/>
              </w:rPr>
              <w:t>Buyer Q</w:t>
            </w:r>
          </w:p>
        </w:tc>
        <w:tc>
          <w:tcPr>
            <w:tcW w:w="6980" w:type="dxa"/>
            <w:gridSpan w:val="2"/>
            <w:tcBorders/>
          </w:tcPr>
          <w:p>
            <w:pPr>
              <w:pStyle w:val="Normal"/>
              <w:spacing w:lineRule="atLeast" w:line="0"/>
              <w:ind w:start="280" w:end="0"/>
              <w:rPr>
                <w:rFonts w:ascii="Arial" w:hAnsi="Arial" w:eastAsia="Arial" w:cs="Arial"/>
                <w:sz w:val="23"/>
              </w:rPr>
            </w:pPr>
            <w:r>
              <w:rPr>
                <w:rFonts w:eastAsia="Arial" w:cs="Arial" w:ascii="Arial" w:hAnsi="Arial"/>
                <w:sz w:val="23"/>
              </w:rPr>
              <w:t>Representative Q</w:t>
            </w:r>
          </w:p>
        </w:tc>
      </w:tr>
      <w:tr>
        <w:trPr>
          <w:trHeight w:val="224" w:hRule="atLeast"/>
        </w:trPr>
        <w:tc>
          <w:tcPr>
            <w:tcW w:w="2580" w:type="dxa"/>
            <w:tcBorders/>
          </w:tcPr>
          <w:p>
            <w:pPr>
              <w:pStyle w:val="Normal"/>
              <w:spacing w:lineRule="atLeast" w:line="0"/>
              <w:ind w:start="40" w:end="0"/>
              <w:rPr>
                <w:rFonts w:ascii="Arial" w:hAnsi="Arial" w:eastAsia="Arial" w:cs="Arial"/>
                <w:sz w:val="17"/>
              </w:rPr>
            </w:pPr>
            <w:r>
              <w:rPr>
                <w:rFonts w:eastAsia="Arial" w:cs="Arial" w:ascii="Arial" w:hAnsi="Arial"/>
                <w:sz w:val="17"/>
              </w:rPr>
              <w:t>Date Signed;</w:t>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96" w:hRule="atLeast"/>
        </w:trPr>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9" w:hRule="atLeast"/>
        </w:trPr>
        <w:tc>
          <w:tcPr>
            <w:tcW w:w="2580" w:type="dxa"/>
            <w:tcBorders/>
          </w:tcPr>
          <w:p>
            <w:pPr>
              <w:pStyle w:val="Normal"/>
              <w:spacing w:lineRule="atLeast" w:line="0"/>
              <w:ind w:start="40" w:end="0"/>
              <w:rPr>
                <w:rFonts w:ascii="Arial" w:hAnsi="Arial" w:eastAsia="Arial" w:cs="Arial"/>
                <w:sz w:val="23"/>
              </w:rPr>
            </w:pPr>
            <w:r>
              <w:rPr>
                <w:rFonts w:eastAsia="Arial" w:cs="Arial" w:ascii="Arial" w:hAnsi="Arial"/>
                <w:sz w:val="23"/>
              </w:rPr>
              <w:t>Print Name of Sianatorv:</w:t>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9" w:hRule="atLeast"/>
        </w:trPr>
        <w:tc>
          <w:tcPr>
            <w:tcW w:w="3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3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1" w:hRule="atLeast"/>
        </w:trPr>
        <w:tc>
          <w:tcPr>
            <w:tcW w:w="3740" w:type="dxa"/>
            <w:gridSpan w:val="2"/>
            <w:tcBorders/>
          </w:tcPr>
          <w:p>
            <w:pPr>
              <w:pStyle w:val="Normal"/>
              <w:spacing w:lineRule="exact" w:line="141"/>
              <w:ind w:start="40" w:end="0"/>
              <w:rPr>
                <w:rFonts w:ascii="Arial" w:hAnsi="Arial" w:eastAsia="Arial" w:cs="Arial"/>
                <w:w w:val="96"/>
                <w:sz w:val="14"/>
              </w:rPr>
            </w:pPr>
            <w:r>
              <w:rPr>
                <w:rFonts w:eastAsia="Arial" w:cs="Arial" w:ascii="Arial" w:hAnsi="Arial"/>
                <w:w w:val="96"/>
                <w:sz w:val="14"/>
              </w:rPr>
              <w:t>Acknowledgement ot individual or in Representative Capacity</w:t>
            </w:r>
          </w:p>
        </w:tc>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12"/>
              </w:rPr>
            </w:pPr>
            <w:r>
              <w:rPr>
                <w:rFonts w:eastAsia="Times New Roman" w:cs="Times New Roman" w:ascii="Times New Roman" w:hAnsi="Times New Roman"/>
                <w:w w:val="96"/>
                <w:sz w:val="12"/>
              </w:rPr>
            </w:r>
          </w:p>
        </w:tc>
        <w:tc>
          <w:tcPr>
            <w:tcW w:w="5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5" w:hRule="atLeast"/>
        </w:trPr>
        <w:tc>
          <w:tcPr>
            <w:tcW w:w="2580" w:type="dxa"/>
            <w:tcBorders/>
          </w:tcPr>
          <w:p>
            <w:pPr>
              <w:pStyle w:val="Normal"/>
              <w:spacing w:lineRule="atLeast" w:line="0"/>
              <w:ind w:start="40" w:end="0"/>
              <w:rPr>
                <w:rFonts w:ascii="Arial" w:hAnsi="Arial" w:eastAsia="Arial" w:cs="Arial"/>
              </w:rPr>
            </w:pPr>
            <w:r>
              <w:rPr>
                <w:rFonts w:eastAsia="Arial" w:cs="Arial" w:ascii="Arial" w:hAnsi="Arial"/>
              </w:rPr>
              <w:t>State of  New Mexico</w:t>
            </w:r>
          </w:p>
        </w:tc>
        <w:tc>
          <w:tcPr>
            <w:tcW w:w="1160" w:type="dxa"/>
            <w:tcBorders/>
          </w:tcPr>
          <w:p>
            <w:pPr>
              <w:pStyle w:val="Normal"/>
              <w:spacing w:lineRule="atLeast" w:line="0"/>
              <w:ind w:start="140" w:end="0"/>
              <w:rPr>
                <w:rFonts w:ascii="Arial" w:hAnsi="Arial" w:eastAsia="Arial" w:cs="Arial"/>
              </w:rPr>
            </w:pPr>
            <w:r>
              <w:rPr>
                <w:rFonts w:eastAsia="Arial" w:cs="Arial" w:ascii="Arial" w:hAnsi="Arial"/>
              </w:rPr>
              <w:t>)</w:t>
            </w:r>
          </w:p>
        </w:tc>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0" w:hRule="atLeast"/>
        </w:trPr>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87" w:hRule="atLeast"/>
        </w:trPr>
        <w:tc>
          <w:tcPr>
            <w:tcW w:w="2580" w:type="dxa"/>
            <w:tcBorders>
              <w:bottom w:val="single" w:sz="8" w:space="0" w:color="000000"/>
            </w:tcBorders>
          </w:tcPr>
          <w:p>
            <w:pPr>
              <w:pStyle w:val="Normal"/>
              <w:spacing w:lineRule="atLeast" w:line="0"/>
              <w:ind w:start="40" w:end="0"/>
              <w:rPr>
                <w:rFonts w:ascii="Arial" w:hAnsi="Arial" w:eastAsia="Arial" w:cs="Arial"/>
                <w:sz w:val="23"/>
              </w:rPr>
            </w:pPr>
            <w:r>
              <w:rPr>
                <w:rFonts w:eastAsia="Arial" w:cs="Arial" w:ascii="Arial" w:hAnsi="Arial"/>
                <w:sz w:val="23"/>
              </w:rPr>
              <w:t>County of</w:t>
            </w:r>
          </w:p>
        </w:tc>
        <w:tc>
          <w:tcPr>
            <w:tcW w:w="1160" w:type="dxa"/>
            <w:tcBorders>
              <w:bottom w:val="single" w:sz="8" w:space="0" w:color="000000"/>
            </w:tcBorders>
          </w:tcPr>
          <w:p>
            <w:pPr>
              <w:pStyle w:val="Normal"/>
              <w:spacing w:lineRule="atLeast" w:line="0"/>
              <w:ind w:end="710"/>
              <w:jc w:val="end"/>
              <w:rPr>
                <w:rFonts w:ascii="Arial" w:hAnsi="Arial" w:eastAsia="Arial" w:cs="Arial"/>
                <w:sz w:val="23"/>
              </w:rPr>
            </w:pPr>
            <w:r>
              <w:rPr>
                <w:rFonts w:eastAsia="Arial" w:cs="Arial" w:ascii="Arial" w:hAnsi="Arial"/>
                <w:sz w:val="23"/>
              </w:rPr>
              <w:t>)</w:t>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4" w:hRule="atLeast"/>
        </w:trPr>
        <w:tc>
          <w:tcPr>
            <w:tcW w:w="5380" w:type="dxa"/>
            <w:gridSpan w:val="3"/>
            <w:tcBorders>
              <w:end w:val="single" w:sz="8" w:space="0" w:color="000000"/>
            </w:tcBorders>
          </w:tcPr>
          <w:p>
            <w:pPr>
              <w:pStyle w:val="Normal"/>
              <w:spacing w:lineRule="atLeast" w:line="0"/>
              <w:ind w:start="40" w:end="0"/>
              <w:rPr>
                <w:rFonts w:ascii="Arial" w:hAnsi="Arial" w:eastAsia="Arial" w:cs="Arial"/>
                <w:sz w:val="18"/>
              </w:rPr>
            </w:pPr>
            <w:r>
              <w:rPr>
                <w:rFonts w:eastAsia="Arial" w:cs="Arial" w:ascii="Arial" w:hAnsi="Arial"/>
                <w:sz w:val="18"/>
              </w:rPr>
              <w:t>Signed and sworn to (or affirmed) before me this day of ,20</w:t>
            </w:r>
          </w:p>
        </w:tc>
        <w:tc>
          <w:tcPr>
            <w:tcW w:w="5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4" w:hRule="atLeast"/>
        </w:trPr>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3" w:hRule="atLeast"/>
        </w:trPr>
        <w:tc>
          <w:tcPr>
            <w:tcW w:w="2580" w:type="dxa"/>
            <w:tcBorders/>
          </w:tcPr>
          <w:p>
            <w:pPr>
              <w:pStyle w:val="Normal"/>
              <w:spacing w:lineRule="atLeast" w:line="0"/>
              <w:ind w:start="40" w:end="0"/>
              <w:rPr>
                <w:rFonts w:ascii="Arial" w:hAnsi="Arial" w:eastAsia="Arial" w:cs="Arial"/>
                <w:sz w:val="18"/>
              </w:rPr>
            </w:pPr>
            <w:r>
              <w:rPr>
                <w:rFonts w:eastAsia="Arial" w:cs="Arial" w:ascii="Arial" w:hAnsi="Arial"/>
                <w:sz w:val="18"/>
              </w:rPr>
              <w:t>bv</w:t>
            </w:r>
          </w:p>
        </w:tc>
        <w:tc>
          <w:tcPr>
            <w:tcW w:w="1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2" w:hRule="atLeast"/>
        </w:trPr>
        <w:tc>
          <w:tcPr>
            <w:tcW w:w="3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6" w:hRule="atLeast"/>
        </w:trPr>
        <w:tc>
          <w:tcPr>
            <w:tcW w:w="3740" w:type="dxa"/>
            <w:gridSpan w:val="2"/>
            <w:tcBorders/>
          </w:tcPr>
          <w:p>
            <w:pPr>
              <w:pStyle w:val="Normal"/>
              <w:spacing w:lineRule="atLeast" w:line="0"/>
              <w:ind w:start="40" w:end="0"/>
              <w:rPr/>
            </w:pPr>
            <w:r>
              <w:rPr>
                <w:rFonts w:eastAsia="Arial" w:cs="Arial" w:ascii="Arial" w:hAnsi="Arial"/>
                <w:sz w:val="13"/>
              </w:rPr>
              <w:t xml:space="preserve">Namp nf affianl </w:t>
            </w:r>
            <w:r>
              <w:rPr>
                <w:rFonts w:eastAsia="Arial" w:cs="Arial" w:ascii="Arial" w:hAnsi="Arial"/>
                <w:i/>
                <w:sz w:val="13"/>
              </w:rPr>
              <w:t>Ira</w:t>
            </w:r>
            <w:r>
              <w:rPr>
                <w:rFonts w:eastAsia="Arial" w:cs="Arial" w:ascii="Arial" w:hAnsi="Arial"/>
                <w:sz w:val="13"/>
              </w:rPr>
              <w:t xml:space="preserve"> RfinresenlativR rf annlirahlp&gt;</w:t>
            </w:r>
          </w:p>
        </w:tc>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19" w:hRule="atLeast"/>
        </w:trPr>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Notary Public My Commission Expires:</w:t>
            </w:r>
          </w:p>
        </w:tc>
        <w:tc>
          <w:tcPr>
            <w:tcW w:w="1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00" w:hRule="atLeast"/>
        </w:trPr>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-2686050</wp:posOffset>
                </wp:positionV>
                <wp:extent cx="6806565" cy="0"/>
                <wp:effectExtent l="0" t="4445" r="0" b="4445"/>
                <wp:wrapNone/>
                <wp:docPr id="11" name=""/>
                <a:graphic xmlns:a="http://schemas.openxmlformats.org/drawingml/2006/main">
                  <a:graphicData uri="http://schemas.microsoft.com/office/word/2010/wordprocessingShape">
                    <wps:wsp>
                      <wps:cNvSpPr/>
                      <wps:spPr>
                        <a:xfrm>
                          <a:off x="0" y="0"/>
                          <a:ext cx="6806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11.5pt" to="535.9pt,-211.5pt" stroked="t" o:allowincell="f" style="position:absolute">
                <v:stroke color="black" weight="9000" joinstyle="miter" endcap="flat"/>
                <v:fill o:detectmouseclick="t" on="false"/>
                <w10:wrap type="none"/>
              </v:line>
            </w:pict>
          </mc:Fallback>
        </mc:AlternateConten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07" w:leader="none"/>
        </w:tabs>
        <w:spacing w:lineRule="auto" w:line="314"/>
        <w:ind w:hanging="185" w:start="380" w:end="1300"/>
        <w:rPr>
          <w:rFonts w:ascii="Arial" w:hAnsi="Arial" w:eastAsia="Arial" w:cs="Arial"/>
          <w:sz w:val="18"/>
        </w:rPr>
      </w:pPr>
      <w:r>
        <w:rPr>
          <w:rFonts w:eastAsia="Arial" w:cs="Arial" w:ascii="Arial" w:hAnsi="Arial"/>
          <w:sz w:val="18"/>
        </w:rPr>
        <w:t>Parcel ID located on the Notice of Value/Tax Bill owner receives from Assessor/Treasurer, can be obtained from the Assessor's office</w:t>
      </w:r>
    </w:p>
    <w:p>
      <w:pPr>
        <w:sectPr>
          <w:type w:val="nextPage"/>
          <w:pgSz w:w="12240" w:h="15840"/>
          <w:pgMar w:left="760" w:right="760" w:gutter="0" w:header="0" w:top="637" w:footer="0" w:bottom="0"/>
          <w:pgNumType w:fmt="decimal"/>
          <w:formProt w:val="false"/>
          <w:textDirection w:val="lrTb"/>
          <w:docGrid w:type="default" w:linePitch="360" w:charSpace="0"/>
        </w:sectPr>
      </w:pP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20"/>
        <w:jc w:val="center"/>
        <w:rPr/>
      </w:pPr>
      <w:r>
        <w:rPr>
          <w:rFonts w:eastAsia="Arial" w:cs="Arial" w:ascii="Arial" w:hAnsi="Arial"/>
          <w:sz w:val="14"/>
        </w:rPr>
        <w:t>Pursuanl to Seclion 7-38-12 1 and 7-38-12.2 NMSA</w:t>
      </w:r>
      <w:r>
        <w:rPr>
          <w:rFonts w:eastAsia="Arial" w:cs="Arial" w:ascii="Arial" w:hAnsi="Arial"/>
          <w:sz w:val="18"/>
        </w:rPr>
        <w:t xml:space="preserve"> </w:t>
      </w:r>
      <w:r>
        <w:rPr>
          <w:rFonts w:eastAsia="Arial" w:cs="Arial" w:ascii="Arial" w:hAnsi="Arial"/>
          <w:sz w:val="18"/>
          <w:vertAlign w:val="superscript"/>
        </w:rPr>
        <w:t>1</w:t>
      </w:r>
      <w:r>
        <w:rPr>
          <w:rFonts w:eastAsia="Arial" w:cs="Arial" w:ascii="Arial" w:hAnsi="Arial"/>
          <w:sz w:val="14"/>
        </w:rPr>
        <w:t>97S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0" w:leader="none"/>
        </w:tabs>
        <w:spacing w:lineRule="atLeast" w:line="0"/>
        <w:ind w:end="520"/>
        <w:jc w:val="center"/>
        <w:rPr/>
      </w:pPr>
      <w:r>
        <w:rPr>
          <w:rFonts w:eastAsia="Arial" w:cs="Arial" w:ascii="Arial" w:hAnsi="Arial"/>
          <w:sz w:val="11"/>
        </w:rPr>
        <w:t>FOIT</w:t>
      </w:r>
      <w:r>
        <w:rPr>
          <w:rFonts w:eastAsia="Times New Roman" w:cs="Times New Roman" w:ascii="Times New Roman" w:hAnsi="Times New Roman"/>
        </w:rPr>
        <w:tab/>
      </w:r>
      <w:r>
        <w:rPr>
          <w:rFonts w:eastAsia="Arial" w:cs="Arial" w:ascii="Arial" w:hAnsi="Arial"/>
          <w:sz w:val="14"/>
        </w:rPr>
        <w:t>levelopod from NM Taxation and Revenue Department Form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20"/>
        <w:jc w:val="center"/>
        <w:rPr>
          <w:rFonts w:ascii="Arial" w:hAnsi="Arial" w:eastAsia="Arial" w:cs="Arial"/>
          <w:sz w:val="14"/>
        </w:rPr>
      </w:pPr>
      <w:r>
        <w:rPr>
          <w:rFonts w:eastAsia="Arial" w:cs="Arial" w:ascii="Arial" w:hAnsi="Arial"/>
          <w:sz w:val="14"/>
        </w:rPr>
        <w:t>See reverse side for siatule information</w:t>
      </w:r>
    </w:p>
    <w:p>
      <w:pPr>
        <w:sectPr>
          <w:type w:val="continuous"/>
          <w:pgSz w:w="12240" w:h="15840"/>
          <w:pgMar w:left="760" w:right="760" w:gutter="0" w:header="0" w:top="637" w:footer="0" w:bottom="0"/>
          <w:formProt w:val="false"/>
          <w:textDirection w:val="lrTb"/>
          <w:docGrid w:type="default" w:linePitch="360" w:charSpace="0"/>
        </w:sectPr>
      </w:pPr>
    </w:p>
    <w:p>
      <w:pPr>
        <w:pStyle w:val="Normal"/>
        <w:spacing w:lineRule="atLeast" w:line="0"/>
        <w:rPr>
          <w:rFonts w:ascii="Arial" w:hAnsi="Arial" w:eastAsia="Arial" w:cs="Arial"/>
          <w:b/>
        </w:rPr>
      </w:pPr>
      <w:bookmarkStart w:id="1" w:name="page2"/>
      <w:bookmarkEnd w:id="1"/>
      <w:r>
        <w:rPr>
          <w:rFonts w:eastAsia="Arial" w:cs="Arial" w:ascii="Arial" w:hAnsi="Arial"/>
          <w:b/>
        </w:rPr>
        <w:t>7-38-12.1. PROPERTY TRANSFERS-AFFIDAVIT TO BE FILED WITH ASSESSOR.</w:t>
      </w:r>
    </w:p>
    <w:p>
      <w:pPr>
        <w:pStyle w:val="Normal"/>
        <w:spacing w:lineRule="exact" w:line="19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6"/>
        <w:ind w:end="720"/>
        <w:jc w:val="both"/>
        <w:rPr>
          <w:rFonts w:ascii="Arial" w:hAnsi="Arial" w:eastAsia="Arial" w:cs="Arial"/>
          <w:sz w:val="19"/>
        </w:rPr>
      </w:pPr>
      <w:r>
        <w:rPr>
          <w:rFonts w:eastAsia="Arial" w:cs="Arial" w:ascii="Arial" w:hAnsi="Arial"/>
          <w:sz w:val="19"/>
        </w:rPr>
        <w:t>A. After January 1, 2004, a person presenting a deed, real estate contract or memorandum of real estate contract for recording with a county clerk shall also file with the county assessor within thirty days of the date of filing with the county clerk an affidavit signed and completed in accordance with the provisions of Subsection B of this section.</w:t>
      </w:r>
    </w:p>
    <w:p>
      <w:pPr>
        <w:pStyle w:val="Normal"/>
        <w:spacing w:lineRule="exact" w:line="14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2"/>
        <w:ind w:end="700"/>
        <w:jc w:val="both"/>
        <w:rPr>
          <w:rFonts w:ascii="Arial" w:hAnsi="Arial" w:eastAsia="Arial" w:cs="Arial"/>
        </w:rPr>
      </w:pPr>
      <w:r>
        <w:rPr>
          <w:rFonts w:eastAsia="Arial" w:cs="Arial" w:ascii="Arial" w:hAnsi="Arial"/>
        </w:rPr>
        <w:t>B. The affidavit required for submission shall be in a form developed by the property tax division and signed by the transferors or their authorized agents or the transferees or their authorized agents of any interest in real property transferred by deed or real estate contract. The affidavit shall contain at least the following information to be used only for analytical and statistical purposes in the application of appraisal methods:</w:t>
      </w:r>
    </w:p>
    <w:p>
      <w:pPr>
        <w:pStyle w:val="Normal"/>
        <w:numPr>
          <w:ilvl w:val="1"/>
          <w:numId w:val="2"/>
        </w:numPr>
        <w:tabs>
          <w:tab w:val="clear" w:pos="720"/>
          <w:tab w:val="left" w:pos="1840" w:leader="none"/>
        </w:tabs>
        <w:spacing w:lineRule="auto" w:line="230"/>
        <w:ind w:hanging="249" w:start="1840" w:end="0"/>
        <w:rPr>
          <w:rFonts w:ascii="Arial" w:hAnsi="Arial" w:eastAsia="Arial" w:cs="Arial"/>
        </w:rPr>
      </w:pPr>
      <w:r>
        <w:rPr>
          <w:rFonts w:eastAsia="Arial" w:cs="Arial" w:ascii="Arial" w:hAnsi="Arial"/>
        </w:rPr>
        <w:t>the complete names of all transferors and transferees;</w:t>
      </w:r>
    </w:p>
    <w:p>
      <w:pPr>
        <w:pStyle w:val="Normal"/>
        <w:numPr>
          <w:ilvl w:val="1"/>
          <w:numId w:val="2"/>
        </w:numPr>
        <w:tabs>
          <w:tab w:val="clear" w:pos="720"/>
          <w:tab w:val="left" w:pos="1840" w:leader="none"/>
        </w:tabs>
        <w:spacing w:lineRule="auto" w:line="237"/>
        <w:ind w:hanging="244" w:start="1840" w:end="0"/>
        <w:rPr>
          <w:rFonts w:ascii="Arial" w:hAnsi="Arial" w:eastAsia="Arial" w:cs="Arial"/>
          <w:sz w:val="19"/>
        </w:rPr>
      </w:pPr>
      <w:r>
        <w:rPr>
          <w:rFonts w:eastAsia="Arial" w:cs="Arial" w:ascii="Arial" w:hAnsi="Arial"/>
          <w:sz w:val="19"/>
        </w:rPr>
        <w:t>the current mailing addresses of all transferors and transferees;</w:t>
      </w:r>
    </w:p>
    <w:p>
      <w:pPr>
        <w:pStyle w:val="Normal"/>
        <w:numPr>
          <w:ilvl w:val="1"/>
          <w:numId w:val="2"/>
        </w:numPr>
        <w:tabs>
          <w:tab w:val="clear" w:pos="720"/>
          <w:tab w:val="left" w:pos="1840" w:leader="none"/>
        </w:tabs>
        <w:spacing w:lineRule="auto" w:line="235"/>
        <w:ind w:hanging="254" w:start="1840" w:end="0"/>
        <w:rPr>
          <w:rFonts w:ascii="Arial" w:hAnsi="Arial" w:eastAsia="Arial" w:cs="Arial"/>
          <w:sz w:val="19"/>
        </w:rPr>
      </w:pPr>
      <w:r>
        <w:rPr>
          <w:rFonts w:eastAsia="Arial" w:cs="Arial" w:ascii="Arial" w:hAnsi="Arial"/>
          <w:sz w:val="19"/>
        </w:rPr>
        <w:t>the legal description of the real property interest transferred as it appears in the document of transfer;</w:t>
      </w:r>
    </w:p>
    <w:p>
      <w:pPr>
        <w:pStyle w:val="Normal"/>
        <w:numPr>
          <w:ilvl w:val="1"/>
          <w:numId w:val="2"/>
        </w:numPr>
        <w:tabs>
          <w:tab w:val="clear" w:pos="720"/>
          <w:tab w:val="left" w:pos="1840" w:leader="none"/>
        </w:tabs>
        <w:spacing w:lineRule="atLeast" w:line="0"/>
        <w:ind w:hanging="254" w:start="1840" w:end="0"/>
        <w:rPr>
          <w:rFonts w:ascii="Arial" w:hAnsi="Arial" w:eastAsia="Arial" w:cs="Arial"/>
          <w:sz w:val="18"/>
        </w:rPr>
      </w:pPr>
      <w:r>
        <w:rPr>
          <w:rFonts w:eastAsia="Arial" w:cs="Arial" w:ascii="Arial" w:hAnsi="Arial"/>
          <w:sz w:val="18"/>
        </w:rPr>
        <w:t>the full consideration, including money or any other thing of value, paid or exchanged for the transfer, and</w:t>
      </w:r>
    </w:p>
    <w:p>
      <w:pPr>
        <w:pStyle w:val="Normal"/>
        <w:spacing w:lineRule="exact" w:line="9"/>
        <w:rPr>
          <w:rFonts w:ascii="Arial" w:hAnsi="Arial" w:eastAsia="Arial" w:cs="Arial"/>
          <w:sz w:val="18"/>
        </w:rPr>
      </w:pPr>
      <w:r>
        <w:rPr>
          <w:rFonts w:eastAsia="Arial" w:cs="Arial" w:ascii="Arial" w:hAnsi="Arial"/>
          <w:sz w:val="18"/>
        </w:rPr>
      </w:r>
    </w:p>
    <w:p>
      <w:pPr>
        <w:pStyle w:val="Normal"/>
        <w:numPr>
          <w:ilvl w:val="1"/>
          <w:numId w:val="2"/>
        </w:numPr>
        <w:tabs>
          <w:tab w:val="clear" w:pos="720"/>
          <w:tab w:val="left" w:pos="1840" w:leader="none"/>
        </w:tabs>
        <w:spacing w:lineRule="atLeast" w:line="0"/>
        <w:ind w:hanging="249" w:start="1840" w:end="0"/>
        <w:rPr>
          <w:rFonts w:ascii="Arial" w:hAnsi="Arial" w:eastAsia="Arial" w:cs="Arial"/>
        </w:rPr>
      </w:pPr>
      <w:r>
        <w:rPr>
          <w:rFonts w:eastAsia="Arial" w:cs="Arial" w:ascii="Arial" w:hAnsi="Arial"/>
        </w:rPr>
        <w:t>the value and a description of personal property that is included in the sale price.</w:t>
      </w:r>
    </w:p>
    <w:p>
      <w:pPr>
        <w:pStyle w:val="Normal"/>
        <w:spacing w:lineRule="exact" w:line="191"/>
        <w:rPr>
          <w:rFonts w:ascii="Arial" w:hAnsi="Arial" w:eastAsia="Arial" w:cs="Arial"/>
        </w:rPr>
      </w:pPr>
      <w:r>
        <w:rPr>
          <w:rFonts w:eastAsia="Arial" w:cs="Arial" w:ascii="Arial" w:hAnsi="Arial"/>
        </w:rPr>
      </w:r>
    </w:p>
    <w:p>
      <w:pPr>
        <w:pStyle w:val="Normal"/>
        <w:spacing w:lineRule="auto" w:line="232"/>
        <w:ind w:end="720"/>
        <w:jc w:val="both"/>
        <w:rPr>
          <w:rFonts w:ascii="Arial" w:hAnsi="Arial" w:eastAsia="Arial" w:cs="Arial"/>
        </w:rPr>
      </w:pPr>
      <w:r>
        <w:rPr>
          <w:rFonts w:eastAsia="Arial" w:cs="Arial" w:ascii="Arial" w:hAnsi="Arial"/>
        </w:rPr>
        <w:t>C. Upon receipt of the affidavit required by Subsection A of this section, the county assessor shall place the date of receipt on the original affidavit. The county assessor shall retain the original affidavit as a permanent, confidential record and as proof of compliance. The assessor shall index the affidavits in a manner that permits cross-referencing to other records in the assessor's office pertaining to the specific property described in the affidavit. The affidavit and its contents are not part of the valuation record of the assessor.</w: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00" w:leader="none"/>
        </w:tabs>
        <w:spacing w:lineRule="atLeast" w:line="0"/>
        <w:ind w:hanging="198" w:start="200" w:end="0"/>
        <w:rPr>
          <w:rFonts w:ascii="Arial" w:hAnsi="Arial" w:eastAsia="Arial" w:cs="Arial"/>
        </w:rPr>
      </w:pPr>
      <w:r>
        <w:rPr>
          <w:rFonts w:eastAsia="Arial" w:cs="Arial" w:ascii="Arial" w:hAnsi="Arial"/>
        </w:rPr>
        <w:t>The affidavit required by Subsection A of this section shall not be required for</w:t>
      </w:r>
    </w:p>
    <w:p>
      <w:pPr>
        <w:pStyle w:val="Normal"/>
        <w:spacing w:lineRule="exact" w:line="15"/>
        <w:rPr>
          <w:rFonts w:ascii="Arial" w:hAnsi="Arial" w:eastAsia="Arial" w:cs="Arial"/>
        </w:rPr>
      </w:pPr>
      <w:r>
        <w:rPr>
          <w:rFonts w:eastAsia="Arial" w:cs="Arial" w:ascii="Arial" w:hAnsi="Arial"/>
        </w:rPr>
      </w:r>
    </w:p>
    <w:p>
      <w:pPr>
        <w:pStyle w:val="Normal"/>
        <w:numPr>
          <w:ilvl w:val="1"/>
          <w:numId w:val="3"/>
        </w:numPr>
        <w:tabs>
          <w:tab w:val="clear" w:pos="720"/>
          <w:tab w:val="left" w:pos="1886" w:leader="none"/>
        </w:tabs>
        <w:spacing w:lineRule="auto" w:line="228"/>
        <w:ind w:hanging="9" w:start="1600" w:end="720"/>
        <w:rPr>
          <w:rFonts w:ascii="Arial" w:hAnsi="Arial" w:eastAsia="Arial" w:cs="Arial"/>
        </w:rPr>
      </w:pPr>
      <w:r>
        <w:rPr>
          <w:rFonts w:eastAsia="Arial" w:cs="Arial" w:ascii="Arial" w:hAnsi="Arial"/>
        </w:rPr>
        <w:t>a deed that results from the payment in full or forfeiture by a transferee under a recorded real estate contract or recorded memorandum of real estate contract;</w:t>
      </w:r>
    </w:p>
    <w:p>
      <w:pPr>
        <w:pStyle w:val="Normal"/>
        <w:spacing w:lineRule="exact" w:line="1"/>
        <w:rPr>
          <w:rFonts w:ascii="Arial" w:hAnsi="Arial" w:eastAsia="Arial" w:cs="Arial"/>
        </w:rPr>
      </w:pPr>
      <w:r>
        <w:rPr>
          <w:rFonts w:eastAsia="Arial" w:cs="Arial" w:ascii="Arial" w:hAnsi="Arial"/>
        </w:rPr>
      </w:r>
    </w:p>
    <w:p>
      <w:pPr>
        <w:pStyle w:val="Normal"/>
        <w:numPr>
          <w:ilvl w:val="1"/>
          <w:numId w:val="3"/>
        </w:numPr>
        <w:tabs>
          <w:tab w:val="clear" w:pos="720"/>
          <w:tab w:val="left" w:pos="1840" w:leader="none"/>
        </w:tabs>
        <w:spacing w:lineRule="auto" w:line="228"/>
        <w:ind w:hanging="249" w:start="1840" w:end="0"/>
        <w:rPr>
          <w:rFonts w:ascii="Arial" w:hAnsi="Arial" w:eastAsia="Arial" w:cs="Arial"/>
        </w:rPr>
      </w:pPr>
      <w:r>
        <w:rPr>
          <w:rFonts w:eastAsia="Arial" w:cs="Arial" w:ascii="Arial" w:hAnsi="Arial"/>
        </w:rPr>
        <w:t>a lease of or easement on real property, regardless of the length of term;</w:t>
      </w:r>
    </w:p>
    <w:p>
      <w:pPr>
        <w:pStyle w:val="Normal"/>
        <w:numPr>
          <w:ilvl w:val="1"/>
          <w:numId w:val="3"/>
        </w:numPr>
        <w:tabs>
          <w:tab w:val="clear" w:pos="720"/>
          <w:tab w:val="left" w:pos="1850" w:leader="none"/>
        </w:tabs>
        <w:spacing w:lineRule="auto" w:line="225"/>
        <w:ind w:firstLine="6" w:start="1580" w:end="720"/>
        <w:jc w:val="both"/>
        <w:rPr>
          <w:rFonts w:ascii="Arial" w:hAnsi="Arial" w:eastAsia="Arial" w:cs="Arial"/>
        </w:rPr>
      </w:pPr>
      <w:r>
        <w:rPr>
          <w:rFonts w:eastAsia="Arial" w:cs="Arial" w:ascii="Arial" w:hAnsi="Arial"/>
        </w:rPr>
        <w:t>a deed, patent or contract for sale or transfer of real property in which an agency or representative of the United States, New Mexico or any political subdivision of the state is the named grantor or grantee and authorized transferor or transferee;</w:t>
      </w:r>
    </w:p>
    <w:p>
      <w:pPr>
        <w:pStyle w:val="Normal"/>
        <w:numPr>
          <w:ilvl w:val="1"/>
          <w:numId w:val="3"/>
        </w:numPr>
        <w:tabs>
          <w:tab w:val="clear" w:pos="720"/>
          <w:tab w:val="left" w:pos="1840" w:leader="none"/>
        </w:tabs>
        <w:spacing w:lineRule="auto" w:line="228"/>
        <w:ind w:hanging="249" w:start="1840" w:end="0"/>
        <w:rPr>
          <w:rFonts w:ascii="Arial" w:hAnsi="Arial" w:eastAsia="Arial" w:cs="Arial"/>
        </w:rPr>
      </w:pPr>
      <w:r>
        <w:rPr>
          <w:rFonts w:eastAsia="Arial" w:cs="Arial" w:ascii="Arial" w:hAnsi="Arial"/>
        </w:rPr>
        <w:t>a quitclaim deed to quiet title or clear boundary disputes;</w:t>
      </w:r>
    </w:p>
    <w:p>
      <w:pPr>
        <w:pStyle w:val="Normal"/>
        <w:numPr>
          <w:ilvl w:val="1"/>
          <w:numId w:val="3"/>
        </w:numPr>
        <w:tabs>
          <w:tab w:val="clear" w:pos="720"/>
          <w:tab w:val="left" w:pos="1840" w:leader="none"/>
        </w:tabs>
        <w:spacing w:lineRule="auto" w:line="223"/>
        <w:ind w:hanging="249" w:start="1840" w:end="0"/>
        <w:rPr>
          <w:rFonts w:ascii="Arial" w:hAnsi="Arial" w:eastAsia="Arial" w:cs="Arial"/>
        </w:rPr>
      </w:pPr>
      <w:r>
        <w:rPr>
          <w:rFonts w:eastAsia="Arial" w:cs="Arial" w:ascii="Arial" w:hAnsi="Arial"/>
        </w:rPr>
        <w:t>a conveyance of real property executed pursuant to court order,</w:t>
      </w:r>
    </w:p>
    <w:p>
      <w:pPr>
        <w:pStyle w:val="Normal"/>
        <w:numPr>
          <w:ilvl w:val="1"/>
          <w:numId w:val="3"/>
        </w:numPr>
        <w:tabs>
          <w:tab w:val="clear" w:pos="720"/>
          <w:tab w:val="left" w:pos="1840" w:leader="none"/>
        </w:tabs>
        <w:spacing w:lineRule="auto" w:line="228"/>
        <w:ind w:hanging="254" w:start="1840" w:end="0"/>
        <w:rPr>
          <w:rFonts w:ascii="Arial" w:hAnsi="Arial" w:eastAsia="Arial" w:cs="Arial"/>
        </w:rPr>
      </w:pPr>
      <w:r>
        <w:rPr>
          <w:rFonts w:eastAsia="Arial" w:cs="Arial" w:ascii="Arial" w:hAnsi="Arial"/>
        </w:rPr>
        <w:t>a deed to an unpatented mining claim;</w:t>
      </w:r>
    </w:p>
    <w:p>
      <w:pPr>
        <w:pStyle w:val="Normal"/>
        <w:numPr>
          <w:ilvl w:val="1"/>
          <w:numId w:val="3"/>
        </w:numPr>
        <w:tabs>
          <w:tab w:val="clear" w:pos="720"/>
          <w:tab w:val="left" w:pos="1840" w:leader="none"/>
        </w:tabs>
        <w:spacing w:lineRule="auto" w:line="228"/>
        <w:ind w:hanging="254" w:start="1840" w:end="0"/>
        <w:rPr>
          <w:rFonts w:ascii="Arial" w:hAnsi="Arial" w:eastAsia="Arial" w:cs="Arial"/>
        </w:rPr>
      </w:pPr>
      <w:r>
        <w:rPr>
          <w:rFonts w:eastAsia="Arial" w:cs="Arial" w:ascii="Arial" w:hAnsi="Arial"/>
        </w:rPr>
        <w:t>an instrument solely to provide or release security for a debt or obligation;</w:t>
      </w:r>
    </w:p>
    <w:p>
      <w:pPr>
        <w:pStyle w:val="Normal"/>
        <w:numPr>
          <w:ilvl w:val="1"/>
          <w:numId w:val="3"/>
        </w:numPr>
        <w:tabs>
          <w:tab w:val="clear" w:pos="720"/>
          <w:tab w:val="left" w:pos="1860" w:leader="none"/>
        </w:tabs>
        <w:spacing w:lineRule="auto" w:line="225"/>
        <w:ind w:hanging="264" w:start="1860" w:end="0"/>
        <w:rPr>
          <w:rFonts w:ascii="Arial" w:hAnsi="Arial" w:eastAsia="Arial" w:cs="Arial"/>
        </w:rPr>
      </w:pPr>
      <w:r>
        <w:rPr>
          <w:rFonts w:eastAsia="Arial" w:cs="Arial" w:ascii="Arial" w:hAnsi="Arial"/>
        </w:rPr>
        <w:t>an instrument that confirms or corrects a deed previously recorded;</w:t>
      </w:r>
    </w:p>
    <w:p>
      <w:pPr>
        <w:pStyle w:val="Normal"/>
        <w:numPr>
          <w:ilvl w:val="1"/>
          <w:numId w:val="3"/>
        </w:numPr>
        <w:tabs>
          <w:tab w:val="clear" w:pos="720"/>
          <w:tab w:val="left" w:pos="1840" w:leader="none"/>
        </w:tabs>
        <w:spacing w:lineRule="atLeast" w:line="0"/>
        <w:ind w:hanging="249" w:start="1840" w:end="0"/>
        <w:rPr>
          <w:rFonts w:ascii="Arial" w:hAnsi="Arial" w:eastAsia="Arial" w:cs="Arial"/>
          <w:sz w:val="18"/>
        </w:rPr>
      </w:pPr>
      <w:r>
        <w:rPr>
          <w:rFonts w:eastAsia="Arial" w:cs="Arial" w:ascii="Arial" w:hAnsi="Arial"/>
          <w:sz w:val="18"/>
        </w:rPr>
        <w:t>an instrument between husband and wife or parent and child with only nominal actual consideration therefor</w:t>
      </w:r>
    </w:p>
    <w:p>
      <w:pPr>
        <w:pStyle w:val="Normal"/>
        <w:spacing w:lineRule="exact" w:line="9"/>
        <w:rPr>
          <w:rFonts w:ascii="Arial" w:hAnsi="Arial" w:eastAsia="Arial" w:cs="Arial"/>
          <w:sz w:val="18"/>
        </w:rPr>
      </w:pPr>
      <w:r>
        <w:rPr>
          <w:rFonts w:eastAsia="Arial" w:cs="Arial" w:ascii="Arial" w:hAnsi="Arial"/>
          <w:sz w:val="18"/>
        </w:rPr>
      </w:r>
    </w:p>
    <w:p>
      <w:pPr>
        <w:pStyle w:val="Normal"/>
        <w:numPr>
          <w:ilvl w:val="1"/>
          <w:numId w:val="3"/>
        </w:numPr>
        <w:tabs>
          <w:tab w:val="clear" w:pos="720"/>
          <w:tab w:val="left" w:pos="1940" w:leader="none"/>
        </w:tabs>
        <w:spacing w:lineRule="atLeast" w:line="0"/>
        <w:ind w:hanging="349" w:start="1940" w:end="0"/>
        <w:rPr>
          <w:rFonts w:ascii="Arial" w:hAnsi="Arial" w:eastAsia="Arial" w:cs="Arial"/>
          <w:sz w:val="19"/>
        </w:rPr>
      </w:pPr>
      <w:r>
        <w:rPr>
          <w:rFonts w:eastAsia="Arial" w:cs="Arial" w:ascii="Arial" w:hAnsi="Arial"/>
          <w:sz w:val="19"/>
        </w:rPr>
        <w:t>an instrument arising out of a sale for delinquent taxes or assessments;</w:t>
      </w:r>
    </w:p>
    <w:p>
      <w:pPr>
        <w:pStyle w:val="Normal"/>
        <w:spacing w:lineRule="exact" w:line="2"/>
        <w:rPr>
          <w:rFonts w:ascii="Arial" w:hAnsi="Arial" w:eastAsia="Arial" w:cs="Arial"/>
          <w:sz w:val="19"/>
        </w:rPr>
      </w:pPr>
      <w:r>
        <w:rPr>
          <w:rFonts w:eastAsia="Arial" w:cs="Arial" w:ascii="Arial" w:hAnsi="Arial"/>
          <w:sz w:val="19"/>
        </w:rPr>
      </w:r>
    </w:p>
    <w:p>
      <w:pPr>
        <w:pStyle w:val="Normal"/>
        <w:numPr>
          <w:ilvl w:val="1"/>
          <w:numId w:val="3"/>
        </w:numPr>
        <w:tabs>
          <w:tab w:val="clear" w:pos="720"/>
          <w:tab w:val="left" w:pos="1940" w:leader="none"/>
        </w:tabs>
        <w:spacing w:lineRule="auto" w:line="235"/>
        <w:ind w:hanging="349" w:start="1940" w:end="0"/>
        <w:rPr>
          <w:rFonts w:ascii="Arial" w:hAnsi="Arial" w:eastAsia="Arial" w:cs="Arial"/>
          <w:sz w:val="19"/>
        </w:rPr>
      </w:pPr>
      <w:r>
        <w:rPr>
          <w:rFonts w:eastAsia="Arial" w:cs="Arial" w:ascii="Arial" w:hAnsi="Arial"/>
          <w:sz w:val="19"/>
        </w:rPr>
        <w:t>an instrument accomplishing a court-ordered partition;</w:t>
      </w:r>
    </w:p>
    <w:p>
      <w:pPr>
        <w:pStyle w:val="Normal"/>
        <w:numPr>
          <w:ilvl w:val="1"/>
          <w:numId w:val="3"/>
        </w:numPr>
        <w:tabs>
          <w:tab w:val="clear" w:pos="720"/>
          <w:tab w:val="left" w:pos="1940" w:leader="none"/>
        </w:tabs>
        <w:spacing w:lineRule="atLeast" w:line="0"/>
        <w:ind w:hanging="349" w:start="1940" w:end="0"/>
        <w:rPr>
          <w:rFonts w:ascii="Arial" w:hAnsi="Arial" w:eastAsia="Arial" w:cs="Arial"/>
          <w:sz w:val="19"/>
        </w:rPr>
      </w:pPr>
      <w:r>
        <w:rPr>
          <w:rFonts w:eastAsia="Arial" w:cs="Arial" w:ascii="Arial" w:hAnsi="Arial"/>
          <w:sz w:val="19"/>
        </w:rPr>
        <w:t>an instrument arising out of a merger or incorporation;</w:t>
      </w:r>
    </w:p>
    <w:p>
      <w:pPr>
        <w:pStyle w:val="Normal"/>
        <w:spacing w:lineRule="exact" w:line="2"/>
        <w:rPr>
          <w:rFonts w:ascii="Arial" w:hAnsi="Arial" w:eastAsia="Arial" w:cs="Arial"/>
          <w:sz w:val="19"/>
        </w:rPr>
      </w:pPr>
      <w:r>
        <w:rPr>
          <w:rFonts w:eastAsia="Arial" w:cs="Arial" w:ascii="Arial" w:hAnsi="Arial"/>
          <w:sz w:val="19"/>
        </w:rPr>
      </w:r>
    </w:p>
    <w:p>
      <w:pPr>
        <w:pStyle w:val="Normal"/>
        <w:numPr>
          <w:ilvl w:val="1"/>
          <w:numId w:val="3"/>
        </w:numPr>
        <w:tabs>
          <w:tab w:val="clear" w:pos="720"/>
          <w:tab w:val="left" w:pos="1940" w:leader="none"/>
        </w:tabs>
        <w:spacing w:lineRule="atLeast" w:line="0"/>
        <w:ind w:hanging="349" w:start="1940" w:end="0"/>
        <w:rPr>
          <w:rFonts w:ascii="Arial" w:hAnsi="Arial" w:eastAsia="Arial" w:cs="Arial"/>
          <w:sz w:val="19"/>
        </w:rPr>
      </w:pPr>
      <w:r>
        <w:rPr>
          <w:rFonts w:eastAsia="Arial" w:cs="Arial" w:ascii="Arial" w:hAnsi="Arial"/>
          <w:sz w:val="19"/>
        </w:rPr>
        <w:t>an instrument by a subsidiary corporation to its parent</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28"/>
        <w:ind w:start="1600" w:end="1540"/>
        <w:rPr>
          <w:rFonts w:ascii="Arial" w:hAnsi="Arial" w:eastAsia="Arial" w:cs="Arial"/>
        </w:rPr>
      </w:pPr>
      <w:r>
        <w:rPr>
          <w:rFonts w:eastAsia="Arial" w:cs="Arial" w:ascii="Arial" w:hAnsi="Arial"/>
        </w:rPr>
        <w:t>corporation for no consideration, nominal consideration or in sole consideration of the cancellation or surrender of the subsidiary's stock;</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1962" w:leader="none"/>
        </w:tabs>
        <w:spacing w:lineRule="auto" w:line="228"/>
        <w:ind w:hanging="9" w:start="1600" w:end="740"/>
        <w:rPr>
          <w:rFonts w:ascii="Arial" w:hAnsi="Arial" w:eastAsia="Arial" w:cs="Arial"/>
        </w:rPr>
      </w:pPr>
      <w:r>
        <w:rPr>
          <w:rFonts w:eastAsia="Arial" w:cs="Arial" w:ascii="Arial" w:hAnsi="Arial"/>
        </w:rPr>
        <w:t>an instrument from a person to a trustee or from a trustee to a trust beneficiary with only nominal actual consideration therefor;</w:t>
      </w:r>
    </w:p>
    <w:p>
      <w:pPr>
        <w:pStyle w:val="Normal"/>
        <w:numPr>
          <w:ilvl w:val="1"/>
          <w:numId w:val="4"/>
        </w:numPr>
        <w:tabs>
          <w:tab w:val="clear" w:pos="720"/>
          <w:tab w:val="left" w:pos="1941" w:leader="none"/>
        </w:tabs>
        <w:spacing w:lineRule="auto" w:line="244"/>
        <w:ind w:firstLine="6" w:start="1580" w:end="740"/>
        <w:rPr>
          <w:rFonts w:ascii="Arial" w:hAnsi="Arial" w:eastAsia="Arial" w:cs="Arial"/>
          <w:sz w:val="19"/>
        </w:rPr>
      </w:pPr>
      <w:r>
        <w:rPr>
          <w:rFonts w:eastAsia="Arial" w:cs="Arial" w:ascii="Arial" w:hAnsi="Arial"/>
          <w:sz w:val="19"/>
        </w:rPr>
        <w:t>an instrument to or from an intermediary for the purpose of creating a joint tenancy estate or some other form of ownership; or</w:t>
      </w:r>
    </w:p>
    <w:p>
      <w:pPr>
        <w:pStyle w:val="Normal"/>
        <w:numPr>
          <w:ilvl w:val="1"/>
          <w:numId w:val="4"/>
        </w:numPr>
        <w:tabs>
          <w:tab w:val="clear" w:pos="720"/>
          <w:tab w:val="left" w:pos="1939" w:leader="none"/>
        </w:tabs>
        <w:spacing w:lineRule="auto" w:line="228"/>
        <w:ind w:firstLine="1582" w:end="880"/>
        <w:rPr>
          <w:rFonts w:ascii="Arial" w:hAnsi="Arial" w:eastAsia="Arial" w:cs="Arial"/>
        </w:rPr>
      </w:pPr>
      <w:r>
        <w:rPr>
          <w:rFonts w:eastAsia="Arial" w:cs="Arial" w:ascii="Arial" w:hAnsi="Arial"/>
        </w:rPr>
        <w:t>an instrument delivered to establish a gift or a distribution from an estate of a decedent or trust. E. The affidavit required by Subsection A of this section shall not be construed to be a valuation record pursuant to Section 7-38-19 NMSA 1978.</w:t>
      </w:r>
    </w:p>
    <w:p>
      <w:pPr>
        <w:pStyle w:val="Normal"/>
        <w:spacing w:lineRule="exact" w:line="2"/>
        <w:rPr>
          <w:rFonts w:ascii="Arial" w:hAnsi="Arial" w:eastAsia="Arial" w:cs="Arial"/>
        </w:rPr>
      </w:pPr>
      <w:r>
        <w:rPr>
          <w:rFonts w:eastAsia="Arial" w:cs="Arial" w:ascii="Arial" w:hAnsi="Arial"/>
        </w:rPr>
      </w:r>
    </w:p>
    <w:p>
      <w:pPr>
        <w:pStyle w:val="Normal"/>
        <w:spacing w:lineRule="auto" w:line="237"/>
        <w:rPr>
          <w:rFonts w:ascii="Arial" w:hAnsi="Arial" w:eastAsia="Arial" w:cs="Arial"/>
          <w:sz w:val="19"/>
        </w:rPr>
      </w:pPr>
      <w:r>
        <w:rPr>
          <w:rFonts w:eastAsia="Arial" w:cs="Arial" w:ascii="Arial" w:hAnsi="Arial"/>
          <w:sz w:val="19"/>
        </w:rPr>
        <w:t>F. Prior to November 1, 2003. the department shall print and distribute to each county assessor affidavit forms for distribution</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to the public upon request.</w: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7-38-12.2. Penalties. (2003)</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end="120"/>
        <w:rPr/>
      </w:pPr>
      <w:r>
        <w:rPr>
          <w:rFonts w:eastAsia="Arial" w:cs="Arial" w:ascii="Arial" w:hAnsi="Arial"/>
          <w:sz w:val="17"/>
        </w:rPr>
        <w:t xml:space="preserve">A. A person who intentionally refuses to make a required report within the time period specified under the provisions of </w:t>
      </w:r>
      <w:r>
        <w:rPr>
          <w:rFonts w:eastAsia="Arial" w:cs="Arial" w:ascii="Arial" w:hAnsi="Arial"/>
          <w:sz w:val="17"/>
          <w:u w:val="single"/>
        </w:rPr>
        <w:t>Section 7-38-12.1</w:t>
      </w:r>
      <w:r>
        <w:rPr>
          <w:rFonts w:eastAsia="Arial" w:cs="Arial" w:ascii="Arial" w:hAnsi="Arial"/>
          <w:sz w:val="17"/>
        </w:rPr>
        <w:t xml:space="preserve"> NMSA 1978 or who knowingly makes a false statement on an affidavit required under the provisions of </w:t>
      </w:r>
      <w:r>
        <w:rPr>
          <w:rFonts w:eastAsia="Arial" w:cs="Arial" w:ascii="Arial" w:hAnsi="Arial"/>
          <w:sz w:val="17"/>
          <w:u w:val="single"/>
        </w:rPr>
        <w:t>Section 7-38-12 1</w:t>
      </w:r>
      <w:r>
        <w:rPr>
          <w:rFonts w:eastAsia="Arial" w:cs="Arial" w:ascii="Arial" w:hAnsi="Arial"/>
          <w:sz w:val="17"/>
        </w:rPr>
        <w:t xml:space="preserve"> NMSA 1978 is guilty of a misdemeanor and upon conviction shall be punished by the imposition of a fine of not more than one thousand dollars ($1,000).</w:t>
      </w:r>
    </w:p>
    <w:p>
      <w:pPr>
        <w:pStyle w:val="Normal"/>
        <w:spacing w:lineRule="exact" w:line="13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rPr/>
      </w:pPr>
      <w:r>
        <w:rPr>
          <w:rFonts w:eastAsia="Arial" w:cs="Arial" w:ascii="Arial" w:hAnsi="Arial"/>
        </w:rPr>
        <w:t xml:space="preserve">B. The secretary, any employee or any former employee of the department or any other person subject to the provisions of </w:t>
      </w:r>
      <w:r>
        <w:rPr>
          <w:rFonts w:eastAsia="Arial" w:cs="Arial" w:ascii="Arial" w:hAnsi="Arial"/>
          <w:u w:val="single"/>
        </w:rPr>
        <w:t>Section 7-38-12.1</w:t>
      </w:r>
      <w:r>
        <w:rPr>
          <w:rFonts w:eastAsia="Arial" w:cs="Arial" w:ascii="Arial" w:hAnsi="Arial"/>
        </w:rPr>
        <w:t xml:space="preserve"> NMSA 1978 who willfully releases information in violation of that section, except as provided in </w:t>
      </w:r>
      <w:r>
        <w:rPr>
          <w:rFonts w:eastAsia="Arial" w:cs="Arial" w:ascii="Arial" w:hAnsi="Arial"/>
          <w:u w:val="single"/>
        </w:rPr>
        <w:t>Section 7-38-4</w:t>
      </w:r>
      <w:r>
        <w:rPr>
          <w:rFonts w:eastAsia="Arial" w:cs="Arial" w:ascii="Arial" w:hAnsi="Arial"/>
        </w:rPr>
        <w:t xml:space="preserve"> NMSA 1978 or as part of a protest proceeding as defined in </w:t>
      </w:r>
      <w:r>
        <w:rPr>
          <w:rFonts w:eastAsia="Arial" w:cs="Arial" w:ascii="Arial" w:hAnsi="Arial"/>
          <w:u w:val="single"/>
        </w:rPr>
        <w:t>Section 7-38-74</w:t>
      </w:r>
      <w:r>
        <w:rPr>
          <w:rFonts w:eastAsia="Arial" w:cs="Arial" w:ascii="Arial" w:hAnsi="Arial"/>
        </w:rPr>
        <w:t xml:space="preserve"> NMSA 1978, is guilty of a misdemeanor and shall be fined not more than one thousand dollars ($1,000).</w:t>
      </w:r>
    </w:p>
    <w:sectPr>
      <w:type w:val="nextPage"/>
      <w:pgSz w:w="12240" w:h="15840"/>
      <w:pgMar w:left="780" w:right="780" w:gutter="0" w:header="0" w:top="565"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upperLetter"/>
      <w:lvlText w:val="%1"/>
      <w:lvlJc w:val="start"/>
      <w:pPr>
        <w:tabs>
          <w:tab w:val="num" w:pos="0"/>
        </w:tabs>
        <w:ind w:start="0" w:hanging="0"/>
      </w:pPr>
    </w:lvl>
    <w:lvl w:ilvl="1">
      <w:start w:val="1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