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576" w:end="0"/>
        <w:rPr>
          <w:rFonts w:ascii="Arial" w:hAnsi="Arial" w:eastAsia="Arial" w:cs="Arial"/>
          <w:sz w:val="22"/>
        </w:rPr>
      </w:pPr>
      <w:bookmarkStart w:id="0" w:name="page1"/>
      <w:bookmarkEnd w:id="0"/>
      <w:r>
        <w:rPr>
          <w:rFonts w:eastAsia="Arial" w:cs="Arial" w:ascii="Arial" w:hAnsi="Arial"/>
          <w:sz w:val="22"/>
        </w:rPr>
        <w:t>21.0591.03001</w:t>
      </w:r>
    </w:p>
    <w:p>
      <w:pPr>
        <w:pStyle w:val="Normal"/>
        <w:spacing w:lineRule="exact" w:line="1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 w:end="0"/>
        <w:rPr>
          <w:rFonts w:ascii="Arial" w:hAnsi="Arial" w:eastAsia="Arial" w:cs="Arial"/>
          <w:sz w:val="22"/>
        </w:rPr>
      </w:pPr>
      <w:r>
        <w:rPr>
          <w:rFonts w:eastAsia="Arial" w:cs="Arial" w:ascii="Arial" w:hAnsi="Arial"/>
          <w:sz w:val="22"/>
        </w:rPr>
        <w:t>Sixty-seventh</w:t>
      </w:r>
    </w:p>
    <w:p>
      <w:pPr>
        <w:pStyle w:val="Normal"/>
        <w:tabs>
          <w:tab w:val="clear" w:pos="720"/>
          <w:tab w:val="left" w:pos="4316" w:leader="none"/>
        </w:tabs>
        <w:spacing w:lineRule="auto" w:line="204"/>
        <w:ind w:start="576" w:end="0"/>
        <w:rPr/>
      </w:pPr>
      <w:r>
        <w:rPr>
          <w:rFonts w:eastAsia="Arial" w:cs="Arial" w:ascii="Arial" w:hAnsi="Arial"/>
          <w:sz w:val="22"/>
        </w:rPr>
        <w:t>Legislative Assembly</w:t>
      </w:r>
      <w:r>
        <w:rPr>
          <w:rFonts w:eastAsia="Times New Roman" w:cs="Times New Roman" w:ascii="Times New Roman" w:hAnsi="Times New Roman"/>
        </w:rPr>
        <w:tab/>
      </w:r>
      <w:r>
        <w:rPr>
          <w:rFonts w:eastAsia="Arial" w:cs="Arial" w:ascii="Arial" w:hAnsi="Arial"/>
          <w:b/>
          <w:sz w:val="35"/>
          <w:vertAlign w:val="superscript"/>
        </w:rPr>
        <w:t>HOUSE BILL NO. 1258</w:t>
      </w:r>
    </w:p>
    <w:p>
      <w:pPr>
        <w:pStyle w:val="Normal"/>
        <w:spacing w:lineRule="exact" w:line="1"/>
        <w:rPr>
          <w:rFonts w:ascii="Times New Roman" w:hAnsi="Times New Roman" w:eastAsia="Times New Roman" w:cs="Times New Roman"/>
          <w:b/>
          <w:sz w:val="24"/>
          <w:vertAlign w:val="superscript"/>
        </w:rPr>
      </w:pPr>
      <w:r>
        <w:rPr>
          <w:rFonts w:eastAsia="Times New Roman" w:cs="Times New Roman" w:ascii="Times New Roman" w:hAnsi="Times New Roman"/>
          <w:b/>
          <w:sz w:val="24"/>
          <w:vertAlign w:val="superscript"/>
        </w:rPr>
      </w:r>
    </w:p>
    <w:p>
      <w:pPr>
        <w:pStyle w:val="Normal"/>
        <w:spacing w:lineRule="atLeast" w:line="0"/>
        <w:ind w:start="576" w:end="0"/>
        <w:rPr>
          <w:rFonts w:ascii="Arial" w:hAnsi="Arial" w:eastAsia="Arial" w:cs="Arial"/>
          <w:sz w:val="22"/>
        </w:rPr>
      </w:pPr>
      <w:r>
        <w:rPr>
          <w:rFonts w:eastAsia="Arial" w:cs="Arial" w:ascii="Arial" w:hAnsi="Arial"/>
          <w:sz w:val="22"/>
        </w:rPr>
        <w:t>of North Dakota</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 w:end="0"/>
        <w:rPr>
          <w:rFonts w:ascii="Arial" w:hAnsi="Arial" w:eastAsia="Arial" w:cs="Arial"/>
          <w:sz w:val="22"/>
        </w:rPr>
      </w:pPr>
      <w:r>
        <w:rPr>
          <w:rFonts w:eastAsia="Arial" w:cs="Arial" w:ascii="Arial" w:hAnsi="Arial"/>
          <w:sz w:val="22"/>
        </w:rPr>
        <w:t>Introduced by</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89"/>
        <w:ind w:start="856" w:end="1460"/>
        <w:rPr>
          <w:rFonts w:ascii="Arial" w:hAnsi="Arial" w:eastAsia="Arial" w:cs="Arial"/>
          <w:sz w:val="22"/>
        </w:rPr>
      </w:pPr>
      <w:r>
        <w:rPr>
          <w:rFonts w:eastAsia="Arial" w:cs="Arial" w:ascii="Arial" w:hAnsi="Arial"/>
          <w:sz w:val="22"/>
        </w:rPr>
        <w:t>Representatives Louser, Adams, Boschee, Mock, Roers Jones, Steiner, Vetter Senators D. Larsen, Meyer, J. Roers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76" w:leader="none"/>
        </w:tabs>
        <w:spacing w:lineRule="atLeast" w:line="0"/>
        <w:ind w:hanging="444" w:start="576" w:end="0"/>
        <w:rPr>
          <w:rFonts w:ascii="Arial" w:hAnsi="Arial" w:eastAsia="Arial" w:cs="Arial"/>
          <w:sz w:val="24"/>
        </w:rPr>
      </w:pPr>
      <w:r>
        <w:rPr>
          <w:rFonts w:eastAsia="Arial" w:cs="Arial" w:ascii="Arial" w:hAnsi="Arial"/>
          <w:sz w:val="22"/>
        </w:rPr>
        <w:t>A BILL for an Act to amend and reenact sections 43-23-02, 43-23-03, 43-23-04, 43-23-05,</w:t>
      </w:r>
    </w:p>
    <w:p>
      <w:pPr>
        <w:pStyle w:val="Normal"/>
        <w:spacing w:lineRule="exact" w:line="129"/>
        <w:rPr>
          <w:rFonts w:ascii="Arial" w:hAnsi="Arial" w:eastAsia="Arial" w:cs="Arial"/>
          <w:sz w:val="24"/>
        </w:rPr>
      </w:pPr>
      <w:r>
        <w:rPr>
          <w:rFonts w:eastAsia="Arial" w:cs="Arial" w:ascii="Arial" w:hAnsi="Arial"/>
          <w:sz w:val="24"/>
        </w:rPr>
      </w:r>
    </w:p>
    <w:p>
      <w:pPr>
        <w:pStyle w:val="Normal"/>
        <w:spacing w:lineRule="atLeast" w:line="0"/>
        <w:ind w:start="136" w:end="0"/>
        <w:rPr/>
      </w:pPr>
      <w:r>
        <w:rPr>
          <w:rFonts w:eastAsia="Arial" w:cs="Arial" w:ascii="Arial" w:hAnsi="Arial"/>
          <w:sz w:val="24"/>
        </w:rPr>
        <w:t>2</w:t>
      </w:r>
      <w:r>
        <w:rPr>
          <w:rFonts w:eastAsia="Arial" w:cs="Arial" w:ascii="Arial" w:hAnsi="Arial"/>
          <w:sz w:val="22"/>
        </w:rPr>
        <w:t xml:space="preserve">   43-23-08, 43-23-08.2, 43-23-09, 43-23-10, 43-23-11.1, 43-23-12, 43-23-13.1, 43-23-14.1,</w:t>
      </w:r>
    </w:p>
    <w:p>
      <w:pPr>
        <w:pStyle w:val="Normal"/>
        <w:spacing w:lineRule="exact" w:line="148"/>
        <w:rPr>
          <w:rFonts w:ascii="Arial" w:hAnsi="Arial" w:eastAsia="Arial" w:cs="Arial"/>
          <w:sz w:val="24"/>
        </w:rPr>
      </w:pPr>
      <w:r>
        <w:rPr>
          <w:rFonts w:eastAsia="Arial" w:cs="Arial" w:ascii="Arial" w:hAnsi="Arial"/>
          <w:sz w:val="24"/>
        </w:rPr>
      </w:r>
    </w:p>
    <w:p>
      <w:pPr>
        <w:pStyle w:val="Normal"/>
        <w:spacing w:lineRule="auto" w:line="367"/>
        <w:ind w:start="136" w:end="0"/>
        <w:rPr/>
      </w:pPr>
      <w:r>
        <w:rPr>
          <w:rFonts w:eastAsia="Arial" w:cs="Arial" w:ascii="Arial" w:hAnsi="Arial"/>
          <w:sz w:val="24"/>
        </w:rPr>
        <w:t>3</w:t>
      </w:r>
      <w:r>
        <w:rPr>
          <w:rFonts w:eastAsia="Arial" w:cs="Arial" w:ascii="Arial" w:hAnsi="Arial"/>
          <w:sz w:val="22"/>
        </w:rPr>
        <w:t xml:space="preserve"> 43-23-16, 43-23-19, 43-23.1-14, 43-23.2-02, and 43-23.2-03 of the North Dakota Century Code,</w:t>
      </w:r>
      <w:r>
        <w:rPr>
          <w:rFonts w:eastAsia="Arial" w:cs="Arial" w:ascii="Arial" w:hAnsi="Arial"/>
          <w:sz w:val="24"/>
        </w:rPr>
        <w:t xml:space="preserve"> 4</w:t>
      </w:r>
      <w:r>
        <w:rPr>
          <w:rFonts w:eastAsia="Arial" w:cs="Arial" w:ascii="Arial" w:hAnsi="Arial"/>
          <w:sz w:val="22"/>
        </w:rPr>
        <w:t xml:space="preserve"> relating to real estate commission administration and real estate licensing; to repeal chapter</w:t>
      </w:r>
    </w:p>
    <w:p>
      <w:pPr>
        <w:pStyle w:val="Normal"/>
        <w:spacing w:lineRule="exact" w:line="1"/>
        <w:rPr>
          <w:rFonts w:ascii="Arial" w:hAnsi="Arial" w:eastAsia="Arial" w:cs="Arial"/>
          <w:sz w:val="24"/>
        </w:rPr>
      </w:pPr>
      <w:r>
        <w:rPr>
          <w:rFonts w:eastAsia="Arial" w:cs="Arial" w:ascii="Arial" w:hAnsi="Arial"/>
          <w:sz w:val="24"/>
        </w:rPr>
      </w:r>
    </w:p>
    <w:p>
      <w:pPr>
        <w:pStyle w:val="Normal"/>
        <w:spacing w:lineRule="auto" w:line="405"/>
        <w:ind w:start="136" w:end="160"/>
        <w:rPr/>
      </w:pPr>
      <w:r>
        <w:rPr>
          <w:rFonts w:eastAsia="Arial" w:cs="Arial" w:ascii="Arial" w:hAnsi="Arial"/>
          <w:sz w:val="24"/>
        </w:rPr>
        <w:t>5</w:t>
      </w:r>
      <w:r>
        <w:rPr>
          <w:rFonts w:eastAsia="Arial" w:cs="Arial" w:ascii="Arial" w:hAnsi="Arial"/>
          <w:sz w:val="22"/>
        </w:rPr>
        <w:t xml:space="preserve"> 43-23.4 of the North Dakota Century Code, relating to real estate broker trust accounts; and to</w:t>
      </w:r>
      <w:r>
        <w:rPr>
          <w:rFonts w:eastAsia="Arial" w:cs="Arial" w:ascii="Arial" w:hAnsi="Arial"/>
          <w:sz w:val="24"/>
        </w:rPr>
        <w:t xml:space="preserve"> 6</w:t>
      </w:r>
      <w:r>
        <w:rPr>
          <w:rFonts w:eastAsia="Arial" w:cs="Arial" w:ascii="Arial" w:hAnsi="Arial"/>
          <w:sz w:val="22"/>
        </w:rPr>
        <w:t xml:space="preserve"> provide a penalty.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76" w:leader="none"/>
        </w:tabs>
        <w:spacing w:lineRule="atLeast" w:line="0"/>
        <w:ind w:hanging="444" w:start="576" w:end="0"/>
        <w:rPr>
          <w:rFonts w:ascii="Arial" w:hAnsi="Arial" w:eastAsia="Arial" w:cs="Arial"/>
          <w:sz w:val="24"/>
        </w:rPr>
      </w:pPr>
      <w:r>
        <w:rPr>
          <w:rFonts w:eastAsia="Arial" w:cs="Arial" w:ascii="Arial" w:hAnsi="Arial"/>
          <w:b/>
          <w:sz w:val="22"/>
        </w:rPr>
        <w:t>BE IT ENACTED BY THE LEGISLATIVE ASSEMBLY OF NORTH DAKOTA:</w:t>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976" w:leader="none"/>
        </w:tabs>
        <w:spacing w:lineRule="atLeast" w:line="0"/>
        <w:ind w:hanging="844" w:start="976" w:end="0"/>
        <w:rPr>
          <w:rFonts w:ascii="Arial" w:hAnsi="Arial" w:eastAsia="Arial" w:cs="Arial"/>
          <w:sz w:val="24"/>
        </w:rPr>
      </w:pPr>
      <w:r>
        <w:rPr>
          <w:rFonts w:eastAsia="Arial" w:cs="Arial" w:ascii="Arial" w:hAnsi="Arial"/>
          <w:b/>
          <w:sz w:val="22"/>
        </w:rPr>
        <w:t>SECTION 1. AMENDMENT.</w:t>
      </w:r>
      <w:r>
        <w:rPr>
          <w:rFonts w:eastAsia="Arial" w:cs="Arial" w:ascii="Arial" w:hAnsi="Arial"/>
          <w:sz w:val="22"/>
        </w:rPr>
        <w:t xml:space="preserve"> Section 43-23-02 of the North Dakota Century Code is</w:t>
      </w:r>
    </w:p>
    <w:p>
      <w:pPr>
        <w:pStyle w:val="Normal"/>
        <w:spacing w:lineRule="exact" w:line="130"/>
        <w:rPr>
          <w:rFonts w:ascii="Arial" w:hAnsi="Arial" w:eastAsia="Arial" w:cs="Arial"/>
          <w:sz w:val="24"/>
        </w:rPr>
      </w:pPr>
      <w:r>
        <w:rPr>
          <w:rFonts w:eastAsia="Arial" w:cs="Arial" w:ascii="Arial" w:hAnsi="Arial"/>
          <w:sz w:val="24"/>
        </w:rPr>
      </w:r>
    </w:p>
    <w:p>
      <w:pPr>
        <w:pStyle w:val="Normal"/>
        <w:spacing w:lineRule="atLeast" w:line="0"/>
        <w:ind w:start="136" w:end="0"/>
        <w:rPr/>
      </w:pPr>
      <w:r>
        <w:rPr>
          <w:rFonts w:eastAsia="Arial" w:cs="Arial" w:ascii="Arial" w:hAnsi="Arial"/>
          <w:sz w:val="24"/>
        </w:rPr>
        <w:t>9</w:t>
      </w:r>
      <w:r>
        <w:rPr>
          <w:rFonts w:eastAsia="Arial" w:cs="Arial" w:ascii="Arial" w:hAnsi="Arial"/>
          <w:sz w:val="22"/>
        </w:rPr>
        <w:t xml:space="preserve">   amended and reenacted as follows:</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43-23-02. Commission - Term - Duties - Records.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976" w:leader="none"/>
        </w:tabs>
        <w:spacing w:lineRule="atLeast" w:line="0"/>
        <w:ind w:hanging="958" w:start="976" w:end="0"/>
        <w:rPr>
          <w:rFonts w:ascii="Arial" w:hAnsi="Arial" w:eastAsia="Arial" w:cs="Arial"/>
          <w:sz w:val="24"/>
        </w:rPr>
      </w:pPr>
      <w:r>
        <w:rPr>
          <w:rFonts w:eastAsia="Arial" w:cs="Arial" w:ascii="Arial" w:hAnsi="Arial"/>
          <w:sz w:val="22"/>
        </w:rPr>
        <w:t>The governor shall appoint each member of the commission for a term of five years. Terms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must be staggered so the term of one member expires each year. At the expiration of the term</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of any member of the commission, the governor shall appoint a successor for a term of five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years. A commissioner may not serve more than two consecutive five-year terms. In the event</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of a vacancy on the commission for any reason the governor shall appoint a member for the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unexpired term of that member.</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sz w:val="22"/>
        </w:rPr>
        <w:t>A majority of the commission, in a duly assembled meeting, may perform and exercise all of</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the duties and powers devolving on the commission. The commission may submit a biennial</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report to the governor and the secretary of state in accordance with section 54-06-04.</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strike/>
          <w:sz w:val="22"/>
        </w:rPr>
        <w:t>The commission shall adopt a seal with North Dakota real estate commission engraved 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trike/>
          <w:sz w:val="22"/>
        </w:rPr>
        <w:t>the seal, by which it shall authenticate its proceedings. Copies of all records and papers in the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trike/>
          <w:sz w:val="22"/>
        </w:rPr>
        <w:t>office of the commission, duly certified and authenticated by the seal of such commission, must</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trike/>
          <w:sz w:val="22"/>
        </w:rPr>
        <w:t>be received in evidence in all courts equally and with like effect as the original.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6160770</wp:posOffset>
            </wp:positionH>
            <wp:positionV relativeFrom="paragraph">
              <wp:posOffset>-617220</wp:posOffset>
            </wp:positionV>
            <wp:extent cx="39370" cy="76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72" t="-1887" r="-472" b="-1887"/>
                    <a:stretch>
                      <a:fillRect/>
                    </a:stretch>
                  </pic:blipFill>
                  <pic:spPr bwMode="auto">
                    <a:xfrm>
                      <a:off x="0" y="0"/>
                      <a:ext cx="39370" cy="7620"/>
                    </a:xfrm>
                    <a:prstGeom prst="rect">
                      <a:avLst/>
                    </a:prstGeom>
                  </pic:spPr>
                </pic:pic>
              </a:graphicData>
            </a:graphic>
          </wp:anchor>
        </w:drawing>
        <w:drawing>
          <wp:anchor behindDoc="1" distT="0" distB="0" distL="114935" distR="114935" simplePos="0" locked="0" layoutInCell="1" allowOverlap="1" relativeHeight="3">
            <wp:simplePos x="0" y="0"/>
            <wp:positionH relativeFrom="column">
              <wp:posOffset>6235700</wp:posOffset>
            </wp:positionH>
            <wp:positionV relativeFrom="paragraph">
              <wp:posOffset>-346710</wp:posOffset>
            </wp:positionV>
            <wp:extent cx="39370" cy="762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472" t="-1887" r="-472" b="-1887"/>
                    <a:stretch>
                      <a:fillRect/>
                    </a:stretch>
                  </pic:blipFill>
                  <pic:spPr bwMode="auto">
                    <a:xfrm>
                      <a:off x="0" y="0"/>
                      <a:ext cx="39370" cy="7620"/>
                    </a:xfrm>
                    <a:prstGeom prst="rect">
                      <a:avLst/>
                    </a:prstGeom>
                  </pic:spPr>
                </pic:pic>
              </a:graphicData>
            </a:graphic>
          </wp:anchor>
        </w:drawing>
      </w:r>
    </w:p>
    <w:p>
      <w:pPr>
        <w:sectPr>
          <w:type w:val="nextPage"/>
          <w:pgSz w:w="12240" w:h="15840"/>
          <w:pgMar w:left="1164" w:right="1180" w:gutter="0" w:header="0" w:top="670"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756" w:leader="none"/>
        </w:tabs>
        <w:spacing w:lineRule="atLeast" w:line="0"/>
        <w:ind w:start="4536" w:end="0"/>
        <w:rPr/>
      </w:pPr>
      <w:r>
        <w:rPr>
          <w:rFonts w:eastAsia="Arial" w:cs="Arial" w:ascii="Arial" w:hAnsi="Arial"/>
          <w:sz w:val="22"/>
        </w:rPr>
        <w:t>Page No. 1</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4" w:right="1180" w:gutter="0" w:header="0" w:top="670" w:footer="0" w:bottom="48"/>
          <w:formProt w:val="false"/>
          <w:textDirection w:val="lrTb"/>
          <w:docGrid w:type="default" w:linePitch="360" w:charSpace="0"/>
        </w:sectPr>
      </w:pPr>
    </w:p>
    <w:p>
      <w:pPr>
        <w:pStyle w:val="Normal"/>
        <w:spacing w:lineRule="atLeast" w:line="0"/>
        <w:ind w:start="576" w:end="0"/>
        <w:rPr>
          <w:rFonts w:ascii="Arial" w:hAnsi="Arial" w:eastAsia="Arial" w:cs="Arial"/>
          <w:sz w:val="22"/>
        </w:rPr>
      </w:pPr>
      <w:bookmarkStart w:id="1" w:name="page2"/>
      <w:bookmarkEnd w:id="1"/>
      <w:r>
        <w:rPr>
          <w:rFonts w:eastAsia="Arial" w:cs="Arial" w:ascii="Arial" w:hAnsi="Arial"/>
          <w:sz w:val="22"/>
        </w:rPr>
        <w:t>Sixty-seventh</w:t>
      </w:r>
    </w:p>
    <w:p>
      <w:pPr>
        <w:pStyle w:val="Normal"/>
        <w:spacing w:lineRule="atLeast" w:line="0"/>
        <w:ind w:start="576" w:end="0"/>
        <w:rPr>
          <w:rFonts w:ascii="Arial" w:hAnsi="Arial" w:eastAsia="Arial" w:cs="Arial"/>
          <w:sz w:val="22"/>
        </w:rPr>
      </w:pPr>
      <w:r>
        <w:rPr>
          <w:rFonts w:eastAsia="Arial" w:cs="Arial" w:ascii="Arial" w:hAnsi="Arial"/>
          <w:sz w:val="22"/>
        </w:rPr>
        <w:t>Legislative Assembly</w:t>
      </w:r>
    </w:p>
    <w:p>
      <w:pPr>
        <w:pStyle w:val="Normal"/>
        <w:spacing w:lineRule="exact" w:line="23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976" w:leader="none"/>
        </w:tabs>
        <w:spacing w:lineRule="atLeast" w:line="0"/>
        <w:ind w:hanging="844" w:start="976" w:end="0"/>
        <w:rPr>
          <w:rFonts w:ascii="Arial" w:hAnsi="Arial" w:eastAsia="Arial" w:cs="Arial"/>
          <w:sz w:val="24"/>
        </w:rPr>
      </w:pPr>
      <w:r>
        <w:rPr>
          <w:rFonts w:eastAsia="Arial" w:cs="Arial" w:ascii="Arial" w:hAnsi="Arial"/>
          <w:b/>
          <w:sz w:val="22"/>
        </w:rPr>
        <w:t>SECTION 2. AMENDMENT.</w:t>
      </w:r>
      <w:r>
        <w:rPr>
          <w:rFonts w:eastAsia="Arial" w:cs="Arial" w:ascii="Arial" w:hAnsi="Arial"/>
          <w:sz w:val="22"/>
        </w:rPr>
        <w:t xml:space="preserve"> Section 43-23-03 of the North Dakota Century Code is</w:t>
      </w:r>
    </w:p>
    <w:p>
      <w:pPr>
        <w:pStyle w:val="Normal"/>
        <w:spacing w:lineRule="exact" w:line="132"/>
        <w:rPr>
          <w:rFonts w:ascii="Arial" w:hAnsi="Arial" w:eastAsia="Arial" w:cs="Arial"/>
          <w:sz w:val="24"/>
        </w:rPr>
      </w:pPr>
      <w:r>
        <w:rPr>
          <w:rFonts w:eastAsia="Arial" w:cs="Arial" w:ascii="Arial" w:hAnsi="Arial"/>
          <w:sz w:val="24"/>
        </w:rPr>
      </w:r>
    </w:p>
    <w:p>
      <w:pPr>
        <w:pStyle w:val="Normal"/>
        <w:spacing w:lineRule="atLeast" w:line="0"/>
        <w:ind w:start="136" w:end="0"/>
        <w:rPr/>
      </w:pPr>
      <w:r>
        <w:rPr>
          <w:rFonts w:eastAsia="Arial" w:cs="Arial" w:ascii="Arial" w:hAnsi="Arial"/>
          <w:sz w:val="24"/>
        </w:rPr>
        <w:t>2</w:t>
      </w:r>
      <w:r>
        <w:rPr>
          <w:rFonts w:eastAsia="Arial" w:cs="Arial" w:ascii="Arial" w:hAnsi="Arial"/>
          <w:sz w:val="22"/>
        </w:rPr>
        <w:t xml:space="preserve">   amended and reenacted as follows:</w:t>
      </w:r>
    </w:p>
    <w:p>
      <w:pPr>
        <w:pStyle w:val="Normal"/>
        <w:spacing w:lineRule="exact" w:line="148"/>
        <w:rPr>
          <w:rFonts w:ascii="Arial" w:hAnsi="Arial" w:eastAsia="Arial" w:cs="Arial"/>
          <w:sz w:val="24"/>
        </w:rPr>
      </w:pPr>
      <w:r>
        <w:rPr>
          <w:rFonts w:eastAsia="Arial" w:cs="Arial" w:ascii="Arial" w:hAnsi="Arial"/>
          <w:sz w:val="24"/>
        </w:rPr>
      </w:r>
    </w:p>
    <w:p>
      <w:pPr>
        <w:pStyle w:val="Normal"/>
        <w:spacing w:lineRule="atLeast" w:line="0"/>
        <w:ind w:start="136" w:end="0"/>
        <w:rPr/>
      </w:pPr>
      <w:r>
        <w:rPr>
          <w:rFonts w:eastAsia="Arial" w:cs="Arial" w:ascii="Arial" w:hAnsi="Arial"/>
          <w:sz w:val="24"/>
        </w:rPr>
        <w:t>3</w:t>
      </w:r>
      <w:r>
        <w:rPr>
          <w:rFonts w:eastAsia="Arial" w:cs="Arial" w:ascii="Arial" w:hAnsi="Arial"/>
          <w:b/>
          <w:sz w:val="21"/>
        </w:rPr>
        <w:t>43-23-03. Commission office - Executive director.</w:t>
      </w:r>
    </w:p>
    <w:p>
      <w:pPr>
        <w:pStyle w:val="Normal"/>
        <w:spacing w:lineRule="exact" w:line="150"/>
        <w:rPr>
          <w:rFonts w:ascii="Arial" w:hAnsi="Arial" w:eastAsia="Arial" w:cs="Arial"/>
          <w:b/>
          <w:sz w:val="24"/>
        </w:rPr>
      </w:pPr>
      <w:r>
        <w:rPr>
          <w:rFonts w:eastAsia="Arial" w:cs="Arial" w:ascii="Arial" w:hAnsi="Arial"/>
          <w:b/>
          <w:sz w:val="24"/>
        </w:rPr>
      </w:r>
    </w:p>
    <w:p>
      <w:pPr>
        <w:pStyle w:val="Normal"/>
        <w:spacing w:lineRule="atLeast" w:line="0"/>
        <w:ind w:start="136" w:end="0"/>
        <w:rPr/>
      </w:pPr>
      <w:r>
        <w:rPr>
          <w:rFonts w:eastAsia="Arial" w:cs="Arial" w:ascii="Arial" w:hAnsi="Arial"/>
          <w:sz w:val="24"/>
        </w:rPr>
        <w:t>4</w:t>
      </w:r>
      <w:r>
        <w:rPr>
          <w:rFonts w:eastAsia="Arial" w:cs="Arial" w:ascii="Arial" w:hAnsi="Arial"/>
          <w:sz w:val="21"/>
        </w:rPr>
        <w:t>The commission shall employ an executive director who shall furnish bond as required by</w:t>
      </w:r>
    </w:p>
    <w:p>
      <w:pPr>
        <w:pStyle w:val="Normal"/>
        <w:spacing w:lineRule="exact" w:line="148"/>
        <w:rPr>
          <w:rFonts w:ascii="Arial" w:hAnsi="Arial" w:eastAsia="Arial" w:cs="Arial"/>
          <w:sz w:val="24"/>
        </w:rPr>
      </w:pPr>
      <w:r>
        <w:rPr>
          <w:rFonts w:eastAsia="Arial" w:cs="Arial" w:ascii="Arial" w:hAnsi="Arial"/>
          <w:sz w:val="24"/>
        </w:rPr>
      </w:r>
    </w:p>
    <w:p>
      <w:pPr>
        <w:pStyle w:val="Normal"/>
        <w:spacing w:lineRule="auto" w:line="367"/>
        <w:ind w:start="136" w:end="40"/>
        <w:jc w:val="both"/>
        <w:rPr/>
      </w:pPr>
      <w:r>
        <w:rPr>
          <w:rFonts w:eastAsia="Arial" w:cs="Arial" w:ascii="Arial" w:hAnsi="Arial"/>
          <w:sz w:val="24"/>
        </w:rPr>
        <w:t>5</w:t>
      </w:r>
      <w:r>
        <w:rPr>
          <w:rFonts w:eastAsia="Arial" w:cs="Arial" w:ascii="Arial" w:hAnsi="Arial"/>
          <w:sz w:val="22"/>
        </w:rPr>
        <w:t xml:space="preserve"> the commission and who shall keep a record of all proceedings, transactions, communications,</w:t>
      </w:r>
      <w:r>
        <w:rPr>
          <w:rFonts w:eastAsia="Arial" w:cs="Arial" w:ascii="Arial" w:hAnsi="Arial"/>
          <w:sz w:val="24"/>
        </w:rPr>
        <w:t xml:space="preserve"> 6</w:t>
      </w:r>
      <w:r>
        <w:rPr>
          <w:rFonts w:eastAsia="Arial" w:cs="Arial" w:ascii="Arial" w:hAnsi="Arial"/>
          <w:sz w:val="22"/>
        </w:rPr>
        <w:t xml:space="preserve"> and official acts of the commission, </w:t>
      </w:r>
      <w:r>
        <w:rPr>
          <w:rFonts w:eastAsia="Arial" w:cs="Arial" w:ascii="Arial" w:hAnsi="Arial"/>
          <w:strike/>
          <w:sz w:val="22"/>
        </w:rPr>
        <w:t>be</w:t>
      </w:r>
      <w:r>
        <w:rPr>
          <w:rFonts w:eastAsia="Arial" w:cs="Arial" w:ascii="Arial" w:hAnsi="Arial"/>
          <w:sz w:val="22"/>
          <w:u w:val="single"/>
        </w:rPr>
        <w:t>and who is</w:t>
      </w:r>
      <w:r>
        <w:rPr>
          <w:rFonts w:eastAsia="Arial" w:cs="Arial" w:ascii="Arial" w:hAnsi="Arial"/>
          <w:sz w:val="22"/>
        </w:rPr>
        <w:t xml:space="preserve"> custodian of all moneys received for licenses</w:t>
      </w:r>
      <w:r>
        <w:rPr>
          <w:rFonts w:eastAsia="Arial" w:cs="Arial" w:ascii="Arial" w:hAnsi="Arial"/>
          <w:sz w:val="24"/>
        </w:rPr>
        <w:t xml:space="preserve"> 7</w:t>
      </w:r>
      <w:r>
        <w:rPr>
          <w:rFonts w:eastAsia="Arial" w:cs="Arial" w:ascii="Arial" w:hAnsi="Arial"/>
          <w:sz w:val="22"/>
        </w:rPr>
        <w:t xml:space="preserve"> which </w:t>
      </w:r>
      <w:r>
        <w:rPr>
          <w:rFonts w:eastAsia="Arial" w:cs="Arial" w:ascii="Arial" w:hAnsi="Arial"/>
          <w:strike/>
          <w:sz w:val="22"/>
        </w:rPr>
        <w:t>must, by</w:t>
      </w:r>
      <w:r>
        <w:rPr>
          <w:rFonts w:eastAsia="Arial" w:cs="Arial" w:ascii="Arial" w:hAnsi="Arial"/>
          <w:sz w:val="22"/>
        </w:rPr>
        <w:t xml:space="preserve"> the executive director, </w:t>
      </w:r>
      <w:r>
        <w:rPr>
          <w:rFonts w:eastAsia="Arial" w:cs="Arial" w:ascii="Arial" w:hAnsi="Arial"/>
          <w:strike/>
          <w:sz w:val="22"/>
        </w:rPr>
        <w:t>be deposited</w:t>
      </w:r>
      <w:r>
        <w:rPr>
          <w:rFonts w:eastAsia="Arial" w:cs="Arial" w:ascii="Arial" w:hAnsi="Arial"/>
          <w:sz w:val="22"/>
          <w:u w:val="single"/>
        </w:rPr>
        <w:t>shall deposit</w:t>
      </w:r>
      <w:r>
        <w:rPr>
          <w:rFonts w:eastAsia="Arial" w:cs="Arial" w:ascii="Arial" w:hAnsi="Arial"/>
          <w:sz w:val="22"/>
        </w:rPr>
        <w:t xml:space="preserve"> for safekeeping in depositories</w:t>
      </w:r>
      <w:r>
        <w:rPr>
          <w:rFonts w:eastAsia="Arial" w:cs="Arial" w:ascii="Arial" w:hAnsi="Arial"/>
          <w:sz w:val="24"/>
        </w:rPr>
        <w:t xml:space="preserve"> 8</w:t>
      </w:r>
      <w:r>
        <w:rPr>
          <w:rFonts w:eastAsia="Arial" w:cs="Arial" w:ascii="Arial" w:hAnsi="Arial"/>
          <w:sz w:val="22"/>
        </w:rPr>
        <w:t xml:space="preserve"> designated by the commission. The executive director </w:t>
      </w:r>
      <w:r>
        <w:rPr>
          <w:rFonts w:eastAsia="Arial" w:cs="Arial" w:ascii="Arial" w:hAnsi="Arial"/>
          <w:strike/>
          <w:sz w:val="22"/>
        </w:rPr>
        <w:t>must be</w:t>
      </w:r>
      <w:r>
        <w:rPr>
          <w:rFonts w:eastAsia="Arial" w:cs="Arial" w:ascii="Arial" w:hAnsi="Arial"/>
          <w:sz w:val="22"/>
          <w:u w:val="single"/>
        </w:rPr>
        <w:t>is the</w:t>
      </w:r>
      <w:r>
        <w:rPr>
          <w:rFonts w:eastAsia="Arial" w:cs="Arial" w:ascii="Arial" w:hAnsi="Arial"/>
          <w:sz w:val="22"/>
        </w:rPr>
        <w:t xml:space="preserve"> custodian of all records of</w:t>
      </w:r>
      <w:r>
        <w:rPr>
          <w:rFonts w:eastAsia="Arial" w:cs="Arial" w:ascii="Arial" w:hAnsi="Arial"/>
          <w:sz w:val="24"/>
        </w:rPr>
        <w:t xml:space="preserve"> 9</w:t>
      </w:r>
      <w:r>
        <w:rPr>
          <w:rFonts w:eastAsia="Arial" w:cs="Arial" w:ascii="Arial" w:hAnsi="Arial"/>
          <w:sz w:val="22"/>
        </w:rPr>
        <w:t xml:space="preserve"> the commission and </w:t>
      </w:r>
      <w:r>
        <w:rPr>
          <w:rFonts w:eastAsia="Arial" w:cs="Arial" w:ascii="Arial" w:hAnsi="Arial"/>
          <w:sz w:val="22"/>
          <w:u w:val="single"/>
        </w:rPr>
        <w:t>shall</w:t>
      </w:r>
      <w:r>
        <w:rPr>
          <w:rFonts w:eastAsia="Arial" w:cs="Arial" w:ascii="Arial" w:hAnsi="Arial"/>
          <w:sz w:val="22"/>
        </w:rPr>
        <w:t xml:space="preserve"> perform such other duties as the commission may require. The</w:t>
      </w:r>
    </w:p>
    <w:p>
      <w:pPr>
        <w:pStyle w:val="Normal"/>
        <w:spacing w:lineRule="exact" w:line="2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commission </w:t>
      </w:r>
      <w:r>
        <w:rPr>
          <w:rFonts w:eastAsia="Arial" w:cs="Arial" w:ascii="Arial" w:hAnsi="Arial"/>
          <w:strike/>
          <w:sz w:val="22"/>
        </w:rPr>
        <w:t>is authorized to</w:t>
      </w:r>
      <w:r>
        <w:rPr>
          <w:rFonts w:eastAsia="Arial" w:cs="Arial" w:ascii="Arial" w:hAnsi="Arial"/>
          <w:sz w:val="22"/>
          <w:u w:val="single"/>
        </w:rPr>
        <w:t>may</w:t>
      </w:r>
      <w:r>
        <w:rPr>
          <w:rFonts w:eastAsia="Arial" w:cs="Arial" w:ascii="Arial" w:hAnsi="Arial"/>
          <w:sz w:val="22"/>
        </w:rPr>
        <w:t xml:space="preserve"> fix the salary of the executive director, </w:t>
      </w:r>
      <w:r>
        <w:rPr>
          <w:rFonts w:eastAsia="Arial" w:cs="Arial" w:ascii="Arial" w:hAnsi="Arial"/>
          <w:strike/>
          <w:sz w:val="22"/>
        </w:rPr>
        <w:t>to</w:t>
      </w:r>
      <w:r>
        <w:rPr>
          <w:rFonts w:eastAsia="Arial" w:cs="Arial" w:ascii="Arial" w:hAnsi="Arial"/>
          <w:sz w:val="22"/>
        </w:rPr>
        <w:t xml:space="preserve"> employ </w:t>
      </w:r>
      <w:r>
        <w:rPr>
          <w:rFonts w:eastAsia="Arial" w:cs="Arial" w:ascii="Arial" w:hAnsi="Arial"/>
          <w:strike/>
          <w:sz w:val="22"/>
        </w:rPr>
        <w:t>such</w:t>
      </w:r>
      <w:r>
        <w:rPr>
          <w:rFonts w:eastAsia="Arial" w:cs="Arial" w:ascii="Arial" w:hAnsi="Arial"/>
          <w:sz w:val="22"/>
        </w:rPr>
        <w:t xml:space="preserve"> other</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58" w:start="576" w:end="0"/>
        <w:rPr>
          <w:rFonts w:ascii="Arial" w:hAnsi="Arial" w:eastAsia="Arial" w:cs="Arial"/>
          <w:sz w:val="24"/>
        </w:rPr>
      </w:pPr>
      <w:r>
        <w:rPr>
          <w:rFonts w:eastAsia="Arial" w:cs="Arial" w:ascii="Arial" w:hAnsi="Arial"/>
          <w:sz w:val="22"/>
        </w:rPr>
        <w:t xml:space="preserve">employees as may be necessary to properly carry out the provisions of this chapter, </w:t>
      </w:r>
      <w:r>
        <w:rPr>
          <w:rFonts w:eastAsia="Arial" w:cs="Arial" w:ascii="Arial" w:hAnsi="Arial"/>
          <w:strike/>
          <w:sz w:val="22"/>
        </w:rPr>
        <w:t>to</w:t>
      </w:r>
      <w:r>
        <w:rPr>
          <w:rFonts w:eastAsia="Arial" w:cs="Arial" w:ascii="Arial" w:hAnsi="Arial"/>
          <w:sz w:val="22"/>
        </w:rPr>
        <w:t xml:space="preserve"> fix</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salaries and prescribe duties of </w:t>
      </w:r>
      <w:r>
        <w:rPr>
          <w:rFonts w:eastAsia="Arial" w:cs="Arial" w:ascii="Arial" w:hAnsi="Arial"/>
          <w:strike/>
          <w:sz w:val="22"/>
        </w:rPr>
        <w:t>such</w:t>
      </w:r>
      <w:r>
        <w:rPr>
          <w:rFonts w:eastAsia="Arial" w:cs="Arial" w:ascii="Arial" w:hAnsi="Arial"/>
          <w:sz w:val="22"/>
        </w:rPr>
        <w:t xml:space="preserve"> employees</w:t>
      </w:r>
      <w:r>
        <w:rPr>
          <w:rFonts w:eastAsia="Arial" w:cs="Arial" w:ascii="Arial" w:hAnsi="Arial"/>
          <w:sz w:val="22"/>
          <w:u w:val="single"/>
        </w:rPr>
        <w:t>,</w:t>
      </w:r>
      <w:r>
        <w:rPr>
          <w:rFonts w:eastAsia="Arial" w:cs="Arial" w:ascii="Arial" w:hAnsi="Arial"/>
          <w:sz w:val="22"/>
        </w:rPr>
        <w:t xml:space="preserve"> and </w:t>
      </w:r>
      <w:r>
        <w:rPr>
          <w:rFonts w:eastAsia="Arial" w:cs="Arial" w:ascii="Arial" w:hAnsi="Arial"/>
          <w:strike/>
          <w:sz w:val="22"/>
        </w:rPr>
        <w:t>to</w:t>
      </w:r>
      <w:r>
        <w:rPr>
          <w:rFonts w:eastAsia="Arial" w:cs="Arial" w:ascii="Arial" w:hAnsi="Arial"/>
          <w:sz w:val="22"/>
        </w:rPr>
        <w:t xml:space="preserve"> make </w:t>
      </w:r>
      <w:r>
        <w:rPr>
          <w:rFonts w:eastAsia="Arial" w:cs="Arial" w:ascii="Arial" w:hAnsi="Arial"/>
          <w:strike/>
          <w:sz w:val="22"/>
        </w:rPr>
        <w:t>such</w:t>
      </w:r>
      <w:r>
        <w:rPr>
          <w:rFonts w:eastAsia="Arial" w:cs="Arial" w:ascii="Arial" w:hAnsi="Arial"/>
          <w:sz w:val="22"/>
        </w:rPr>
        <w:t xml:space="preserve"> other expenditures as </w:t>
      </w:r>
      <w:r>
        <w:rPr>
          <w:rFonts w:eastAsia="Arial" w:cs="Arial" w:ascii="Arial" w:hAnsi="Arial"/>
          <w:strike/>
          <w:sz w:val="22"/>
        </w:rPr>
        <w:t>are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necessary to carry out the provisions of this chapter. The commission shall meet annually and</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upon call by the executive director upon a written request of three or more members of the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3"/>
        </w:rPr>
      </w:pPr>
      <w:r>
        <w:rPr>
          <w:rFonts w:eastAsia="Arial" w:cs="Arial" w:ascii="Arial" w:hAnsi="Arial"/>
          <w:sz w:val="21"/>
        </w:rPr>
        <w:t xml:space="preserve">commission. </w:t>
      </w:r>
      <w:r>
        <w:rPr>
          <w:rFonts w:eastAsia="Arial" w:cs="Arial" w:ascii="Arial" w:hAnsi="Arial"/>
          <w:strike/>
          <w:sz w:val="21"/>
        </w:rPr>
        <w:t>The place of meeting of the said commission must be at the office of the executive</w:t>
      </w:r>
    </w:p>
    <w:p>
      <w:pPr>
        <w:pStyle w:val="Normal"/>
        <w:spacing w:lineRule="exact" w:line="161"/>
        <w:rPr>
          <w:rFonts w:ascii="Arial" w:hAnsi="Arial" w:eastAsia="Arial" w:cs="Arial"/>
          <w:sz w:val="23"/>
        </w:rPr>
      </w:pPr>
      <w:r>
        <w:rPr>
          <w:rFonts w:eastAsia="Arial" w:cs="Arial" w:ascii="Arial" w:hAnsi="Arial"/>
          <w:sz w:val="23"/>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trike/>
          <w:sz w:val="22"/>
        </w:rPr>
        <w:t>director.</w:t>
      </w:r>
      <w:r>
        <w:rPr>
          <w:rFonts w:eastAsia="Arial" w:cs="Arial" w:ascii="Arial" w:hAnsi="Arial"/>
          <w:sz w:val="22"/>
        </w:rPr>
        <w:t xml:space="preserve"> The location of the office of the executive director must be at such places within the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state as the commission may designate. The commission shall maintain all files, records, and</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property of the commission at the office of the executive director.</w:t>
      </w:r>
    </w:p>
    <w:p>
      <w:pPr>
        <w:pStyle w:val="Normal"/>
        <w:spacing w:lineRule="exact" w:line="145"/>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SECTION 3. AMENDMENT.</w:t>
      </w:r>
      <w:r>
        <w:rPr>
          <w:rFonts w:eastAsia="Arial" w:cs="Arial" w:ascii="Arial" w:hAnsi="Arial"/>
          <w:sz w:val="22"/>
        </w:rPr>
        <w:t xml:space="preserve"> Section 43-23-04 of the North Dakota Century Code is</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amended and reenacted as follows:</w:t>
      </w:r>
    </w:p>
    <w:p>
      <w:pPr>
        <w:pStyle w:val="Normal"/>
        <w:spacing w:lineRule="exact" w:line="145"/>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43-23-04. Commission - Compensation.</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sz w:val="22"/>
        </w:rPr>
        <w:t xml:space="preserve">The members of the commission </w:t>
      </w:r>
      <w:r>
        <w:rPr>
          <w:rFonts w:eastAsia="Arial" w:cs="Arial" w:ascii="Arial" w:hAnsi="Arial"/>
          <w:strike/>
          <w:sz w:val="22"/>
        </w:rPr>
        <w:t>shall</w:t>
      </w:r>
      <w:r>
        <w:rPr>
          <w:rFonts w:eastAsia="Arial" w:cs="Arial" w:ascii="Arial" w:hAnsi="Arial"/>
          <w:sz w:val="22"/>
          <w:u w:val="single"/>
        </w:rPr>
        <w:t>are entitled to</w:t>
      </w:r>
      <w:r>
        <w:rPr>
          <w:rFonts w:eastAsia="Arial" w:cs="Arial" w:ascii="Arial" w:hAnsi="Arial"/>
          <w:sz w:val="22"/>
        </w:rPr>
        <w:t xml:space="preserve"> receive </w:t>
      </w:r>
      <w:r>
        <w:rPr>
          <w:rFonts w:eastAsia="Arial" w:cs="Arial" w:ascii="Arial" w:hAnsi="Arial"/>
          <w:strike/>
          <w:sz w:val="22"/>
        </w:rPr>
        <w:t>fifty dollars</w:t>
      </w:r>
      <w:r>
        <w:rPr>
          <w:rFonts w:eastAsia="Arial" w:cs="Arial" w:ascii="Arial" w:hAnsi="Arial"/>
          <w:sz w:val="22"/>
          <w:u w:val="single"/>
        </w:rPr>
        <w:t>per diem, not to</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u w:val="single"/>
        </w:rPr>
        <w:t>exceed the daily compensation rate a member of the legislative assembly is entitled to receive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u w:val="single"/>
        </w:rPr>
        <w:t>under section 54 -35 -10 for attendance at a legislative management committee meeting, as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u w:val="single"/>
        </w:rPr>
        <w:t>determined by the commission in the annual budget process,</w:t>
      </w:r>
      <w:r>
        <w:rPr>
          <w:rFonts w:eastAsia="Arial" w:cs="Arial" w:ascii="Arial" w:hAnsi="Arial"/>
          <w:sz w:val="22"/>
        </w:rPr>
        <w:t xml:space="preserve"> for each day actually engaged in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the service of the commission and </w:t>
      </w:r>
      <w:r>
        <w:rPr>
          <w:rFonts w:eastAsia="Arial" w:cs="Arial" w:ascii="Arial" w:hAnsi="Arial"/>
          <w:strike/>
          <w:sz w:val="22"/>
        </w:rPr>
        <w:t>must</w:t>
      </w:r>
      <w:r>
        <w:rPr>
          <w:rFonts w:eastAsia="Arial" w:cs="Arial" w:ascii="Arial" w:hAnsi="Arial"/>
          <w:sz w:val="22"/>
          <w:u w:val="single"/>
        </w:rPr>
        <w:t>to</w:t>
      </w:r>
      <w:r>
        <w:rPr>
          <w:rFonts w:eastAsia="Arial" w:cs="Arial" w:ascii="Arial" w:hAnsi="Arial"/>
          <w:sz w:val="22"/>
        </w:rPr>
        <w:t xml:space="preserve"> be paid actual and necessary traveling expenses to</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be paid only from the fund derived from fees collected in the administration of this chapter. All</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moneys or fees collected or received by the commission must be deposited and disbursed in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accordance with section 54-44-12.</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SECTION 4. AMENDMENT.</w:t>
      </w:r>
      <w:r>
        <w:rPr>
          <w:rFonts w:eastAsia="Arial" w:cs="Arial" w:ascii="Arial" w:hAnsi="Arial"/>
          <w:sz w:val="22"/>
        </w:rPr>
        <w:t xml:space="preserve"> Section 43-23-05 of the North Dakota Century Code is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amended and reenacted as follows:</w:t>
      </w:r>
    </w:p>
    <w:p>
      <w:pPr>
        <w:sectPr>
          <w:type w:val="nextPage"/>
          <w:pgSz w:w="12240" w:h="15840"/>
          <w:pgMar w:left="1164" w:right="122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56" w:leader="none"/>
        </w:tabs>
        <w:spacing w:lineRule="atLeast" w:line="0"/>
        <w:ind w:start="4536" w:end="0"/>
        <w:rPr/>
      </w:pPr>
      <w:r>
        <w:rPr>
          <w:rFonts w:eastAsia="Arial" w:cs="Arial" w:ascii="Arial" w:hAnsi="Arial"/>
          <w:sz w:val="22"/>
        </w:rPr>
        <w:t>Page No. 2</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4" w:right="1220" w:gutter="0" w:header="0" w:top="657" w:footer="0" w:bottom="48"/>
          <w:formProt w:val="false"/>
          <w:textDirection w:val="lrTb"/>
          <w:docGrid w:type="default" w:linePitch="360" w:charSpace="0"/>
        </w:sectPr>
      </w:pPr>
    </w:p>
    <w:p>
      <w:pPr>
        <w:pStyle w:val="Normal"/>
        <w:spacing w:lineRule="atLeast" w:line="0"/>
        <w:ind w:start="580" w:end="0"/>
        <w:rPr>
          <w:rFonts w:ascii="Arial" w:hAnsi="Arial" w:eastAsia="Arial" w:cs="Arial"/>
          <w:sz w:val="22"/>
        </w:rPr>
      </w:pPr>
      <w:bookmarkStart w:id="2" w:name="page3"/>
      <w:bookmarkEnd w:id="2"/>
      <w:r>
        <w:rPr>
          <w:rFonts w:eastAsia="Arial" w:cs="Arial" w:ascii="Arial" w:hAnsi="Arial"/>
          <w:sz w:val="22"/>
        </w:rPr>
        <w:t>Sixty-seventh</w:t>
      </w:r>
    </w:p>
    <w:p>
      <w:pPr>
        <w:pStyle w:val="Normal"/>
        <w:spacing w:lineRule="atLeast" w:line="0"/>
        <w:ind w:start="580" w:end="0"/>
        <w:rPr>
          <w:rFonts w:ascii="Arial" w:hAnsi="Arial" w:eastAsia="Arial" w:cs="Arial"/>
          <w:sz w:val="22"/>
        </w:rPr>
      </w:pPr>
      <w:r>
        <w:rPr>
          <w:rFonts w:eastAsia="Arial" w:cs="Arial" w:ascii="Arial" w:hAnsi="Arial"/>
          <w:sz w:val="22"/>
        </w:rPr>
        <w:t>Legislative Assembly</w:t>
      </w:r>
    </w:p>
    <w:p>
      <w:pPr>
        <w:pStyle w:val="Normal"/>
        <w:spacing w:lineRule="exact" w:line="23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980" w:leader="none"/>
        </w:tabs>
        <w:spacing w:lineRule="atLeast" w:line="0"/>
        <w:ind w:hanging="844" w:start="980" w:end="0"/>
        <w:rPr>
          <w:rFonts w:ascii="Arial" w:hAnsi="Arial" w:eastAsia="Arial" w:cs="Arial"/>
          <w:sz w:val="24"/>
        </w:rPr>
      </w:pPr>
      <w:r>
        <w:rPr>
          <w:rFonts w:eastAsia="Arial" w:cs="Arial" w:ascii="Arial" w:hAnsi="Arial"/>
          <w:b/>
          <w:sz w:val="22"/>
        </w:rPr>
        <w:t>43-23-05. Real estate license required.</w: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984" w:leader="none"/>
        </w:tabs>
        <w:spacing w:lineRule="auto" w:line="374"/>
        <w:ind w:hanging="4" w:start="140" w:end="180"/>
        <w:jc w:val="both"/>
        <w:rPr>
          <w:rFonts w:ascii="Arial" w:hAnsi="Arial" w:eastAsia="Arial" w:cs="Arial"/>
          <w:sz w:val="23"/>
        </w:rPr>
      </w:pPr>
      <w:r>
        <w:rPr>
          <w:rFonts w:eastAsia="Arial" w:cs="Arial" w:ascii="Arial" w:hAnsi="Arial"/>
          <w:strike/>
          <w:sz w:val="21"/>
        </w:rPr>
        <w:t>No</w:t>
      </w:r>
      <w:r>
        <w:rPr>
          <w:rFonts w:eastAsia="Arial" w:cs="Arial" w:ascii="Arial" w:hAnsi="Arial"/>
          <w:sz w:val="21"/>
          <w:u w:val="single"/>
        </w:rPr>
        <w:t>A</w:t>
      </w:r>
      <w:r>
        <w:rPr>
          <w:rFonts w:eastAsia="Arial" w:cs="Arial" w:ascii="Arial" w:hAnsi="Arial"/>
          <w:sz w:val="21"/>
        </w:rPr>
        <w:t xml:space="preserve"> person may </w:t>
      </w:r>
      <w:r>
        <w:rPr>
          <w:rFonts w:eastAsia="Arial" w:cs="Arial" w:ascii="Arial" w:hAnsi="Arial"/>
          <w:sz w:val="21"/>
          <w:u w:val="single"/>
        </w:rPr>
        <w:t>not</w:t>
      </w:r>
      <w:r>
        <w:rPr>
          <w:rFonts w:eastAsia="Arial" w:cs="Arial" w:ascii="Arial" w:hAnsi="Arial"/>
          <w:sz w:val="21"/>
        </w:rPr>
        <w:t xml:space="preserve"> act as a real estate broker or real estate salesperson, or advertise or</w:t>
      </w:r>
      <w:r>
        <w:rPr>
          <w:rFonts w:eastAsia="Arial" w:cs="Arial" w:ascii="Arial" w:hAnsi="Arial"/>
          <w:sz w:val="23"/>
        </w:rPr>
        <w:t xml:space="preserve"> 3</w:t>
      </w:r>
      <w:r>
        <w:rPr>
          <w:rFonts w:eastAsia="Arial" w:cs="Arial" w:ascii="Arial" w:hAnsi="Arial"/>
          <w:sz w:val="21"/>
        </w:rPr>
        <w:t xml:space="preserve"> assume to act as </w:t>
      </w:r>
      <w:r>
        <w:rPr>
          <w:rFonts w:eastAsia="Arial" w:cs="Arial" w:ascii="Arial" w:hAnsi="Arial"/>
          <w:strike/>
          <w:sz w:val="21"/>
        </w:rPr>
        <w:t>such</w:t>
      </w:r>
      <w:r>
        <w:rPr>
          <w:rFonts w:eastAsia="Arial" w:cs="Arial" w:ascii="Arial" w:hAnsi="Arial"/>
          <w:sz w:val="21"/>
          <w:u w:val="single"/>
        </w:rPr>
        <w:t>a</w:t>
      </w:r>
      <w:r>
        <w:rPr>
          <w:rFonts w:eastAsia="Arial" w:cs="Arial" w:ascii="Arial" w:hAnsi="Arial"/>
          <w:sz w:val="21"/>
        </w:rPr>
        <w:t xml:space="preserve"> real estate broker or real estate salesperson, without a license issued</w:t>
      </w:r>
    </w:p>
    <w:p>
      <w:pPr>
        <w:pStyle w:val="Normal"/>
        <w:spacing w:lineRule="exact" w:line="1"/>
        <w:rPr>
          <w:rFonts w:ascii="Arial" w:hAnsi="Arial" w:eastAsia="Arial" w:cs="Arial"/>
          <w:sz w:val="23"/>
        </w:rPr>
      </w:pPr>
      <w:r>
        <w:rPr>
          <w:rFonts w:eastAsia="Arial" w:cs="Arial" w:ascii="Arial" w:hAnsi="Arial"/>
          <w:sz w:val="23"/>
        </w:rPr>
      </w:r>
    </w:p>
    <w:p>
      <w:pPr>
        <w:pStyle w:val="Normal"/>
        <w:spacing w:lineRule="auto" w:line="367"/>
        <w:ind w:start="140" w:end="20"/>
        <w:rPr/>
      </w:pPr>
      <w:r>
        <w:rPr>
          <w:rFonts w:eastAsia="Arial" w:cs="Arial" w:ascii="Arial" w:hAnsi="Arial"/>
          <w:sz w:val="24"/>
        </w:rPr>
        <w:t>4</w:t>
      </w:r>
      <w:r>
        <w:rPr>
          <w:rFonts w:eastAsia="Arial" w:cs="Arial" w:ascii="Arial" w:hAnsi="Arial"/>
          <w:sz w:val="22"/>
        </w:rPr>
        <w:t xml:space="preserve"> by the real estate commission. </w:t>
      </w:r>
      <w:r>
        <w:rPr>
          <w:rFonts w:eastAsia="Arial" w:cs="Arial" w:ascii="Arial" w:hAnsi="Arial"/>
          <w:strike/>
          <w:sz w:val="22"/>
        </w:rPr>
        <w:t>No</w:t>
      </w:r>
      <w:r>
        <w:rPr>
          <w:rFonts w:eastAsia="Arial" w:cs="Arial" w:ascii="Arial" w:hAnsi="Arial"/>
          <w:sz w:val="22"/>
          <w:u w:val="single"/>
        </w:rPr>
        <w:t>A</w:t>
      </w:r>
      <w:r>
        <w:rPr>
          <w:rFonts w:eastAsia="Arial" w:cs="Arial" w:ascii="Arial" w:hAnsi="Arial"/>
          <w:sz w:val="22"/>
        </w:rPr>
        <w:t xml:space="preserve"> person is </w:t>
      </w:r>
      <w:r>
        <w:rPr>
          <w:rFonts w:eastAsia="Arial" w:cs="Arial" w:ascii="Arial" w:hAnsi="Arial"/>
          <w:sz w:val="22"/>
          <w:u w:val="single"/>
        </w:rPr>
        <w:t>not</w:t>
      </w:r>
      <w:r>
        <w:rPr>
          <w:rFonts w:eastAsia="Arial" w:cs="Arial" w:ascii="Arial" w:hAnsi="Arial"/>
          <w:sz w:val="22"/>
        </w:rPr>
        <w:t xml:space="preserve"> entitled to collect any fees, compensation, or</w:t>
      </w:r>
      <w:r>
        <w:rPr>
          <w:rFonts w:eastAsia="Arial" w:cs="Arial" w:ascii="Arial" w:hAnsi="Arial"/>
          <w:sz w:val="24"/>
        </w:rPr>
        <w:t xml:space="preserve"> 5</w:t>
      </w:r>
      <w:r>
        <w:rPr>
          <w:rFonts w:eastAsia="Arial" w:cs="Arial" w:ascii="Arial" w:hAnsi="Arial"/>
          <w:sz w:val="22"/>
        </w:rPr>
        <w:t xml:space="preserve"> commission as a real estate broker or real estate salesperson without having first complied with</w:t>
      </w:r>
      <w:r>
        <w:rPr>
          <w:rFonts w:eastAsia="Arial" w:cs="Arial" w:ascii="Arial" w:hAnsi="Arial"/>
          <w:sz w:val="24"/>
        </w:rPr>
        <w:t xml:space="preserve"> 6</w:t>
      </w:r>
      <w:r>
        <w:rPr>
          <w:rFonts w:eastAsia="Arial" w:cs="Arial" w:ascii="Arial" w:hAnsi="Arial"/>
          <w:sz w:val="22"/>
        </w:rPr>
        <w:t xml:space="preserve"> the provisions of this chapter. </w:t>
      </w:r>
      <w:r>
        <w:rPr>
          <w:rFonts w:eastAsia="Arial" w:cs="Arial" w:ascii="Arial" w:hAnsi="Arial"/>
          <w:strike/>
          <w:sz w:val="22"/>
        </w:rPr>
        <w:t>No</w:t>
      </w:r>
      <w:r>
        <w:rPr>
          <w:rFonts w:eastAsia="Arial" w:cs="Arial" w:ascii="Arial" w:hAnsi="Arial"/>
          <w:sz w:val="22"/>
          <w:u w:val="single"/>
        </w:rPr>
        <w:t>A</w:t>
      </w:r>
      <w:r>
        <w:rPr>
          <w:rFonts w:eastAsia="Arial" w:cs="Arial" w:ascii="Arial" w:hAnsi="Arial"/>
          <w:sz w:val="22"/>
        </w:rPr>
        <w:t xml:space="preserve"> copartnership, association, corporation, or limited liability</w:t>
      </w:r>
    </w:p>
    <w:p>
      <w:pPr>
        <w:pStyle w:val="Normal"/>
        <w:spacing w:lineRule="exact" w:line="1"/>
        <w:rPr>
          <w:rFonts w:ascii="Arial" w:hAnsi="Arial" w:eastAsia="Arial" w:cs="Arial"/>
          <w:sz w:val="23"/>
        </w:rPr>
      </w:pPr>
      <w:r>
        <w:rPr>
          <w:rFonts w:eastAsia="Arial" w:cs="Arial" w:ascii="Arial" w:hAnsi="Arial"/>
          <w:sz w:val="23"/>
        </w:rPr>
      </w:r>
    </w:p>
    <w:p>
      <w:pPr>
        <w:pStyle w:val="Normal"/>
        <w:spacing w:lineRule="atLeast" w:line="0"/>
        <w:ind w:start="140" w:end="0"/>
        <w:rPr/>
      </w:pPr>
      <w:r>
        <w:rPr>
          <w:rFonts w:eastAsia="Arial" w:cs="Arial" w:ascii="Arial" w:hAnsi="Arial"/>
          <w:sz w:val="24"/>
        </w:rPr>
        <w:t>7</w:t>
      </w:r>
      <w:r>
        <w:rPr>
          <w:rFonts w:eastAsia="Arial" w:cs="Arial" w:ascii="Arial" w:hAnsi="Arial"/>
          <w:sz w:val="22"/>
        </w:rPr>
        <w:t xml:space="preserve">   company may </w:t>
      </w:r>
      <w:r>
        <w:rPr>
          <w:rFonts w:eastAsia="Arial" w:cs="Arial" w:ascii="Arial" w:hAnsi="Arial"/>
          <w:sz w:val="22"/>
          <w:u w:val="single"/>
        </w:rPr>
        <w:t>not</w:t>
      </w:r>
      <w:r>
        <w:rPr>
          <w:rFonts w:eastAsia="Arial" w:cs="Arial" w:ascii="Arial" w:hAnsi="Arial"/>
          <w:sz w:val="22"/>
        </w:rPr>
        <w:t xml:space="preserve"> be granted a license, unless at least one partner, shareholder, member,</w:t>
      </w:r>
    </w:p>
    <w:p>
      <w:pPr>
        <w:pStyle w:val="Normal"/>
        <w:spacing w:lineRule="exact" w:line="150"/>
        <w:rPr>
          <w:rFonts w:ascii="Arial" w:hAnsi="Arial" w:eastAsia="Arial" w:cs="Arial"/>
          <w:sz w:val="23"/>
        </w:rPr>
      </w:pPr>
      <w:r>
        <w:rPr>
          <w:rFonts w:eastAsia="Arial" w:cs="Arial" w:ascii="Arial" w:hAnsi="Arial"/>
          <w:sz w:val="23"/>
        </w:rPr>
      </w:r>
    </w:p>
    <w:p>
      <w:pPr>
        <w:pStyle w:val="Normal"/>
        <w:spacing w:lineRule="auto" w:line="367"/>
        <w:ind w:start="140" w:end="220"/>
        <w:jc w:val="both"/>
        <w:rPr/>
      </w:pPr>
      <w:r>
        <w:rPr>
          <w:rFonts w:eastAsia="Arial" w:cs="Arial" w:ascii="Arial" w:hAnsi="Arial"/>
          <w:sz w:val="24"/>
        </w:rPr>
        <w:t>8</w:t>
      </w:r>
      <w:r>
        <w:rPr>
          <w:rFonts w:eastAsia="Arial" w:cs="Arial" w:ascii="Arial" w:hAnsi="Arial"/>
          <w:sz w:val="22"/>
        </w:rPr>
        <w:t xml:space="preserve"> manager, or officer of the copartnership, association, corporation, or limited liability company,</w:t>
      </w:r>
      <w:r>
        <w:rPr>
          <w:rFonts w:eastAsia="Arial" w:cs="Arial" w:ascii="Arial" w:hAnsi="Arial"/>
          <w:sz w:val="24"/>
        </w:rPr>
        <w:t xml:space="preserve"> 9</w:t>
      </w:r>
      <w:r>
        <w:rPr>
          <w:rFonts w:eastAsia="Arial" w:cs="Arial" w:ascii="Arial" w:hAnsi="Arial"/>
          <w:sz w:val="22"/>
        </w:rPr>
        <w:t xml:space="preserve"> actually engaged as a real estate broker </w:t>
      </w:r>
      <w:r>
        <w:rPr>
          <w:rFonts w:eastAsia="Arial" w:cs="Arial" w:ascii="Arial" w:hAnsi="Arial"/>
          <w:strike/>
          <w:sz w:val="22"/>
        </w:rPr>
        <w:t>or real estate salesperson as defined herein</w:t>
      </w:r>
      <w:r>
        <w:rPr>
          <w:rFonts w:eastAsia="Arial" w:cs="Arial" w:ascii="Arial" w:hAnsi="Arial"/>
          <w:sz w:val="22"/>
        </w:rPr>
        <w:t>, holds a</w:t>
      </w:r>
    </w:p>
    <w:p>
      <w:pPr>
        <w:pStyle w:val="Normal"/>
        <w:spacing w:lineRule="exact" w:line="2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license as a real estate broker, and unless every employee who acts as a real estate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580" w:leader="none"/>
        </w:tabs>
        <w:spacing w:lineRule="atLeast" w:line="0"/>
        <w:ind w:hanging="558" w:start="580" w:end="0"/>
        <w:rPr>
          <w:rFonts w:ascii="Arial" w:hAnsi="Arial" w:eastAsia="Arial" w:cs="Arial"/>
          <w:sz w:val="24"/>
        </w:rPr>
      </w:pPr>
      <w:r>
        <w:rPr>
          <w:rFonts w:eastAsia="Arial" w:cs="Arial" w:ascii="Arial" w:hAnsi="Arial"/>
          <w:sz w:val="22"/>
        </w:rPr>
        <w:t xml:space="preserve">salesperson for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copartnership, association, corporation, or limited liability company</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holds a license as a real estate salesperson.</w:t>
      </w:r>
    </w:p>
    <w:p>
      <w:pPr>
        <w:pStyle w:val="Normal"/>
        <w:spacing w:lineRule="exact" w:line="145"/>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980" w:leader="none"/>
        </w:tabs>
        <w:spacing w:lineRule="atLeast" w:line="0"/>
        <w:ind w:hanging="976" w:start="980" w:end="0"/>
        <w:rPr>
          <w:rFonts w:ascii="Arial" w:hAnsi="Arial" w:eastAsia="Arial" w:cs="Arial"/>
          <w:sz w:val="24"/>
        </w:rPr>
      </w:pPr>
      <w:r>
        <w:rPr>
          <w:rFonts w:eastAsia="Arial" w:cs="Arial" w:ascii="Arial" w:hAnsi="Arial"/>
          <w:b/>
          <w:sz w:val="22"/>
        </w:rPr>
        <w:t>SECTION 5. AMENDMENT.</w:t>
      </w:r>
      <w:r>
        <w:rPr>
          <w:rFonts w:eastAsia="Arial" w:cs="Arial" w:ascii="Arial" w:hAnsi="Arial"/>
          <w:sz w:val="22"/>
        </w:rPr>
        <w:t xml:space="preserve"> Section 43-23-08 of the North Dakota Century Code is</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amended and reenacted as follows:</w:t>
      </w:r>
    </w:p>
    <w:p>
      <w:pPr>
        <w:pStyle w:val="Normal"/>
        <w:spacing w:lineRule="exact" w:line="145"/>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980" w:leader="none"/>
        </w:tabs>
        <w:spacing w:lineRule="atLeast" w:line="0"/>
        <w:ind w:hanging="976" w:start="980" w:end="0"/>
        <w:rPr>
          <w:rFonts w:ascii="Arial" w:hAnsi="Arial" w:eastAsia="Arial" w:cs="Arial"/>
          <w:sz w:val="24"/>
        </w:rPr>
      </w:pPr>
      <w:r>
        <w:rPr>
          <w:rFonts w:eastAsia="Arial" w:cs="Arial" w:ascii="Arial" w:hAnsi="Arial"/>
          <w:b/>
          <w:sz w:val="22"/>
        </w:rPr>
        <w:t>43-23-08. License standards.</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020" w:leader="none"/>
        </w:tabs>
        <w:spacing w:lineRule="atLeast" w:line="0"/>
        <w:ind w:hanging="1016" w:start="1020" w:end="0"/>
        <w:rPr>
          <w:rFonts w:ascii="Arial" w:hAnsi="Arial" w:eastAsia="Arial" w:cs="Arial"/>
          <w:sz w:val="24"/>
        </w:rPr>
      </w:pPr>
      <w:r>
        <w:rPr>
          <w:rFonts w:eastAsia="Arial" w:cs="Arial" w:ascii="Arial" w:hAnsi="Arial"/>
          <w:sz w:val="22"/>
        </w:rPr>
        <w:t xml:space="preserve">1.   Licenses and </w:t>
      </w:r>
      <w:r>
        <w:rPr>
          <w:rFonts w:eastAsia="Arial" w:cs="Arial" w:ascii="Arial" w:hAnsi="Arial"/>
          <w:strike/>
          <w:sz w:val="22"/>
        </w:rPr>
        <w:t>the</w:t>
      </w:r>
      <w:r>
        <w:rPr>
          <w:rFonts w:eastAsia="Arial" w:cs="Arial" w:ascii="Arial" w:hAnsi="Arial"/>
          <w:sz w:val="22"/>
          <w:u w:val="single"/>
        </w:rPr>
        <w:t>license</w:t>
      </w:r>
      <w:r>
        <w:rPr>
          <w:rFonts w:eastAsia="Arial" w:cs="Arial" w:ascii="Arial" w:hAnsi="Arial"/>
          <w:sz w:val="22"/>
        </w:rPr>
        <w:t xml:space="preserve"> renewals </w:t>
      </w:r>
      <w:r>
        <w:rPr>
          <w:rFonts w:eastAsia="Arial" w:cs="Arial" w:ascii="Arial" w:hAnsi="Arial"/>
          <w:strike/>
          <w:sz w:val="22"/>
        </w:rPr>
        <w:t>thereof</w:t>
      </w:r>
      <w:r>
        <w:rPr>
          <w:rFonts w:eastAsia="Arial" w:cs="Arial" w:ascii="Arial" w:hAnsi="Arial"/>
          <w:sz w:val="22"/>
        </w:rPr>
        <w:t xml:space="preserve"> may be granted only to persons who bear a</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good reputation for honesty, truthfulness, and fair dealing and who are competent to</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transact the business of a real estate broker or a real estate salesperson in such</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manner as to safeguard the interest of the public, and whose real estate license has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not been revoked in this or any other state within two years </w:t>
      </w:r>
      <w:r>
        <w:rPr>
          <w:rFonts w:eastAsia="Arial" w:cs="Arial" w:ascii="Arial" w:hAnsi="Arial"/>
          <w:strike/>
          <w:sz w:val="22"/>
        </w:rPr>
        <w:t>prior to</w:t>
      </w:r>
      <w:r>
        <w:rPr>
          <w:rFonts w:eastAsia="Arial" w:cs="Arial" w:ascii="Arial" w:hAnsi="Arial"/>
          <w:sz w:val="22"/>
          <w:u w:val="single"/>
        </w:rPr>
        <w:t>before the</w:t>
      </w:r>
      <w:r>
        <w:rPr>
          <w:rFonts w:eastAsia="Arial" w:cs="Arial" w:ascii="Arial" w:hAnsi="Arial"/>
          <w:sz w:val="22"/>
        </w:rPr>
        <w:t xml:space="preserve"> date of</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application. To determine the competency of applicants, the commission shall</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prescribe and hold examinations at designated times and places.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020" w:leader="none"/>
        </w:tabs>
        <w:spacing w:lineRule="atLeast" w:line="0"/>
        <w:ind w:hanging="1016" w:start="1020" w:end="0"/>
        <w:rPr>
          <w:rFonts w:ascii="Arial" w:hAnsi="Arial" w:eastAsia="Arial" w:cs="Arial"/>
          <w:sz w:val="24"/>
        </w:rPr>
      </w:pPr>
      <w:r>
        <w:rPr>
          <w:rFonts w:eastAsia="Arial" w:cs="Arial" w:ascii="Arial" w:hAnsi="Arial"/>
          <w:sz w:val="22"/>
        </w:rPr>
        <w:t>2.   In addition to the requirements established by subsection 1, an applicant for a broker's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or salesperson's license must be at least eighteen years of age.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020" w:leader="none"/>
        </w:tabs>
        <w:spacing w:lineRule="atLeast" w:line="0"/>
        <w:ind w:hanging="1016" w:start="1020" w:end="0"/>
        <w:rPr>
          <w:rFonts w:ascii="Arial" w:hAnsi="Arial" w:eastAsia="Arial" w:cs="Arial"/>
          <w:sz w:val="24"/>
        </w:rPr>
      </w:pPr>
      <w:r>
        <w:rPr>
          <w:rFonts w:eastAsia="Arial" w:cs="Arial" w:ascii="Arial" w:hAnsi="Arial"/>
          <w:sz w:val="22"/>
        </w:rPr>
        <w:t>3.   Every applicant for a license as a real estate broker:</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a.   </w:t>
      </w:r>
      <w:r>
        <w:rPr>
          <w:rFonts w:eastAsia="Arial" w:cs="Arial" w:ascii="Arial" w:hAnsi="Arial"/>
          <w:strike/>
          <w:sz w:val="22"/>
        </w:rPr>
        <w:t>Shall</w:t>
      </w:r>
      <w:r>
        <w:rPr>
          <w:rFonts w:eastAsia="Arial" w:cs="Arial" w:ascii="Arial" w:hAnsi="Arial"/>
          <w:sz w:val="22"/>
          <w:u w:val="single"/>
        </w:rPr>
        <w:t>Must</w:t>
      </w:r>
      <w:r>
        <w:rPr>
          <w:rFonts w:eastAsia="Arial" w:cs="Arial" w:ascii="Arial" w:hAnsi="Arial"/>
          <w:sz w:val="22"/>
        </w:rPr>
        <w:t xml:space="preserve"> have been actively engaged as a licensed real estate salesperson for</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tbl>
      <w:tblPr>
        <w:tblW w:w="9700" w:type="dxa"/>
        <w:jc w:val="start"/>
        <w:tblInd w:w="0" w:type="dxa"/>
        <w:tblLayout w:type="fixed"/>
        <w:tblCellMar>
          <w:top w:w="0" w:type="dxa"/>
          <w:start w:w="0" w:type="dxa"/>
          <w:bottom w:w="0" w:type="dxa"/>
          <w:end w:w="0" w:type="dxa"/>
        </w:tblCellMar>
      </w:tblPr>
      <w:tblGrid>
        <w:gridCol w:w="1980"/>
        <w:gridCol w:w="1880"/>
        <w:gridCol w:w="860"/>
        <w:gridCol w:w="940"/>
        <w:gridCol w:w="1080"/>
        <w:gridCol w:w="2160"/>
        <w:gridCol w:w="800"/>
      </w:tblGrid>
      <w:tr>
        <w:trPr>
          <w:trHeight w:val="276"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27</w:t>
            </w:r>
          </w:p>
        </w:tc>
        <w:tc>
          <w:tcPr>
            <w:tcW w:w="1880" w:type="dxa"/>
            <w:tcBorders/>
          </w:tcPr>
          <w:p>
            <w:pPr>
              <w:pStyle w:val="Normal"/>
              <w:spacing w:lineRule="atLeast" w:line="0"/>
              <w:rPr>
                <w:rFonts w:ascii="Arial" w:hAnsi="Arial" w:eastAsia="Arial" w:cs="Arial"/>
                <w:sz w:val="22"/>
              </w:rPr>
            </w:pPr>
            <w:r>
              <w:rPr>
                <w:rFonts w:eastAsia="Arial" w:cs="Arial" w:ascii="Arial" w:hAnsi="Arial"/>
                <w:sz w:val="22"/>
              </w:rPr>
              <w:t>a period of at least</w:t>
            </w:r>
          </w:p>
        </w:tc>
        <w:tc>
          <w:tcPr>
            <w:tcW w:w="860" w:type="dxa"/>
            <w:tcBorders/>
          </w:tcPr>
          <w:p>
            <w:pPr>
              <w:pStyle w:val="Normal"/>
              <w:spacing w:lineRule="atLeast" w:line="0"/>
              <w:rPr>
                <w:rFonts w:ascii="Arial" w:hAnsi="Arial" w:eastAsia="Arial" w:cs="Arial"/>
                <w:strike/>
                <w:w w:val="98"/>
                <w:sz w:val="22"/>
              </w:rPr>
            </w:pPr>
            <w:r>
              <w:rPr>
                <w:rFonts w:eastAsia="Arial" w:cs="Arial" w:ascii="Arial" w:hAnsi="Arial"/>
                <w:strike/>
                <w:w w:val="98"/>
                <w:sz w:val="22"/>
              </w:rPr>
              <w:t>one year</w:t>
            </w:r>
          </w:p>
        </w:tc>
        <w:tc>
          <w:tcPr>
            <w:tcW w:w="4180" w:type="dxa"/>
            <w:gridSpan w:val="3"/>
            <w:tcBorders/>
          </w:tcPr>
          <w:p>
            <w:pPr>
              <w:pStyle w:val="Normal"/>
              <w:spacing w:lineRule="atLeast" w:line="0"/>
              <w:rPr/>
            </w:pPr>
            <w:r>
              <w:rPr>
                <w:rFonts w:eastAsia="Arial" w:cs="Arial" w:ascii="Arial" w:hAnsi="Arial"/>
                <w:w w:val="99"/>
                <w:sz w:val="22"/>
              </w:rPr>
              <w:t>two years preceding the date of application</w:t>
            </w:r>
          </w:p>
        </w:tc>
        <w:tc>
          <w:tcPr>
            <w:tcW w:w="800" w:type="dxa"/>
            <w:tcBorders/>
          </w:tcPr>
          <w:p>
            <w:pPr>
              <w:pStyle w:val="Normal"/>
              <w:spacing w:lineRule="atLeast" w:line="0"/>
              <w:rPr>
                <w:rFonts w:ascii="Arial" w:hAnsi="Arial" w:eastAsia="Arial" w:cs="Arial"/>
                <w:strike/>
                <w:sz w:val="22"/>
              </w:rPr>
            </w:pPr>
            <w:r>
              <w:rPr>
                <w:rFonts w:eastAsia="Arial" w:cs="Arial" w:ascii="Arial" w:hAnsi="Arial"/>
                <w:strike/>
                <w:sz w:val="22"/>
              </w:rPr>
              <w:t>, which,</w:t>
            </w:r>
          </w:p>
        </w:tc>
      </w:tr>
      <w:tr>
        <w:trPr>
          <w:trHeight w:val="23" w:hRule="atLeast"/>
        </w:trPr>
        <w:tc>
          <w:tcPr>
            <w:tcW w:w="1980" w:type="dxa"/>
            <w:vMerge w:val="restart"/>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28</w:t>
            </w:r>
          </w:p>
        </w:tc>
        <w:tc>
          <w:tcPr>
            <w:tcW w:w="2740" w:type="dxa"/>
            <w:gridSpan w:val="2"/>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8"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760" w:type="dxa"/>
            <w:gridSpan w:val="4"/>
            <w:tcBorders/>
          </w:tcPr>
          <w:p>
            <w:pPr>
              <w:pStyle w:val="Normal"/>
              <w:spacing w:lineRule="atLeast" w:line="0"/>
              <w:rPr>
                <w:rFonts w:ascii="Arial" w:hAnsi="Arial" w:eastAsia="Arial" w:cs="Arial"/>
                <w:strike/>
                <w:w w:val="99"/>
                <w:sz w:val="22"/>
              </w:rPr>
            </w:pPr>
            <w:r>
              <w:rPr>
                <w:rFonts w:eastAsia="Arial" w:cs="Arial" w:ascii="Arial" w:hAnsi="Arial"/>
                <w:strike/>
                <w:w w:val="99"/>
                <w:sz w:val="22"/>
              </w:rPr>
              <w:t>beginning July 1, 1979, is increased to two years</w:t>
            </w:r>
          </w:p>
        </w:tc>
        <w:tc>
          <w:tcPr>
            <w:tcW w:w="2960" w:type="dxa"/>
            <w:gridSpan w:val="2"/>
            <w:tcBorders/>
          </w:tcPr>
          <w:p>
            <w:pPr>
              <w:pStyle w:val="Normal"/>
              <w:spacing w:lineRule="atLeast" w:line="0"/>
              <w:rPr>
                <w:rFonts w:ascii="Arial" w:hAnsi="Arial" w:eastAsia="Arial" w:cs="Arial"/>
                <w:sz w:val="22"/>
              </w:rPr>
            </w:pPr>
            <w:r>
              <w:rPr>
                <w:rFonts w:eastAsia="Arial" w:cs="Arial" w:ascii="Arial" w:hAnsi="Arial"/>
                <w:sz w:val="22"/>
              </w:rPr>
              <w:t>; or</w:t>
            </w:r>
          </w:p>
        </w:tc>
      </w:tr>
    </w:tbl>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b.   </w:t>
      </w:r>
      <w:r>
        <w:rPr>
          <w:rFonts w:eastAsia="Arial" w:cs="Arial" w:ascii="Arial" w:hAnsi="Arial"/>
          <w:strike/>
          <w:sz w:val="22"/>
        </w:rPr>
        <w:t>Shall</w:t>
      </w:r>
      <w:r>
        <w:rPr>
          <w:rFonts w:eastAsia="Arial" w:cs="Arial" w:ascii="Arial" w:hAnsi="Arial"/>
          <w:sz w:val="22"/>
          <w:u w:val="single"/>
        </w:rPr>
        <w:t>Must</w:t>
      </w:r>
      <w:r>
        <w:rPr>
          <w:rFonts w:eastAsia="Arial" w:cs="Arial" w:ascii="Arial" w:hAnsi="Arial"/>
          <w:sz w:val="22"/>
        </w:rPr>
        <w:t xml:space="preserve"> have had experience as determined by the commission to be</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30</w:t>
      </w:r>
      <w:r>
        <w:rPr>
          <w:rFonts w:eastAsia="Times New Roman" w:cs="Times New Roman" w:ascii="Times New Roman" w:hAnsi="Times New Roman"/>
        </w:rPr>
        <w:tab/>
      </w:r>
      <w:r>
        <w:rPr>
          <w:rFonts w:eastAsia="Arial" w:cs="Arial" w:ascii="Arial" w:hAnsi="Arial"/>
          <w:sz w:val="22"/>
        </w:rPr>
        <w:t>substantially equal to that which a licensed real estate salesperson would</w:t>
      </w:r>
    </w:p>
    <w:p>
      <w:pPr>
        <w:sectPr>
          <w:type w:val="nextPage"/>
          <w:pgSz w:w="12240" w:h="15840"/>
          <w:pgMar w:left="1160" w:right="120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60" w:leader="none"/>
        </w:tabs>
        <w:spacing w:lineRule="atLeast" w:line="0"/>
        <w:ind w:start="4540" w:end="0"/>
        <w:rPr/>
      </w:pPr>
      <w:r>
        <w:rPr>
          <w:rFonts w:eastAsia="Arial" w:cs="Arial" w:ascii="Arial" w:hAnsi="Arial"/>
          <w:sz w:val="21"/>
        </w:rPr>
        <w:t>Page No. 3</w:t>
        <w:tab/>
      </w:r>
      <w:r>
        <w:rPr/>
        <w:t>21.0591.03001</w:t>
      </w:r>
    </w:p>
    <w:p>
      <w:pPr>
        <w:sectPr>
          <w:type w:val="continuous"/>
          <w:pgSz w:w="12240" w:h="15840"/>
          <w:pgMar w:left="1160" w:right="1200" w:gutter="0" w:header="0" w:top="657" w:footer="0" w:bottom="48"/>
          <w:formProt w:val="false"/>
          <w:textDirection w:val="lrTb"/>
          <w:docGrid w:type="default" w:linePitch="360" w:charSpace="0"/>
        </w:sectPr>
      </w:pPr>
    </w:p>
    <w:tbl>
      <w:tblPr>
        <w:tblW w:w="9480" w:type="dxa"/>
        <w:jc w:val="start"/>
        <w:tblInd w:w="136" w:type="dxa"/>
        <w:tblLayout w:type="fixed"/>
        <w:tblCellMar>
          <w:top w:w="0" w:type="dxa"/>
          <w:start w:w="0" w:type="dxa"/>
          <w:bottom w:w="0" w:type="dxa"/>
          <w:end w:w="0" w:type="dxa"/>
        </w:tblCellMar>
      </w:tblPr>
      <w:tblGrid>
        <w:gridCol w:w="280"/>
        <w:gridCol w:w="2760"/>
        <w:gridCol w:w="2300"/>
        <w:gridCol w:w="3060"/>
        <w:gridCol w:w="1080"/>
      </w:tblGrid>
      <w:tr>
        <w:trPr>
          <w:trHeight w:val="253" w:hRule="atLeast"/>
        </w:trPr>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bookmarkStart w:id="3" w:name="page4"/>
            <w:bookmarkStart w:id="4" w:name="page4"/>
            <w:bookmarkEnd w:id="4"/>
          </w:p>
        </w:tc>
        <w:tc>
          <w:tcPr>
            <w:tcW w:w="9200" w:type="dxa"/>
            <w:gridSpan w:val="4"/>
            <w:tcBorders/>
          </w:tcPr>
          <w:p>
            <w:pPr>
              <w:pStyle w:val="Normal"/>
              <w:spacing w:lineRule="atLeast" w:line="0"/>
              <w:ind w:start="160" w:end="0"/>
              <w:rPr>
                <w:rFonts w:ascii="Arial" w:hAnsi="Arial" w:eastAsia="Arial" w:cs="Arial"/>
                <w:sz w:val="22"/>
              </w:rPr>
            </w:pPr>
            <w:r>
              <w:rPr>
                <w:rFonts w:eastAsia="Arial" w:cs="Arial" w:ascii="Arial" w:hAnsi="Arial"/>
                <w:sz w:val="22"/>
              </w:rPr>
              <w:t>Sixty-seventh</w:t>
            </w:r>
          </w:p>
        </w:tc>
      </w:tr>
      <w:tr>
        <w:trPr>
          <w:trHeight w:val="291"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0" w:type="dxa"/>
            <w:gridSpan w:val="4"/>
            <w:tcBorders/>
          </w:tcPr>
          <w:p>
            <w:pPr>
              <w:pStyle w:val="Normal"/>
              <w:spacing w:lineRule="atLeast" w:line="0"/>
              <w:ind w:start="160" w:end="0"/>
              <w:rPr>
                <w:rFonts w:ascii="Arial" w:hAnsi="Arial" w:eastAsia="Arial" w:cs="Arial"/>
                <w:sz w:val="22"/>
              </w:rPr>
            </w:pPr>
            <w:r>
              <w:rPr>
                <w:rFonts w:eastAsia="Arial" w:cs="Arial" w:ascii="Arial" w:hAnsi="Arial"/>
                <w:sz w:val="22"/>
              </w:rPr>
              <w:t>Legislative Assembly</w:t>
            </w:r>
          </w:p>
        </w:tc>
      </w:tr>
      <w:tr>
        <w:trPr>
          <w:trHeight w:val="494" w:hRule="atLeast"/>
        </w:trPr>
        <w:tc>
          <w:tcPr>
            <w:tcW w:w="280" w:type="dxa"/>
            <w:tcBorders/>
          </w:tcPr>
          <w:p>
            <w:pPr>
              <w:pStyle w:val="Normal"/>
              <w:spacing w:lineRule="atLeast" w:line="0"/>
              <w:ind w:end="40"/>
              <w:jc w:val="end"/>
              <w:rPr>
                <w:rFonts w:ascii="Arial" w:hAnsi="Arial" w:eastAsia="Arial" w:cs="Arial"/>
                <w:w w:val="74"/>
                <w:sz w:val="24"/>
              </w:rPr>
            </w:pPr>
            <w:r>
              <w:rPr>
                <w:rFonts w:eastAsia="Arial" w:cs="Arial" w:ascii="Arial" w:hAnsi="Arial"/>
                <w:w w:val="74"/>
                <w:sz w:val="24"/>
              </w:rPr>
              <w:t>1</w:t>
            </w:r>
          </w:p>
        </w:tc>
        <w:tc>
          <w:tcPr>
            <w:tcW w:w="5060" w:type="dxa"/>
            <w:gridSpan w:val="2"/>
            <w:tcBorders/>
          </w:tcPr>
          <w:p>
            <w:pPr>
              <w:pStyle w:val="Normal"/>
              <w:spacing w:lineRule="atLeast" w:line="0"/>
              <w:ind w:start="1560" w:end="0"/>
              <w:rPr>
                <w:rFonts w:ascii="Arial" w:hAnsi="Arial" w:eastAsia="Arial" w:cs="Arial"/>
                <w:sz w:val="22"/>
              </w:rPr>
            </w:pPr>
            <w:r>
              <w:rPr>
                <w:rFonts w:eastAsia="Arial" w:cs="Arial" w:ascii="Arial" w:hAnsi="Arial"/>
                <w:sz w:val="22"/>
              </w:rPr>
              <w:t>ordinarily receive during a period of</w:t>
            </w:r>
          </w:p>
        </w:tc>
        <w:tc>
          <w:tcPr>
            <w:tcW w:w="3060" w:type="dxa"/>
            <w:tcBorders/>
          </w:tcPr>
          <w:p>
            <w:pPr>
              <w:pStyle w:val="Normal"/>
              <w:spacing w:lineRule="atLeast" w:line="0"/>
              <w:rPr>
                <w:rFonts w:ascii="Arial" w:hAnsi="Arial" w:eastAsia="Arial" w:cs="Arial"/>
                <w:strike/>
                <w:w w:val="99"/>
                <w:sz w:val="22"/>
              </w:rPr>
            </w:pPr>
            <w:r>
              <w:rPr>
                <w:rFonts w:eastAsia="Arial" w:cs="Arial" w:ascii="Arial" w:hAnsi="Arial"/>
                <w:strike/>
                <w:w w:val="99"/>
                <w:sz w:val="22"/>
              </w:rPr>
              <w:t>one year, which, beginning July</w:t>
            </w:r>
          </w:p>
        </w:tc>
        <w:tc>
          <w:tcPr>
            <w:tcW w:w="1080" w:type="dxa"/>
            <w:tcBorders/>
          </w:tcPr>
          <w:p>
            <w:pPr>
              <w:pStyle w:val="Normal"/>
              <w:spacing w:lineRule="atLeast" w:line="0"/>
              <w:ind w:start="60" w:end="0"/>
              <w:rPr>
                <w:rFonts w:ascii="Arial" w:hAnsi="Arial" w:eastAsia="Arial" w:cs="Arial"/>
                <w:w w:val="98"/>
                <w:sz w:val="22"/>
              </w:rPr>
            </w:pPr>
            <w:r>
              <w:rPr>
                <w:rFonts w:eastAsia="Arial" w:cs="Arial" w:ascii="Arial" w:hAnsi="Arial"/>
                <w:w w:val="98"/>
                <w:sz w:val="22"/>
              </w:rPr>
              <w:t>1, 1979, is</w:t>
            </w:r>
          </w:p>
        </w:tc>
      </w:tr>
      <w:tr>
        <w:trPr>
          <w:trHeight w:val="426" w:hRule="atLeast"/>
        </w:trPr>
        <w:tc>
          <w:tcPr>
            <w:tcW w:w="280" w:type="dxa"/>
            <w:tcBorders/>
          </w:tcPr>
          <w:p>
            <w:pPr>
              <w:pStyle w:val="Normal"/>
              <w:spacing w:lineRule="atLeast" w:line="0"/>
              <w:ind w:end="40"/>
              <w:jc w:val="end"/>
              <w:rPr>
                <w:rFonts w:ascii="Arial" w:hAnsi="Arial" w:eastAsia="Arial" w:cs="Arial"/>
                <w:w w:val="74"/>
                <w:sz w:val="24"/>
              </w:rPr>
            </w:pPr>
            <w:r>
              <w:rPr>
                <w:rFonts w:eastAsia="Arial" w:cs="Arial" w:ascii="Arial" w:hAnsi="Arial"/>
                <w:w w:val="74"/>
                <w:sz w:val="24"/>
              </w:rPr>
              <w:t>2</w:t>
            </w:r>
          </w:p>
        </w:tc>
        <w:tc>
          <w:tcPr>
            <w:tcW w:w="2760" w:type="dxa"/>
            <w:tcBorders/>
          </w:tcPr>
          <w:p>
            <w:pPr>
              <w:pStyle w:val="Normal"/>
              <w:spacing w:lineRule="atLeast" w:line="0"/>
              <w:ind w:start="1560" w:end="0"/>
              <w:rPr>
                <w:rFonts w:ascii="Arial" w:hAnsi="Arial" w:eastAsia="Arial" w:cs="Arial"/>
                <w:strike/>
                <w:w w:val="98"/>
                <w:sz w:val="22"/>
              </w:rPr>
            </w:pPr>
            <w:r>
              <w:rPr>
                <w:rFonts w:eastAsia="Arial" w:cs="Arial" w:ascii="Arial" w:hAnsi="Arial"/>
                <w:strike/>
                <w:w w:val="98"/>
                <w:sz w:val="22"/>
              </w:rPr>
              <w:t>increased to</w:t>
            </w:r>
          </w:p>
        </w:tc>
        <w:tc>
          <w:tcPr>
            <w:tcW w:w="6440" w:type="dxa"/>
            <w:gridSpan w:val="3"/>
            <w:tcBorders/>
          </w:tcPr>
          <w:p>
            <w:pPr>
              <w:pStyle w:val="Normal"/>
              <w:spacing w:lineRule="atLeast" w:line="0"/>
              <w:ind w:start="60" w:end="0"/>
              <w:rPr>
                <w:rFonts w:ascii="Arial" w:hAnsi="Arial" w:eastAsia="Arial" w:cs="Arial"/>
                <w:sz w:val="22"/>
              </w:rPr>
            </w:pPr>
            <w:r>
              <w:rPr>
                <w:rFonts w:eastAsia="Arial" w:cs="Arial" w:ascii="Arial" w:hAnsi="Arial"/>
                <w:sz w:val="22"/>
              </w:rPr>
              <w:t>two years.</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
            <wp:simplePos x="0" y="0"/>
            <wp:positionH relativeFrom="column">
              <wp:posOffset>5422900</wp:posOffset>
            </wp:positionH>
            <wp:positionV relativeFrom="paragraph">
              <wp:posOffset>-361315</wp:posOffset>
            </wp:positionV>
            <wp:extent cx="722630" cy="762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5" t="-1887" r="-25" b="-1887"/>
                    <a:stretch>
                      <a:fillRect/>
                    </a:stretch>
                  </pic:blipFill>
                  <pic:spPr bwMode="auto">
                    <a:xfrm>
                      <a:off x="0" y="0"/>
                      <a:ext cx="722630" cy="7620"/>
                    </a:xfrm>
                    <a:prstGeom prst="rect">
                      <a:avLst/>
                    </a:prstGeom>
                  </pic:spPr>
                </pic:pic>
              </a:graphicData>
            </a:graphic>
          </wp:anchor>
        </w:drawing>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016" w:leader="none"/>
        </w:tabs>
        <w:spacing w:lineRule="atLeast" w:line="0"/>
        <w:ind w:hanging="884" w:start="1016" w:end="0"/>
        <w:rPr>
          <w:rFonts w:ascii="Arial" w:hAnsi="Arial" w:eastAsia="Arial" w:cs="Arial"/>
          <w:sz w:val="24"/>
        </w:rPr>
      </w:pPr>
      <w:r>
        <w:rPr>
          <w:rFonts w:eastAsia="Arial" w:cs="Arial" w:ascii="Arial" w:hAnsi="Arial"/>
          <w:sz w:val="22"/>
        </w:rPr>
        <w:t>4.   As a prerequisite for licensure, an applicant for a salesperson's license shall furnish to</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the commission evidence the applicant has successfully completed at least ninety</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hours in courses of study approved by the commission. An applicant for a broker's</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496" w:leader="none"/>
        </w:tabs>
        <w:spacing w:lineRule="atLeast" w:line="0"/>
        <w:ind w:hanging="1364" w:start="1496" w:end="0"/>
        <w:rPr>
          <w:rFonts w:ascii="Arial" w:hAnsi="Arial" w:eastAsia="Arial" w:cs="Arial"/>
          <w:sz w:val="23"/>
        </w:rPr>
      </w:pPr>
      <w:r>
        <w:rPr>
          <w:rFonts w:eastAsia="Arial" w:cs="Arial" w:ascii="Arial" w:hAnsi="Arial"/>
          <w:sz w:val="21"/>
        </w:rPr>
        <w:t>license must have successfully completed an additional sixty hours in courses of study</w:t>
      </w:r>
    </w:p>
    <w:p>
      <w:pPr>
        <w:pStyle w:val="Normal"/>
        <w:spacing w:lineRule="exact" w:line="16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5"/>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approved by the commission. An applicant for a salesperson's license may take the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licensing examination before fulfillment of the prerequisite educational requirement;</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1496" w:leader="none"/>
        </w:tabs>
        <w:spacing w:lineRule="atLeast" w:line="0"/>
        <w:ind w:hanging="1364" w:start="1496" w:end="0"/>
        <w:rPr>
          <w:rFonts w:ascii="Arial" w:hAnsi="Arial" w:eastAsia="Arial" w:cs="Arial"/>
          <w:sz w:val="23"/>
        </w:rPr>
      </w:pPr>
      <w:r>
        <w:rPr>
          <w:rFonts w:eastAsia="Arial" w:cs="Arial" w:ascii="Arial" w:hAnsi="Arial"/>
          <w:sz w:val="21"/>
        </w:rPr>
        <w:t>however, the commission may not issue a salesperson's license to an applicant unless</w:t>
      </w:r>
    </w:p>
    <w:p>
      <w:pPr>
        <w:pStyle w:val="Normal"/>
        <w:spacing w:lineRule="exact" w:line="16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satisfactory evidence of completion of this prerequisite educational requirement is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78" w:start="1496" w:end="0"/>
        <w:rPr>
          <w:rFonts w:ascii="Arial" w:hAnsi="Arial" w:eastAsia="Arial" w:cs="Arial"/>
          <w:sz w:val="24"/>
        </w:rPr>
      </w:pPr>
      <w:r>
        <w:rPr>
          <w:rFonts w:eastAsia="Arial" w:cs="Arial" w:ascii="Arial" w:hAnsi="Arial"/>
          <w:sz w:val="22"/>
        </w:rPr>
        <w:t>furnished to the commission. An applicant for a broker's license must have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satisfactorily fulfilled the educational requirement before taking the broker's licensing</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examination.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016" w:leader="none"/>
        </w:tabs>
        <w:spacing w:lineRule="atLeast" w:line="0"/>
        <w:ind w:hanging="1016" w:start="1016" w:end="0"/>
        <w:rPr>
          <w:rFonts w:ascii="Arial" w:hAnsi="Arial" w:eastAsia="Arial" w:cs="Arial"/>
          <w:sz w:val="24"/>
        </w:rPr>
      </w:pPr>
      <w:r>
        <w:rPr>
          <w:rFonts w:eastAsia="Arial" w:cs="Arial" w:ascii="Arial" w:hAnsi="Arial"/>
          <w:sz w:val="22"/>
        </w:rPr>
        <w:t xml:space="preserve">5.   If the commission finds </w:t>
      </w:r>
      <w:r>
        <w:rPr>
          <w:rFonts w:eastAsia="Arial" w:cs="Arial" w:ascii="Arial" w:hAnsi="Arial"/>
          <w:strike/>
          <w:sz w:val="22"/>
        </w:rPr>
        <w:t>that</w:t>
      </w:r>
      <w:r>
        <w:rPr>
          <w:rFonts w:eastAsia="Arial" w:cs="Arial" w:ascii="Arial" w:hAnsi="Arial"/>
          <w:sz w:val="22"/>
        </w:rPr>
        <w:t xml:space="preserve"> an applicant could not acquire employment as a licensed</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real estate salesperson because of conditions existing in the area where the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salesperson resides, </w:t>
      </w:r>
      <w:r>
        <w:rPr>
          <w:rFonts w:eastAsia="Arial" w:cs="Arial" w:ascii="Arial" w:hAnsi="Arial"/>
          <w:strike/>
          <w:sz w:val="22"/>
        </w:rPr>
        <w:t>then</w:t>
      </w:r>
      <w:r>
        <w:rPr>
          <w:rFonts w:eastAsia="Arial" w:cs="Arial" w:ascii="Arial" w:hAnsi="Arial"/>
          <w:sz w:val="22"/>
        </w:rPr>
        <w:t xml:space="preserve"> the experience requirements established in subdivisions a</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and b of subsection 3 may be waived by the commission. The educational</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requirements of subsection 4 may not be waived by the commission, but guidelines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may be established </w:t>
      </w:r>
      <w:r>
        <w:rPr>
          <w:rFonts w:eastAsia="Arial" w:cs="Arial" w:ascii="Arial" w:hAnsi="Arial"/>
          <w:strike/>
          <w:sz w:val="22"/>
        </w:rPr>
        <w:t>whereby</w:t>
      </w:r>
      <w:r>
        <w:rPr>
          <w:rFonts w:eastAsia="Arial" w:cs="Arial" w:ascii="Arial" w:hAnsi="Arial"/>
          <w:sz w:val="22"/>
          <w:u w:val="single"/>
        </w:rPr>
        <w:t>by which</w:t>
      </w:r>
      <w:r>
        <w:rPr>
          <w:rFonts w:eastAsia="Arial" w:cs="Arial" w:ascii="Arial" w:hAnsi="Arial"/>
          <w:sz w:val="22"/>
        </w:rPr>
        <w:t xml:space="preserve"> applicants who have engaged in certain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educational courses of study which are closely related to the real estate profession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may be deemed to have satisfied this requirement.</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016" w:leader="none"/>
        </w:tabs>
        <w:spacing w:lineRule="atLeast" w:line="0"/>
        <w:ind w:hanging="1016" w:start="1016" w:end="0"/>
        <w:rPr>
          <w:rFonts w:ascii="Arial" w:hAnsi="Arial" w:eastAsia="Arial" w:cs="Arial"/>
          <w:sz w:val="24"/>
        </w:rPr>
      </w:pPr>
      <w:r>
        <w:rPr>
          <w:rFonts w:eastAsia="Arial" w:cs="Arial" w:ascii="Arial" w:hAnsi="Arial"/>
          <w:sz w:val="22"/>
        </w:rPr>
        <w:t>6.   The commission may adopt reasonable rules and regulations pursuant to the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provisions of chapter 28-32 relative to procedures for licensing, approval of</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coursework, and for the type of certification or proof of coursework completion that</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must be submitted.</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SECTION 6. AMENDMENT.</w:t>
      </w:r>
      <w:r>
        <w:rPr>
          <w:rFonts w:eastAsia="Arial" w:cs="Arial" w:ascii="Arial" w:hAnsi="Arial"/>
          <w:sz w:val="22"/>
        </w:rPr>
        <w:t xml:space="preserve"> Section 43-23-08.2 of the North Dakota Century Code is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amended and reenacted as follows:</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43-23-08.2. License renewal - Continuing education required.</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016" w:leader="none"/>
        </w:tabs>
        <w:spacing w:lineRule="atLeast" w:line="0"/>
        <w:ind w:hanging="1016" w:start="1016" w:end="0"/>
        <w:rPr>
          <w:rFonts w:ascii="Arial" w:hAnsi="Arial" w:eastAsia="Arial" w:cs="Arial"/>
          <w:sz w:val="24"/>
        </w:rPr>
      </w:pPr>
      <w:r>
        <w:rPr>
          <w:rFonts w:eastAsia="Arial" w:cs="Arial" w:ascii="Arial" w:hAnsi="Arial"/>
          <w:sz w:val="22"/>
        </w:rPr>
        <w:t>1.   The commission may establish the conditions under which each applicant for renewal</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of a broker's or salesperson's license, in addition to the requirements of section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8"/>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43-23-08, shall submit proof of participation in approved continuing education. In</w:t>
      </w:r>
    </w:p>
    <w:p>
      <w:pPr>
        <w:sectPr>
          <w:type w:val="continuous"/>
          <w:pgSz w:w="12240" w:h="15840"/>
          <w:pgMar w:left="1160" w:right="120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56" w:leader="none"/>
        </w:tabs>
        <w:spacing w:lineRule="atLeast" w:line="0"/>
        <w:ind w:start="4536" w:end="0"/>
        <w:rPr/>
      </w:pPr>
      <w:r>
        <w:rPr>
          <w:rFonts w:eastAsia="Arial" w:cs="Arial" w:ascii="Arial" w:hAnsi="Arial"/>
          <w:sz w:val="22"/>
        </w:rPr>
        <w:t>Page No. 4</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4" w:right="1180" w:gutter="0" w:header="0" w:top="657" w:footer="0" w:bottom="48"/>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5" w:name="page5"/>
      <w:bookmarkStart w:id="6" w:name="page5"/>
      <w:bookmarkEnd w:id="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end"/>
        <w:rPr>
          <w:rFonts w:ascii="Arial" w:hAnsi="Arial" w:eastAsia="Arial" w:cs="Arial"/>
          <w:sz w:val="24"/>
        </w:rPr>
      </w:pPr>
      <w:r>
        <w:rPr>
          <w:rFonts w:eastAsia="Arial" w:cs="Arial" w:ascii="Arial" w:hAnsi="Arial"/>
          <w:sz w:val="24"/>
        </w:rPr>
        <w:t>1</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Arial" w:hAnsi="Arial" w:eastAsia="Arial" w:cs="Arial"/>
          <w:sz w:val="24"/>
        </w:rPr>
      </w:pPr>
      <w:r>
        <w:rPr>
          <w:rFonts w:eastAsia="Arial" w:cs="Arial" w:ascii="Arial" w:hAnsi="Arial"/>
          <w:sz w:val="24"/>
        </w:rPr>
        <w:t>2</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Arial" w:hAnsi="Arial" w:eastAsia="Arial" w:cs="Arial"/>
          <w:sz w:val="24"/>
        </w:rPr>
      </w:pPr>
      <w:r>
        <w:rPr>
          <w:rFonts w:eastAsia="Arial" w:cs="Arial" w:ascii="Arial" w:hAnsi="Arial"/>
          <w:sz w:val="24"/>
        </w:rPr>
        <w:t>3</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Arial" w:hAnsi="Arial" w:eastAsia="Arial" w:cs="Arial"/>
          <w:sz w:val="24"/>
        </w:rPr>
      </w:pPr>
      <w:r>
        <w:rPr>
          <w:rFonts w:eastAsia="Arial" w:cs="Arial" w:ascii="Arial" w:hAnsi="Arial"/>
          <w:sz w:val="24"/>
        </w:rPr>
        <w:t>4</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Arial" w:hAnsi="Arial" w:eastAsia="Arial" w:cs="Arial"/>
          <w:sz w:val="24"/>
        </w:rPr>
      </w:pPr>
      <w:r>
        <w:rPr>
          <w:rFonts w:eastAsia="Arial" w:cs="Arial" w:ascii="Arial" w:hAnsi="Arial"/>
          <w:sz w:val="24"/>
        </w:rPr>
        <w:t>5</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Arial" w:hAnsi="Arial" w:eastAsia="Arial" w:cs="Arial"/>
          <w:sz w:val="24"/>
        </w:rPr>
      </w:pPr>
      <w:r>
        <w:rPr>
          <w:rFonts w:eastAsia="Arial" w:cs="Arial" w:ascii="Arial" w:hAnsi="Arial"/>
          <w:sz w:val="24"/>
        </w:rPr>
        <w:t>6</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Arial" w:hAnsi="Arial" w:eastAsia="Arial" w:cs="Arial"/>
          <w:sz w:val="24"/>
        </w:rPr>
      </w:pPr>
      <w:r>
        <w:rPr>
          <w:rFonts w:eastAsia="Arial" w:cs="Arial" w:ascii="Arial" w:hAnsi="Arial"/>
          <w:sz w:val="24"/>
        </w:rPr>
        <w:t>7</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Arial" w:hAnsi="Arial" w:eastAsia="Arial" w:cs="Arial"/>
          <w:sz w:val="24"/>
        </w:rPr>
      </w:pPr>
      <w:r>
        <w:rPr>
          <w:rFonts w:eastAsia="Arial" w:cs="Arial" w:ascii="Arial" w:hAnsi="Arial"/>
          <w:sz w:val="24"/>
        </w:rPr>
        <w:t>8</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Arial" w:hAnsi="Arial" w:eastAsia="Arial" w:cs="Arial"/>
          <w:sz w:val="24"/>
        </w:rPr>
      </w:pPr>
      <w:r>
        <w:rPr>
          <w:rFonts w:eastAsia="Arial" w:cs="Arial" w:ascii="Arial" w:hAnsi="Arial"/>
          <w:sz w:val="24"/>
        </w:rPr>
        <w:t>9</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10</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11</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12</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13</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14</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15</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16</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17</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18</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19</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20</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21</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22</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23</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24</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25</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26</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27</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28</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29</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24"/>
        </w:rPr>
      </w:pPr>
      <w:r>
        <w:rPr>
          <w:rFonts w:eastAsia="Arial" w:cs="Arial" w:ascii="Arial" w:hAnsi="Arial"/>
          <w:sz w:val="24"/>
        </w:rPr>
        <w:t>30</w:t>
      </w:r>
    </w:p>
    <w:p>
      <w:pPr>
        <w:pStyle w:val="Normal"/>
        <w:spacing w:lineRule="atLeast" w:line="0"/>
        <w:rPr>
          <w:rFonts w:ascii="Arial" w:hAnsi="Arial" w:eastAsia="Arial" w:cs="Arial"/>
          <w:sz w:val="22"/>
        </w:rPr>
      </w:pPr>
      <w:r>
        <w:br w:type="column"/>
      </w:r>
      <w:r>
        <w:rPr>
          <w:rFonts w:eastAsia="Arial" w:cs="Arial" w:ascii="Arial" w:hAnsi="Arial"/>
          <w:sz w:val="22"/>
        </w:rPr>
        <w:t>Sixty-seventh</w:t>
      </w:r>
    </w:p>
    <w:p>
      <w:pPr>
        <w:pStyle w:val="Normal"/>
        <w:spacing w:lineRule="atLeast" w:line="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00"/>
        <w:ind w:start="920" w:end="0"/>
        <w:rPr/>
      </w:pPr>
      <w:r>
        <w:rPr>
          <w:rFonts w:eastAsia="Arial" w:cs="Arial" w:ascii="Arial" w:hAnsi="Arial"/>
          <w:sz w:val="22"/>
        </w:rPr>
        <w:t xml:space="preserve">establishing the conditions for continuing education, the commission may determine the required number of hours, the frequency and conditions of reporting requirements, and all other terms and conditions of continuing education compliance. The commission shall set standards for the approval of </w:t>
      </w:r>
      <w:r>
        <w:rPr>
          <w:rFonts w:eastAsia="Arial" w:cs="Arial" w:ascii="Arial" w:hAnsi="Arial"/>
          <w:strike/>
          <w:sz w:val="22"/>
        </w:rPr>
        <w:t>lectures, seminars, courses of instruction, and correspondence</w:t>
      </w:r>
      <w:r>
        <w:rPr>
          <w:rFonts w:eastAsia="Arial" w:cs="Arial" w:ascii="Arial" w:hAnsi="Arial"/>
          <w:sz w:val="22"/>
          <w:u w:val="single"/>
        </w:rPr>
        <w:t>education</w:t>
      </w:r>
      <w:r>
        <w:rPr>
          <w:rFonts w:eastAsia="Arial" w:cs="Arial" w:ascii="Arial" w:hAnsi="Arial"/>
          <w:sz w:val="22"/>
        </w:rPr>
        <w:t xml:space="preserve"> courses that qualify for satisfaction of this</w:t>
      </w:r>
      <w:r>
        <w:rPr>
          <w:rFonts w:eastAsia="Arial" w:cs="Arial" w:ascii="Arial" w:hAnsi="Arial"/>
          <w:strike/>
          <w:sz w:val="22"/>
        </w:rPr>
        <w:t xml:space="preserve"> </w:t>
      </w:r>
      <w:r>
        <w:rPr>
          <w:rFonts w:eastAsia="Arial" w:cs="Arial" w:ascii="Arial" w:hAnsi="Arial"/>
          <w:sz w:val="22"/>
        </w:rPr>
        <w:t xml:space="preserve">requirement, and shall maintain a current list of </w:t>
      </w:r>
      <w:r>
        <w:rPr>
          <w:rFonts w:eastAsia="Arial" w:cs="Arial" w:ascii="Arial" w:hAnsi="Arial"/>
          <w:strike/>
          <w:sz w:val="22"/>
        </w:rPr>
        <w:t>lectures, seminars, courses of instruction, and correspondence</w:t>
      </w:r>
      <w:r>
        <w:rPr>
          <w:rFonts w:eastAsia="Arial" w:cs="Arial" w:ascii="Arial" w:hAnsi="Arial"/>
          <w:sz w:val="22"/>
          <w:u w:val="single"/>
        </w:rPr>
        <w:t>education</w:t>
      </w:r>
      <w:r>
        <w:rPr>
          <w:rFonts w:eastAsia="Arial" w:cs="Arial" w:ascii="Arial" w:hAnsi="Arial"/>
          <w:sz w:val="22"/>
        </w:rPr>
        <w:t xml:space="preserve"> courses so approved. </w:t>
      </w:r>
      <w:r>
        <w:rPr>
          <w:rFonts w:eastAsia="Arial" w:cs="Arial" w:ascii="Arial" w:hAnsi="Arial"/>
          <w:strike/>
          <w:sz w:val="22"/>
        </w:rPr>
        <w:t>Lectures, seminars, courses of instruction, and correspondence</w:t>
      </w:r>
      <w:r>
        <w:rPr>
          <w:rFonts w:eastAsia="Arial" w:cs="Arial" w:ascii="Arial" w:hAnsi="Arial"/>
          <w:strike/>
          <w:color w:val="800000"/>
          <w:sz w:val="22"/>
          <w:u w:val="single"/>
        </w:rPr>
        <w:t>Education</w:t>
      </w:r>
      <w:r>
        <w:rPr>
          <w:rFonts w:eastAsia="Arial" w:cs="Arial" w:ascii="Arial" w:hAnsi="Arial"/>
          <w:strike/>
          <w:color w:val="800000"/>
          <w:sz w:val="22"/>
        </w:rPr>
        <w:t xml:space="preserve"> courses may not require passing of a test to qualify for satisfaction of this requirement.</w:t>
      </w:r>
      <w:r>
        <w:rPr>
          <w:rFonts w:eastAsia="Arial" w:cs="Arial" w:ascii="Arial" w:hAnsi="Arial"/>
          <w:strike/>
          <w:color w:val="000000"/>
          <w:sz w:val="22"/>
        </w:rPr>
        <w:t xml:space="preserve"> Licensees must have the option of attending an approved course of instruction in person or taking an approved correspondence course.</w:t>
      </w:r>
      <w:r>
        <w:rPr>
          <w:rFonts w:eastAsia="Arial" w:cs="Arial" w:ascii="Arial" w:hAnsi="Arial"/>
          <w:color w:val="000000"/>
          <w:sz w:val="22"/>
        </w:rPr>
        <w:t xml:space="preserve"> Attendance at a course or the completion of </w:t>
      </w:r>
      <w:r>
        <w:rPr>
          <w:rFonts w:eastAsia="Arial" w:cs="Arial" w:ascii="Arial" w:hAnsi="Arial"/>
          <w:strike/>
          <w:color w:val="000000"/>
          <w:sz w:val="22"/>
        </w:rPr>
        <w:t>a correspondence</w:t>
      </w:r>
      <w:r>
        <w:rPr>
          <w:rFonts w:eastAsia="Arial" w:cs="Arial" w:ascii="Arial" w:hAnsi="Arial"/>
          <w:color w:val="000000"/>
          <w:sz w:val="22"/>
          <w:u w:val="single"/>
        </w:rPr>
        <w:t>an education</w:t>
      </w:r>
      <w:r>
        <w:rPr>
          <w:rFonts w:eastAsia="Arial" w:cs="Arial" w:ascii="Arial" w:hAnsi="Arial"/>
          <w:color w:val="000000"/>
          <w:sz w:val="22"/>
        </w:rPr>
        <w:t xml:space="preserve"> course must be documented in accordance with</w:t>
      </w:r>
      <w:r>
        <w:rPr>
          <w:rFonts w:eastAsia="Arial" w:cs="Arial" w:ascii="Arial" w:hAnsi="Arial"/>
          <w:strike/>
          <w:color w:val="000000"/>
          <w:sz w:val="22"/>
        </w:rPr>
        <w:t xml:space="preserve"> </w:t>
      </w:r>
      <w:r>
        <w:rPr>
          <w:rFonts w:eastAsia="Arial" w:cs="Arial" w:ascii="Arial" w:hAnsi="Arial"/>
          <w:color w:val="000000"/>
          <w:sz w:val="22"/>
        </w:rPr>
        <w:t>procedures established by the commission. The commission may adopt rules concerning implementation of this section pursuant to chapter 28-32.</w:t>
      </w:r>
    </w:p>
    <w:p>
      <w:pPr>
        <w:pStyle w:val="Normal"/>
        <w:spacing w:lineRule="exact" w:line="20"/>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drawing>
          <wp:anchor behindDoc="1" distT="0" distB="0" distL="114935" distR="114935" simplePos="0" locked="0" layoutInCell="1" allowOverlap="1" relativeHeight="5">
            <wp:simplePos x="0" y="0"/>
            <wp:positionH relativeFrom="column">
              <wp:posOffset>5582920</wp:posOffset>
            </wp:positionH>
            <wp:positionV relativeFrom="paragraph">
              <wp:posOffset>-2868295</wp:posOffset>
            </wp:positionV>
            <wp:extent cx="39370" cy="762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472" t="-1887" r="-472" b="-1887"/>
                    <a:stretch>
                      <a:fillRect/>
                    </a:stretch>
                  </pic:blipFill>
                  <pic:spPr bwMode="auto">
                    <a:xfrm>
                      <a:off x="0" y="0"/>
                      <a:ext cx="39370" cy="762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5380990</wp:posOffset>
            </wp:positionH>
            <wp:positionV relativeFrom="paragraph">
              <wp:posOffset>-2328545</wp:posOffset>
            </wp:positionV>
            <wp:extent cx="39370" cy="762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472" t="-1887" r="-472" b="-1887"/>
                    <a:stretch>
                      <a:fillRect/>
                    </a:stretch>
                  </pic:blipFill>
                  <pic:spPr bwMode="auto">
                    <a:xfrm>
                      <a:off x="0" y="0"/>
                      <a:ext cx="39370" cy="762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5932170</wp:posOffset>
            </wp:positionH>
            <wp:positionV relativeFrom="paragraph">
              <wp:posOffset>-1788795</wp:posOffset>
            </wp:positionV>
            <wp:extent cx="39370" cy="762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472" t="-1887" r="-472" b="-1887"/>
                    <a:stretch>
                      <a:fillRect/>
                    </a:stretch>
                  </pic:blipFill>
                  <pic:spPr bwMode="auto">
                    <a:xfrm>
                      <a:off x="0" y="0"/>
                      <a:ext cx="39370" cy="7620"/>
                    </a:xfrm>
                    <a:prstGeom prst="rect">
                      <a:avLst/>
                    </a:prstGeom>
                  </pic:spPr>
                </pic:pic>
              </a:graphicData>
            </a:graphic>
          </wp:anchor>
        </w:drawing>
      </w:r>
    </w:p>
    <w:p>
      <w:pPr>
        <w:pStyle w:val="Normal"/>
        <w:numPr>
          <w:ilvl w:val="0"/>
          <w:numId w:val="19"/>
        </w:numPr>
        <w:tabs>
          <w:tab w:val="clear" w:pos="720"/>
          <w:tab w:val="left" w:pos="920" w:leader="none"/>
        </w:tabs>
        <w:spacing w:lineRule="auto" w:line="400"/>
        <w:ind w:hanging="488" w:start="920" w:end="40"/>
        <w:rPr>
          <w:rFonts w:ascii="Arial" w:hAnsi="Arial" w:eastAsia="Arial" w:cs="Arial"/>
          <w:sz w:val="22"/>
        </w:rPr>
      </w:pPr>
      <w:r>
        <w:rPr>
          <w:rFonts w:eastAsia="Arial" w:cs="Arial" w:ascii="Arial" w:hAnsi="Arial"/>
          <w:sz w:val="22"/>
        </w:rPr>
        <w:t>A license may not be renewed by the commission unless the proper certification showing fulfillment of the continuing education requirements of this section and the appropriate licensing fees are submitted to the commission in accordance with section 43-23-13.1.</w:t>
      </w:r>
    </w:p>
    <w:p>
      <w:pPr>
        <w:pStyle w:val="Normal"/>
        <w:numPr>
          <w:ilvl w:val="0"/>
          <w:numId w:val="19"/>
        </w:numPr>
        <w:tabs>
          <w:tab w:val="clear" w:pos="720"/>
          <w:tab w:val="left" w:pos="920" w:leader="none"/>
        </w:tabs>
        <w:spacing w:lineRule="auto" w:line="400"/>
        <w:ind w:hanging="488" w:start="920" w:end="40"/>
        <w:rPr>
          <w:rFonts w:ascii="Arial" w:hAnsi="Arial" w:eastAsia="Arial" w:cs="Arial"/>
          <w:sz w:val="22"/>
        </w:rPr>
      </w:pPr>
      <w:r>
        <w:rPr>
          <w:rFonts w:eastAsia="Arial" w:cs="Arial" w:ascii="Arial" w:hAnsi="Arial"/>
          <w:sz w:val="22"/>
        </w:rPr>
        <w:t>The commission may exempt licensees from the continuing education requirements of this section for reasons relating to the licensee's health, military service, or for other good cause. Licensees who have held a real estate license for fifteen continuous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20"/>
        <w:ind w:firstLine="516" w:start="400" w:end="860"/>
        <w:rPr/>
      </w:pPr>
      <w:r>
        <w:rPr>
          <w:rFonts w:eastAsia="Arial" w:cs="Arial" w:ascii="Arial" w:hAnsi="Arial"/>
          <w:sz w:val="21"/>
        </w:rPr>
        <w:t xml:space="preserve">years on January 1, 1984, are exempt from the requirements of this section. </w:t>
      </w:r>
      <w:r>
        <w:rPr>
          <w:rFonts w:eastAsia="Arial" w:cs="Arial" w:ascii="Arial" w:hAnsi="Arial"/>
          <w:b/>
          <w:sz w:val="21"/>
        </w:rPr>
        <w:t>SECTION 7. AMENDMENT.</w:t>
      </w:r>
      <w:r>
        <w:rPr>
          <w:rFonts w:eastAsia="Arial" w:cs="Arial" w:ascii="Arial" w:hAnsi="Arial"/>
          <w:sz w:val="21"/>
        </w:rPr>
        <w:t xml:space="preserve"> Section 43-23-09 of the North Dakota Century Code is</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sz w:val="22"/>
        </w:rPr>
      </w:pPr>
      <w:r>
        <w:rPr>
          <w:rFonts w:eastAsia="Arial" w:cs="Arial" w:ascii="Arial" w:hAnsi="Arial"/>
          <w:sz w:val="22"/>
        </w:rPr>
        <w:t>amended and reenacted as follows:</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00" w:end="0"/>
        <w:rPr>
          <w:rFonts w:ascii="Arial" w:hAnsi="Arial" w:eastAsia="Arial" w:cs="Arial"/>
          <w:b/>
          <w:sz w:val="22"/>
        </w:rPr>
      </w:pPr>
      <w:r>
        <w:rPr>
          <w:rFonts w:eastAsia="Arial" w:cs="Arial" w:ascii="Arial" w:hAnsi="Arial"/>
          <w:b/>
          <w:sz w:val="22"/>
        </w:rPr>
        <w:t>43-23-09. License application.</w:t>
      </w:r>
    </w:p>
    <w:p>
      <w:pPr>
        <w:pStyle w:val="Normal"/>
        <w:spacing w:lineRule="exact" w:line="17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400"/>
        <w:ind w:firstLine="398" w:end="420"/>
        <w:rPr/>
      </w:pPr>
      <w:r>
        <w:rPr>
          <w:rFonts w:eastAsia="Arial" w:cs="Arial" w:ascii="Arial" w:hAnsi="Arial"/>
          <w:sz w:val="22"/>
        </w:rPr>
        <w:t xml:space="preserve">Every application for a real estate broker's license or a real estate salesperson's license must </w:t>
      </w:r>
      <w:r>
        <w:rPr>
          <w:rFonts w:eastAsia="Arial" w:cs="Arial" w:ascii="Arial" w:hAnsi="Arial"/>
          <w:strike/>
          <w:sz w:val="22"/>
        </w:rPr>
        <w:t>be in writing upon blanks prepared by the commission and</w:t>
      </w:r>
      <w:r>
        <w:rPr>
          <w:rFonts w:eastAsia="Arial" w:cs="Arial" w:ascii="Arial" w:hAnsi="Arial"/>
          <w:sz w:val="22"/>
        </w:rPr>
        <w:t xml:space="preserve"> contain such data and information as the commission may require.</w:t>
      </w:r>
    </w:p>
    <w:p>
      <w:pPr>
        <w:pStyle w:val="Normal"/>
        <w:spacing w:lineRule="auto" w:line="441"/>
        <w:ind w:firstLine="398" w:end="860"/>
        <w:rPr/>
      </w:pPr>
      <w:r>
        <w:rPr>
          <w:rFonts w:eastAsia="Arial" w:cs="Arial" w:ascii="Arial" w:hAnsi="Arial"/>
          <w:b/>
          <w:sz w:val="22"/>
        </w:rPr>
        <w:t>SECTION 8. AMENDMENT.</w:t>
      </w:r>
      <w:r>
        <w:rPr>
          <w:rFonts w:eastAsia="Arial" w:cs="Arial" w:ascii="Arial" w:hAnsi="Arial"/>
          <w:sz w:val="22"/>
        </w:rPr>
        <w:t xml:space="preserve"> Section 43-23-10 of the North Dakota Century Code is amended and reenacted as follows:</w:t>
      </w:r>
    </w:p>
    <w:p>
      <w:pPr>
        <w:sectPr>
          <w:type w:val="nextPage"/>
          <w:pgSz w:w="12240" w:h="15840"/>
          <w:pgMar w:left="1160" w:right="1160" w:gutter="0" w:header="0" w:top="657" w:footer="0" w:bottom="48"/>
          <w:pgNumType w:fmt="decimal"/>
          <w:cols w:num="2" w:equalWidth="false" w:sep="false">
            <w:col w:w="280" w:space="300"/>
            <w:col w:w="93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60" w:leader="none"/>
        </w:tabs>
        <w:spacing w:lineRule="atLeast" w:line="0"/>
        <w:ind w:start="4540" w:end="0"/>
        <w:rPr/>
      </w:pPr>
      <w:r>
        <w:rPr>
          <w:rFonts w:eastAsia="Arial" w:cs="Arial" w:ascii="Arial" w:hAnsi="Arial"/>
          <w:sz w:val="22"/>
        </w:rPr>
        <w:t>Page No. 5</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0" w:right="1160" w:gutter="0" w:header="0" w:top="657" w:footer="0" w:bottom="48"/>
          <w:formProt w:val="false"/>
          <w:textDirection w:val="lrTb"/>
          <w:docGrid w:type="default" w:linePitch="360" w:charSpace="0"/>
        </w:sectPr>
      </w:pPr>
    </w:p>
    <w:p>
      <w:pPr>
        <w:pStyle w:val="Normal"/>
        <w:spacing w:lineRule="atLeast" w:line="0"/>
        <w:ind w:start="576" w:end="0"/>
        <w:rPr>
          <w:rFonts w:ascii="Arial" w:hAnsi="Arial" w:eastAsia="Arial" w:cs="Arial"/>
          <w:sz w:val="22"/>
        </w:rPr>
      </w:pPr>
      <w:bookmarkStart w:id="7" w:name="page6"/>
      <w:bookmarkEnd w:id="7"/>
      <w:r>
        <w:rPr>
          <w:rFonts w:eastAsia="Arial" w:cs="Arial" w:ascii="Arial" w:hAnsi="Arial"/>
          <w:sz w:val="22"/>
        </w:rPr>
        <w:t>Sixty-seventh</w:t>
      </w:r>
    </w:p>
    <w:p>
      <w:pPr>
        <w:pStyle w:val="Normal"/>
        <w:spacing w:lineRule="atLeast" w:line="0"/>
        <w:ind w:start="576" w:end="0"/>
        <w:rPr>
          <w:rFonts w:ascii="Arial" w:hAnsi="Arial" w:eastAsia="Arial" w:cs="Arial"/>
          <w:sz w:val="22"/>
        </w:rPr>
      </w:pPr>
      <w:r>
        <w:rPr>
          <w:rFonts w:eastAsia="Arial" w:cs="Arial" w:ascii="Arial" w:hAnsi="Arial"/>
          <w:sz w:val="22"/>
        </w:rPr>
        <w:t>Legislative Assembly</w:t>
      </w:r>
    </w:p>
    <w:p>
      <w:pPr>
        <w:pStyle w:val="Normal"/>
        <w:spacing w:lineRule="exact" w:line="23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
        </w:numPr>
        <w:tabs>
          <w:tab w:val="clear" w:pos="720"/>
          <w:tab w:val="left" w:pos="976" w:leader="none"/>
        </w:tabs>
        <w:spacing w:lineRule="atLeast" w:line="0"/>
        <w:ind w:hanging="844" w:start="976" w:end="0"/>
        <w:rPr>
          <w:rFonts w:ascii="Arial" w:hAnsi="Arial" w:eastAsia="Arial" w:cs="Arial"/>
          <w:sz w:val="24"/>
        </w:rPr>
      </w:pPr>
      <w:r>
        <w:rPr>
          <w:rFonts w:eastAsia="Arial" w:cs="Arial" w:ascii="Arial" w:hAnsi="Arial"/>
          <w:b/>
          <w:sz w:val="22"/>
        </w:rPr>
        <w:t>43-23-10. Nonresident brokers - Reciprocity - Consent to service.</w: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980" w:leader="none"/>
        </w:tabs>
        <w:spacing w:lineRule="auto" w:line="362"/>
        <w:ind w:hanging="4" w:start="136" w:end="180"/>
        <w:jc w:val="both"/>
        <w:rPr>
          <w:rFonts w:ascii="Arial" w:hAnsi="Arial" w:eastAsia="Arial" w:cs="Arial"/>
          <w:sz w:val="24"/>
        </w:rPr>
      </w:pPr>
      <w:r>
        <w:rPr>
          <w:rFonts w:eastAsia="Arial" w:cs="Arial" w:ascii="Arial" w:hAnsi="Arial"/>
          <w:sz w:val="22"/>
        </w:rPr>
        <w:t xml:space="preserve">A nonresident broker regularly engaged in the real estate business as a vocation and who </w:t>
      </w:r>
      <w:r>
        <w:rPr>
          <w:rFonts w:eastAsia="Arial" w:cs="Arial" w:ascii="Arial" w:hAnsi="Arial"/>
          <w:sz w:val="24"/>
        </w:rPr>
        <w:t>3</w:t>
      </w:r>
      <w:r>
        <w:rPr>
          <w:rFonts w:eastAsia="Arial" w:cs="Arial" w:ascii="Arial" w:hAnsi="Arial"/>
          <w:sz w:val="22"/>
        </w:rPr>
        <w:t xml:space="preserve"> maintains a definite place of business and is licensed in </w:t>
      </w:r>
      <w:r>
        <w:rPr>
          <w:rFonts w:eastAsia="Arial" w:cs="Arial" w:ascii="Arial" w:hAnsi="Arial"/>
          <w:strike/>
          <w:sz w:val="22"/>
        </w:rPr>
        <w:t>some other</w:t>
      </w:r>
      <w:r>
        <w:rPr>
          <w:rFonts w:eastAsia="Arial" w:cs="Arial" w:ascii="Arial" w:hAnsi="Arial"/>
          <w:sz w:val="22"/>
          <w:u w:val="single"/>
        </w:rPr>
        <w:t>another</w:t>
      </w:r>
      <w:r>
        <w:rPr>
          <w:rFonts w:eastAsia="Arial" w:cs="Arial" w:ascii="Arial" w:hAnsi="Arial"/>
          <w:sz w:val="22"/>
        </w:rPr>
        <w:t xml:space="preserve"> state</w:t>
      </w:r>
      <w:r>
        <w:rPr>
          <w:rFonts w:eastAsia="Arial" w:cs="Arial" w:ascii="Arial" w:hAnsi="Arial"/>
          <w:strike/>
          <w:sz w:val="22"/>
        </w:rPr>
        <w:t>, which offers</w:t>
      </w:r>
      <w:r>
        <w:rPr>
          <w:rFonts w:eastAsia="Arial" w:cs="Arial" w:ascii="Arial" w:hAnsi="Arial"/>
          <w:sz w:val="24"/>
        </w:rPr>
        <w:t xml:space="preserve"> 4</w:t>
      </w:r>
      <w:r>
        <w:rPr>
          <w:rFonts w:eastAsia="Arial" w:cs="Arial" w:ascii="Arial" w:hAnsi="Arial"/>
          <w:sz w:val="22"/>
        </w:rPr>
        <w:t xml:space="preserve"> </w:t>
      </w:r>
      <w:r>
        <w:rPr>
          <w:rFonts w:eastAsia="Arial" w:cs="Arial" w:ascii="Arial" w:hAnsi="Arial"/>
          <w:strike/>
          <w:sz w:val="22"/>
        </w:rPr>
        <w:t>the same privileges to the licensed brokers of this state,</w:t>
      </w:r>
      <w:r>
        <w:rPr>
          <w:rFonts w:eastAsia="Arial" w:cs="Arial" w:ascii="Arial" w:hAnsi="Arial"/>
          <w:sz w:val="22"/>
        </w:rPr>
        <w:t xml:space="preserve"> may not be required to maintain a</w:t>
      </w:r>
    </w:p>
    <w:p>
      <w:pPr>
        <w:pStyle w:val="Normal"/>
        <w:spacing w:lineRule="exact" w:line="1"/>
        <w:rPr>
          <w:rFonts w:ascii="Arial" w:hAnsi="Arial" w:eastAsia="Arial" w:cs="Arial"/>
          <w:sz w:val="24"/>
        </w:rPr>
      </w:pPr>
      <w:r>
        <w:rPr>
          <w:rFonts w:eastAsia="Arial" w:cs="Arial" w:ascii="Arial" w:hAnsi="Arial"/>
          <w:sz w:val="24"/>
        </w:rPr>
      </w:r>
    </w:p>
    <w:p>
      <w:pPr>
        <w:pStyle w:val="Normal"/>
        <w:spacing w:lineRule="auto" w:line="367"/>
        <w:ind w:start="136" w:end="40"/>
        <w:rPr/>
      </w:pPr>
      <w:r>
        <w:rPr>
          <w:rFonts w:eastAsia="Arial" w:cs="Arial" w:ascii="Arial" w:hAnsi="Arial"/>
          <w:sz w:val="24"/>
        </w:rPr>
        <w:t>5</w:t>
      </w:r>
      <w:r>
        <w:rPr>
          <w:rFonts w:eastAsia="Arial" w:cs="Arial" w:ascii="Arial" w:hAnsi="Arial"/>
          <w:sz w:val="22"/>
        </w:rPr>
        <w:t xml:space="preserve"> place of business within this state. The commission shall recognize the license issued to a real</w:t>
      </w:r>
      <w:r>
        <w:rPr>
          <w:rFonts w:eastAsia="Arial" w:cs="Arial" w:ascii="Arial" w:hAnsi="Arial"/>
          <w:sz w:val="24"/>
        </w:rPr>
        <w:t xml:space="preserve"> 6</w:t>
      </w:r>
      <w:r>
        <w:rPr>
          <w:rFonts w:eastAsia="Arial" w:cs="Arial" w:ascii="Arial" w:hAnsi="Arial"/>
          <w:sz w:val="22"/>
        </w:rPr>
        <w:t xml:space="preserve"> estate broker by another state as satisfactorily qualifying the nonresident broker for license as a</w:t>
      </w:r>
      <w:r>
        <w:rPr>
          <w:rFonts w:eastAsia="Arial" w:cs="Arial" w:ascii="Arial" w:hAnsi="Arial"/>
          <w:sz w:val="24"/>
        </w:rPr>
        <w:t xml:space="preserve"> 7</w:t>
      </w:r>
      <w:r>
        <w:rPr>
          <w:rFonts w:eastAsia="Arial" w:cs="Arial" w:ascii="Arial" w:hAnsi="Arial"/>
          <w:sz w:val="22"/>
        </w:rPr>
        <w:t xml:space="preserve"> broker; provided, </w:t>
      </w:r>
      <w:r>
        <w:rPr>
          <w:rFonts w:eastAsia="Arial" w:cs="Arial" w:ascii="Arial" w:hAnsi="Arial"/>
          <w:strike/>
          <w:sz w:val="22"/>
        </w:rPr>
        <w:t>that</w:t>
      </w:r>
      <w:r>
        <w:rPr>
          <w:rFonts w:eastAsia="Arial" w:cs="Arial" w:ascii="Arial" w:hAnsi="Arial"/>
          <w:sz w:val="22"/>
        </w:rPr>
        <w:t xml:space="preserve"> the nonresident broker has qualified for license in the broker's own state</w:t>
      </w:r>
      <w:r>
        <w:rPr>
          <w:rFonts w:eastAsia="Arial" w:cs="Arial" w:ascii="Arial" w:hAnsi="Arial"/>
          <w:sz w:val="24"/>
        </w:rPr>
        <w:t xml:space="preserve"> 8</w:t>
      </w:r>
      <w:r>
        <w:rPr>
          <w:rFonts w:eastAsia="Arial" w:cs="Arial" w:ascii="Arial" w:hAnsi="Arial"/>
          <w:sz w:val="22"/>
        </w:rPr>
        <w:t xml:space="preserve"> </w:t>
      </w:r>
      <w:r>
        <w:rPr>
          <w:rFonts w:eastAsia="Arial" w:cs="Arial" w:ascii="Arial" w:hAnsi="Arial"/>
          <w:strike/>
          <w:sz w:val="22"/>
        </w:rPr>
        <w:t>and also that the other state permits licenses to be issued to licensed brokers in this state</w:t>
      </w:r>
      <w:r>
        <w:rPr>
          <w:rFonts w:eastAsia="Arial" w:cs="Arial" w:ascii="Arial" w:hAnsi="Arial"/>
          <w:sz w:val="22"/>
        </w:rPr>
        <w:t>.</w:t>
      </w:r>
    </w:p>
    <w:p>
      <w:pPr>
        <w:pStyle w:val="Normal"/>
        <w:spacing w:lineRule="exact" w:line="2"/>
        <w:rPr>
          <w:rFonts w:ascii="Arial" w:hAnsi="Arial" w:eastAsia="Arial" w:cs="Arial"/>
          <w:sz w:val="24"/>
        </w:rPr>
      </w:pPr>
      <w:r>
        <w:rPr>
          <w:rFonts w:eastAsia="Arial" w:cs="Arial" w:ascii="Arial" w:hAnsi="Arial"/>
          <w:sz w:val="24"/>
        </w:rPr>
      </w:r>
    </w:p>
    <w:p>
      <w:pPr>
        <w:pStyle w:val="Normal"/>
        <w:spacing w:lineRule="atLeast" w:line="0"/>
        <w:ind w:start="136" w:end="0"/>
        <w:rPr/>
      </w:pPr>
      <w:r>
        <w:rPr>
          <w:rFonts w:eastAsia="Arial" w:cs="Arial" w:ascii="Arial" w:hAnsi="Arial"/>
          <w:sz w:val="24"/>
        </w:rPr>
        <w:t>9</w:t>
      </w:r>
      <w:r>
        <w:rPr>
          <w:rFonts w:eastAsia="Arial" w:cs="Arial" w:ascii="Arial" w:hAnsi="Arial"/>
          <w:sz w:val="22"/>
        </w:rPr>
        <w:t xml:space="preserve">   Every nonresident applicant shall file an irrevocable consent that suits and actions may be</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commenced against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applicant in the proper court of any county of the state in which a</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58" w:start="576" w:end="0"/>
        <w:rPr>
          <w:rFonts w:ascii="Arial" w:hAnsi="Arial" w:eastAsia="Arial" w:cs="Arial"/>
          <w:sz w:val="24"/>
        </w:rPr>
      </w:pPr>
      <w:r>
        <w:rPr>
          <w:rFonts w:eastAsia="Arial" w:cs="Arial" w:ascii="Arial" w:hAnsi="Arial"/>
          <w:sz w:val="22"/>
        </w:rPr>
        <w:t>claim for relief may arise, in which the plaintiff may reside, by the service of any process or</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pleading authorized by the laws of this state, on any member of the commission, or the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executive director, </w:t>
      </w:r>
      <w:r>
        <w:rPr>
          <w:rFonts w:eastAsia="Arial" w:cs="Arial" w:ascii="Arial" w:hAnsi="Arial"/>
          <w:strike/>
          <w:sz w:val="22"/>
        </w:rPr>
        <w:t>said</w:t>
      </w:r>
      <w:r>
        <w:rPr>
          <w:rFonts w:eastAsia="Arial" w:cs="Arial" w:ascii="Arial" w:hAnsi="Arial"/>
          <w:sz w:val="22"/>
          <w:u w:val="single"/>
        </w:rPr>
        <w:t>the</w:t>
      </w:r>
      <w:r>
        <w:rPr>
          <w:rFonts w:eastAsia="Arial" w:cs="Arial" w:ascii="Arial" w:hAnsi="Arial"/>
          <w:sz w:val="22"/>
        </w:rPr>
        <w:t xml:space="preserve"> consent stipulating and agreeing </w:t>
      </w:r>
      <w:r>
        <w:rPr>
          <w:rFonts w:eastAsia="Arial" w:cs="Arial" w:ascii="Arial" w:hAnsi="Arial"/>
          <w:strike/>
          <w:sz w:val="22"/>
        </w:rPr>
        <w:t>that such</w:t>
      </w:r>
      <w:r>
        <w:rPr>
          <w:rFonts w:eastAsia="Arial" w:cs="Arial" w:ascii="Arial" w:hAnsi="Arial"/>
          <w:sz w:val="22"/>
        </w:rPr>
        <w:t xml:space="preserve"> service of </w:t>
      </w:r>
      <w:r>
        <w:rPr>
          <w:rFonts w:eastAsia="Arial" w:cs="Arial" w:ascii="Arial" w:hAnsi="Arial"/>
          <w:strike/>
          <w:sz w:val="22"/>
        </w:rPr>
        <w:t>such</w:t>
      </w:r>
      <w:r>
        <w:rPr>
          <w:rFonts w:eastAsia="Arial" w:cs="Arial" w:ascii="Arial" w:hAnsi="Arial"/>
          <w:sz w:val="22"/>
          <w:u w:val="single"/>
        </w:rPr>
        <w:t>the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process or pleading </w:t>
      </w:r>
      <w:r>
        <w:rPr>
          <w:rFonts w:eastAsia="Arial" w:cs="Arial" w:ascii="Arial" w:hAnsi="Arial"/>
          <w:strike/>
          <w:sz w:val="22"/>
        </w:rPr>
        <w:t>shall be</w:t>
      </w:r>
      <w:r>
        <w:rPr>
          <w:rFonts w:eastAsia="Arial" w:cs="Arial" w:ascii="Arial" w:hAnsi="Arial"/>
          <w:sz w:val="22"/>
          <w:u w:val="single"/>
        </w:rPr>
        <w:t>is</w:t>
      </w:r>
      <w:r>
        <w:rPr>
          <w:rFonts w:eastAsia="Arial" w:cs="Arial" w:ascii="Arial" w:hAnsi="Arial"/>
          <w:sz w:val="22"/>
        </w:rPr>
        <w:t xml:space="preserve"> taken and held in all courts to be as valid and binding as if due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service had been made upon </w:t>
      </w:r>
      <w:r>
        <w:rPr>
          <w:rFonts w:eastAsia="Arial" w:cs="Arial" w:ascii="Arial" w:hAnsi="Arial"/>
          <w:strike/>
          <w:sz w:val="22"/>
        </w:rPr>
        <w:t>said</w:t>
      </w:r>
      <w:r>
        <w:rPr>
          <w:rFonts w:eastAsia="Arial" w:cs="Arial" w:ascii="Arial" w:hAnsi="Arial"/>
          <w:sz w:val="22"/>
          <w:u w:val="single"/>
        </w:rPr>
        <w:t>the</w:t>
      </w:r>
      <w:r>
        <w:rPr>
          <w:rFonts w:eastAsia="Arial" w:cs="Arial" w:ascii="Arial" w:hAnsi="Arial"/>
          <w:sz w:val="22"/>
        </w:rPr>
        <w:t xml:space="preserve"> applicant in this state. The consent must be duly</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acknowledged. Any service of process or pleading must be by duplicate copies, one of which</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must be filed in the office of the commission and the other immediately forwarded by registered</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mail to the last-known main office of the applicant against whom </w:t>
      </w:r>
      <w:r>
        <w:rPr>
          <w:rFonts w:eastAsia="Arial" w:cs="Arial" w:ascii="Arial" w:hAnsi="Arial"/>
          <w:strike/>
          <w:sz w:val="22"/>
        </w:rPr>
        <w:t>said</w:t>
      </w:r>
      <w:r>
        <w:rPr>
          <w:rFonts w:eastAsia="Arial" w:cs="Arial" w:ascii="Arial" w:hAnsi="Arial"/>
          <w:sz w:val="22"/>
          <w:u w:val="single"/>
        </w:rPr>
        <w:t>the</w:t>
      </w:r>
      <w:r>
        <w:rPr>
          <w:rFonts w:eastAsia="Arial" w:cs="Arial" w:ascii="Arial" w:hAnsi="Arial"/>
          <w:sz w:val="22"/>
        </w:rPr>
        <w:t xml:space="preserve"> process or pleading is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directed, and no default in </w:t>
      </w:r>
      <w:r>
        <w:rPr>
          <w:rFonts w:eastAsia="Arial" w:cs="Arial" w:ascii="Arial" w:hAnsi="Arial"/>
          <w:strike/>
          <w:sz w:val="22"/>
        </w:rPr>
        <w:t>any such</w:t>
      </w:r>
      <w:r>
        <w:rPr>
          <w:rFonts w:eastAsia="Arial" w:cs="Arial" w:ascii="Arial" w:hAnsi="Arial"/>
          <w:sz w:val="22"/>
          <w:u w:val="single"/>
        </w:rPr>
        <w:t>the</w:t>
      </w:r>
      <w:r>
        <w:rPr>
          <w:rFonts w:eastAsia="Arial" w:cs="Arial" w:ascii="Arial" w:hAnsi="Arial"/>
          <w:sz w:val="22"/>
        </w:rPr>
        <w:t xml:space="preserve"> proceedings or action may be taken except upon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affidavit or certificate of the commission or the executive director, that a copy of </w:t>
      </w:r>
      <w:r>
        <w:rPr>
          <w:rFonts w:eastAsia="Arial" w:cs="Arial" w:ascii="Arial" w:hAnsi="Arial"/>
          <w:strike/>
          <w:sz w:val="22"/>
        </w:rPr>
        <w:t>said</w:t>
      </w:r>
      <w:r>
        <w:rPr>
          <w:rFonts w:eastAsia="Arial" w:cs="Arial" w:ascii="Arial" w:hAnsi="Arial"/>
          <w:sz w:val="22"/>
          <w:u w:val="single"/>
        </w:rPr>
        <w:t>the</w:t>
      </w:r>
      <w:r>
        <w:rPr>
          <w:rFonts w:eastAsia="Arial" w:cs="Arial" w:ascii="Arial" w:hAnsi="Arial"/>
          <w:sz w:val="22"/>
        </w:rPr>
        <w:t xml:space="preserve"> process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or pleading was mailed to the defendant as </w:t>
      </w:r>
      <w:r>
        <w:rPr>
          <w:rFonts w:eastAsia="Arial" w:cs="Arial" w:ascii="Arial" w:hAnsi="Arial"/>
          <w:strike/>
          <w:sz w:val="22"/>
        </w:rPr>
        <w:t>herein</w:t>
      </w:r>
      <w:r>
        <w:rPr>
          <w:rFonts w:eastAsia="Arial" w:cs="Arial" w:ascii="Arial" w:hAnsi="Arial"/>
          <w:sz w:val="22"/>
        </w:rPr>
        <w:t xml:space="preserve"> required </w:t>
      </w:r>
      <w:r>
        <w:rPr>
          <w:rFonts w:eastAsia="Arial" w:cs="Arial" w:ascii="Arial" w:hAnsi="Arial"/>
          <w:sz w:val="22"/>
          <w:u w:val="single"/>
        </w:rPr>
        <w:t>under this section</w:t>
      </w:r>
      <w:r>
        <w:rPr>
          <w:rFonts w:eastAsia="Arial" w:cs="Arial" w:ascii="Arial" w:hAnsi="Arial"/>
          <w:sz w:val="22"/>
        </w:rPr>
        <w:t xml:space="preserve">, and </w:t>
      </w:r>
      <w:r>
        <w:rPr>
          <w:rFonts w:eastAsia="Arial" w:cs="Arial" w:ascii="Arial" w:hAnsi="Arial"/>
          <w:strike/>
          <w:sz w:val="22"/>
        </w:rPr>
        <w:t>no</w:t>
      </w:r>
      <w:r>
        <w:rPr>
          <w:rFonts w:eastAsia="Arial" w:cs="Arial" w:ascii="Arial" w:hAnsi="Arial"/>
          <w:sz w:val="22"/>
        </w:rPr>
        <w:t xml:space="preserve"> judgment</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by default may </w:t>
      </w:r>
      <w:r>
        <w:rPr>
          <w:rFonts w:eastAsia="Arial" w:cs="Arial" w:ascii="Arial" w:hAnsi="Arial"/>
          <w:sz w:val="22"/>
          <w:u w:val="single"/>
        </w:rPr>
        <w:t>not</w:t>
      </w:r>
      <w:r>
        <w:rPr>
          <w:rFonts w:eastAsia="Arial" w:cs="Arial" w:ascii="Arial" w:hAnsi="Arial"/>
          <w:sz w:val="22"/>
        </w:rPr>
        <w:t xml:space="preserve"> be taken in any such action or proceeding until after thirty days from the date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of mailing of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process or pleading to the nonresident defendant.</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SECTION 9. AMENDMENT.</w:t>
      </w:r>
      <w:r>
        <w:rPr>
          <w:rFonts w:eastAsia="Arial" w:cs="Arial" w:ascii="Arial" w:hAnsi="Arial"/>
          <w:sz w:val="22"/>
        </w:rPr>
        <w:t xml:space="preserve"> Section 43-23-11.1 of the North Dakota Century Code is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amended and reenacted as follows:</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43-23-11.1. Investigations, grounds for refusal, suspension or revocation of license -</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b/>
          <w:sz w:val="22"/>
        </w:rPr>
        <w:t>Hearing - Appeal.</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1016" w:leader="none"/>
        </w:tabs>
        <w:spacing w:lineRule="atLeast" w:line="0"/>
        <w:ind w:hanging="1016" w:start="1016" w:end="0"/>
        <w:rPr>
          <w:rFonts w:ascii="Arial" w:hAnsi="Arial" w:eastAsia="Arial" w:cs="Arial"/>
          <w:sz w:val="24"/>
        </w:rPr>
      </w:pPr>
      <w:r>
        <w:rPr>
          <w:rFonts w:eastAsia="Arial" w:cs="Arial" w:ascii="Arial" w:hAnsi="Arial"/>
          <w:sz w:val="22"/>
        </w:rPr>
        <w:t xml:space="preserve">1.   The commission upon its own motion may </w:t>
      </w:r>
      <w:r>
        <w:rPr>
          <w:rFonts w:eastAsia="Arial" w:cs="Arial" w:ascii="Arial" w:hAnsi="Arial"/>
          <w:sz w:val="22"/>
          <w:u w:val="single"/>
        </w:rPr>
        <w:t>investigate</w:t>
      </w:r>
      <w:r>
        <w:rPr>
          <w:rFonts w:eastAsia="Arial" w:cs="Arial" w:ascii="Arial" w:hAnsi="Arial"/>
          <w:sz w:val="22"/>
        </w:rPr>
        <w:t>, and upon the verified complaint</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in writing of any person</w:t>
      </w:r>
      <w:r>
        <w:rPr>
          <w:rFonts w:eastAsia="Arial" w:cs="Arial" w:ascii="Arial" w:hAnsi="Arial"/>
          <w:sz w:val="22"/>
          <w:u w:val="single"/>
        </w:rPr>
        <w:t>,</w:t>
      </w:r>
      <w:r>
        <w:rPr>
          <w:rFonts w:eastAsia="Arial" w:cs="Arial" w:ascii="Arial" w:hAnsi="Arial"/>
          <w:sz w:val="22"/>
        </w:rPr>
        <w:t xml:space="preserve"> shall</w:t>
      </w:r>
      <w:r>
        <w:rPr>
          <w:rFonts w:eastAsia="Arial" w:cs="Arial" w:ascii="Arial" w:hAnsi="Arial"/>
          <w:strike/>
          <w:sz w:val="22"/>
        </w:rPr>
        <w:t>,</w:t>
      </w:r>
      <w:r>
        <w:rPr>
          <w:rFonts w:eastAsia="Arial" w:cs="Arial" w:ascii="Arial" w:hAnsi="Arial"/>
          <w:sz w:val="22"/>
        </w:rPr>
        <w:t xml:space="preserve"> investigate the activities of any licensee or any person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trike/>
          <w:sz w:val="22"/>
        </w:rPr>
        <w:t>who</w:t>
      </w:r>
      <w:r>
        <w:rPr>
          <w:rFonts w:eastAsia="Arial" w:cs="Arial" w:ascii="Arial" w:hAnsi="Arial"/>
          <w:sz w:val="22"/>
          <w:u w:val="single"/>
        </w:rPr>
        <w:t>that</w:t>
      </w:r>
      <w:r>
        <w:rPr>
          <w:rFonts w:eastAsia="Arial" w:cs="Arial" w:ascii="Arial" w:hAnsi="Arial"/>
          <w:sz w:val="22"/>
        </w:rPr>
        <w:t xml:space="preserve"> assumes to act in such capacity within the state, and has the power to</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22"/>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suspend or revoke a license, impose a monetary fine and actual costs incurred by the</w:t>
      </w:r>
    </w:p>
    <w:p>
      <w:pPr>
        <w:sectPr>
          <w:type w:val="nextPage"/>
          <w:pgSz w:w="12240" w:h="15840"/>
          <w:pgMar w:left="1164" w:right="118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56" w:leader="none"/>
        </w:tabs>
        <w:spacing w:lineRule="atLeast" w:line="0"/>
        <w:ind w:start="4536" w:end="0"/>
        <w:rPr/>
      </w:pPr>
      <w:r>
        <w:rPr>
          <w:rFonts w:eastAsia="Arial" w:cs="Arial" w:ascii="Arial" w:hAnsi="Arial"/>
          <w:sz w:val="22"/>
        </w:rPr>
        <w:t>Page No. 6</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4" w:right="1180" w:gutter="0" w:header="0" w:top="657" w:footer="0" w:bottom="48"/>
          <w:formProt w:val="false"/>
          <w:textDirection w:val="lrTb"/>
          <w:docGrid w:type="default" w:linePitch="360" w:charSpace="0"/>
        </w:sectPr>
      </w:pPr>
    </w:p>
    <w:p>
      <w:pPr>
        <w:pStyle w:val="Normal"/>
        <w:spacing w:lineRule="atLeast" w:line="0"/>
        <w:ind w:start="580" w:end="0"/>
        <w:rPr>
          <w:rFonts w:ascii="Arial" w:hAnsi="Arial" w:eastAsia="Arial" w:cs="Arial"/>
          <w:sz w:val="22"/>
        </w:rPr>
      </w:pPr>
      <w:bookmarkStart w:id="8" w:name="page7"/>
      <w:bookmarkEnd w:id="8"/>
      <w:r>
        <w:rPr>
          <w:rFonts w:eastAsia="Arial" w:cs="Arial" w:ascii="Arial" w:hAnsi="Arial"/>
          <w:sz w:val="22"/>
        </w:rPr>
        <w:t>Sixty-seventh</w:t>
      </w:r>
    </w:p>
    <w:p>
      <w:pPr>
        <w:pStyle w:val="Normal"/>
        <w:spacing w:lineRule="atLeast" w:line="0"/>
        <w:ind w:start="580"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commission in the investigation and prosecution of the complaint, require course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 xml:space="preserve">attendance, or issue a letter of reprimand, or any combination thereof, </w:t>
      </w:r>
      <w:r>
        <w:rPr>
          <w:rFonts w:eastAsia="Arial" w:cs="Arial" w:ascii="Arial" w:hAnsi="Arial"/>
          <w:strike/>
          <w:sz w:val="22"/>
        </w:rPr>
        <w:t>when</w:t>
      </w:r>
      <w:r>
        <w:rPr>
          <w:rFonts w:eastAsia="Arial" w:cs="Arial" w:ascii="Arial" w:hAnsi="Arial"/>
          <w:sz w:val="22"/>
          <w:u w:val="single"/>
        </w:rPr>
        <w:t>if</w:t>
      </w:r>
      <w:r>
        <w:rPr>
          <w:rFonts w:eastAsia="Arial" w:cs="Arial" w:ascii="Arial" w:hAnsi="Arial"/>
          <w:sz w:val="22"/>
        </w:rPr>
        <w:t xml:space="preserve"> the</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licensee, in performing or attempting to perform any of the acts included within the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scope of this chapter, has performed one or more of the following:</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7"/>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a.   Making a material false statement in the licensee's application for a license or in</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ind w:start="140" w:end="0"/>
        <w:rPr/>
      </w:pPr>
      <w:r>
        <w:rPr>
          <w:rFonts w:eastAsia="Arial" w:cs="Arial" w:ascii="Arial" w:hAnsi="Arial"/>
          <w:sz w:val="24"/>
        </w:rPr>
        <w:t>6</w:t>
      </w:r>
      <w:r>
        <w:rPr>
          <w:rFonts w:eastAsia="Times New Roman" w:cs="Times New Roman" w:ascii="Times New Roman" w:hAnsi="Times New Roman"/>
        </w:rPr>
        <w:tab/>
      </w:r>
      <w:r>
        <w:rPr>
          <w:rFonts w:eastAsia="Arial" w:cs="Arial" w:ascii="Arial" w:hAnsi="Arial"/>
          <w:sz w:val="22"/>
        </w:rPr>
        <w:t>any information furnished to the commission.</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8"/>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b.   Making any substantial and willful misrepresentation with reference to a real</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ind w:start="140" w:end="0"/>
        <w:rPr/>
      </w:pPr>
      <w:r>
        <w:rPr>
          <w:rFonts w:eastAsia="Arial" w:cs="Arial" w:ascii="Arial" w:hAnsi="Arial"/>
          <w:sz w:val="24"/>
        </w:rPr>
        <w:t>8</w:t>
      </w:r>
      <w:r>
        <w:rPr>
          <w:rFonts w:eastAsia="Times New Roman" w:cs="Times New Roman" w:ascii="Times New Roman" w:hAnsi="Times New Roman"/>
        </w:rPr>
        <w:tab/>
      </w:r>
      <w:r>
        <w:rPr>
          <w:rFonts w:eastAsia="Arial" w:cs="Arial" w:ascii="Arial" w:hAnsi="Arial"/>
          <w:sz w:val="22"/>
        </w:rPr>
        <w:t>estate transaction which is injurious to any party.</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9"/>
        </w:numPr>
        <w:tabs>
          <w:tab w:val="clear" w:pos="720"/>
          <w:tab w:val="left" w:pos="1520" w:leader="none"/>
        </w:tabs>
        <w:spacing w:lineRule="atLeast" w:line="0"/>
        <w:ind w:hanging="1384" w:start="1520" w:end="0"/>
        <w:rPr>
          <w:rFonts w:ascii="Arial" w:hAnsi="Arial" w:eastAsia="Arial" w:cs="Arial"/>
          <w:sz w:val="24"/>
        </w:rPr>
      </w:pPr>
      <w:r>
        <w:rPr>
          <w:rFonts w:eastAsia="Arial" w:cs="Arial" w:ascii="Arial" w:hAnsi="Arial"/>
          <w:sz w:val="22"/>
        </w:rPr>
        <w:t>c.   Making any false promise of a character such as to influence, persuade, or</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10</w:t>
      </w:r>
      <w:r>
        <w:rPr>
          <w:rFonts w:eastAsia="Times New Roman" w:cs="Times New Roman" w:ascii="Times New Roman" w:hAnsi="Times New Roman"/>
        </w:rPr>
        <w:tab/>
      </w:r>
      <w:r>
        <w:rPr>
          <w:rFonts w:eastAsia="Arial" w:cs="Arial" w:ascii="Arial" w:hAnsi="Arial"/>
          <w:sz w:val="22"/>
        </w:rPr>
        <w:t>induce a party to a real estate transaction to that person's injury or damage.</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0"/>
        </w:numPr>
        <w:tabs>
          <w:tab w:val="clear" w:pos="720"/>
          <w:tab w:val="left" w:pos="1500" w:leader="none"/>
        </w:tabs>
        <w:spacing w:lineRule="atLeast" w:line="0"/>
        <w:ind w:hanging="1478" w:start="1500" w:end="0"/>
        <w:rPr>
          <w:rFonts w:ascii="Arial" w:hAnsi="Arial" w:eastAsia="Arial" w:cs="Arial"/>
          <w:sz w:val="24"/>
        </w:rPr>
      </w:pPr>
      <w:r>
        <w:rPr>
          <w:rFonts w:eastAsia="Arial" w:cs="Arial" w:ascii="Arial" w:hAnsi="Arial"/>
          <w:sz w:val="22"/>
        </w:rPr>
        <w:t>d.   Acting for more than one party in a transaction without the knowledge and</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12</w:t>
      </w:r>
      <w:r>
        <w:rPr>
          <w:rFonts w:eastAsia="Times New Roman" w:cs="Times New Roman" w:ascii="Times New Roman" w:hAnsi="Times New Roman"/>
        </w:rPr>
        <w:tab/>
      </w:r>
      <w:r>
        <w:rPr>
          <w:rFonts w:eastAsia="Arial" w:cs="Arial" w:ascii="Arial" w:hAnsi="Arial"/>
          <w:sz w:val="22"/>
        </w:rPr>
        <w:t>consent of all parties to that transaction for whom the licensee acts.</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1"/>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e.   </w:t>
      </w:r>
      <w:r>
        <w:rPr>
          <w:rFonts w:eastAsia="Arial" w:cs="Arial" w:ascii="Arial" w:hAnsi="Arial"/>
          <w:strike/>
          <w:sz w:val="22"/>
        </w:rPr>
        <w:t>Failure</w:t>
      </w:r>
      <w:r>
        <w:rPr>
          <w:rFonts w:eastAsia="Arial" w:cs="Arial" w:ascii="Arial" w:hAnsi="Arial"/>
          <w:sz w:val="22"/>
          <w:u w:val="single"/>
        </w:rPr>
        <w:t>Failing</w:t>
      </w:r>
      <w:r>
        <w:rPr>
          <w:rFonts w:eastAsia="Arial" w:cs="Arial" w:ascii="Arial" w:hAnsi="Arial"/>
          <w:sz w:val="22"/>
        </w:rPr>
        <w:t xml:space="preserve"> to account for or to remit, within a reasonable time, any moneys</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9800" w:type="dxa"/>
        <w:jc w:val="start"/>
        <w:tblInd w:w="0" w:type="dxa"/>
        <w:tblLayout w:type="fixed"/>
        <w:tblCellMar>
          <w:top w:w="0" w:type="dxa"/>
          <w:start w:w="0" w:type="dxa"/>
          <w:bottom w:w="0" w:type="dxa"/>
          <w:end w:w="0" w:type="dxa"/>
        </w:tblCellMar>
      </w:tblPr>
      <w:tblGrid>
        <w:gridCol w:w="1120"/>
        <w:gridCol w:w="868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14</w:t>
            </w:r>
          </w:p>
        </w:tc>
        <w:tc>
          <w:tcPr>
            <w:tcW w:w="868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coming into the licensee's possession belonging to others; commingling funds of</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15</w:t>
            </w:r>
          </w:p>
        </w:tc>
        <w:tc>
          <w:tcPr>
            <w:tcW w:w="8680" w:type="dxa"/>
            <w:tcBorders/>
          </w:tcPr>
          <w:p>
            <w:pPr>
              <w:pStyle w:val="Normal"/>
              <w:spacing w:lineRule="atLeast" w:line="0"/>
              <w:ind w:start="860" w:end="0"/>
              <w:rPr>
                <w:rFonts w:ascii="Arial" w:hAnsi="Arial" w:eastAsia="Arial" w:cs="Arial"/>
                <w:sz w:val="22"/>
              </w:rPr>
            </w:pPr>
            <w:r>
              <w:rPr>
                <w:rFonts w:eastAsia="Arial" w:cs="Arial" w:ascii="Arial" w:hAnsi="Arial"/>
                <w:sz w:val="22"/>
              </w:rPr>
              <w:t>others with the licensee's own, failing to keep such funds of others in an escrow</w:t>
            </w:r>
          </w:p>
        </w:tc>
      </w:tr>
      <w:tr>
        <w:trPr>
          <w:trHeight w:val="426"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16</w:t>
            </w:r>
          </w:p>
        </w:tc>
        <w:tc>
          <w:tcPr>
            <w:tcW w:w="8680" w:type="dxa"/>
            <w:tcBorders/>
          </w:tcPr>
          <w:p>
            <w:pPr>
              <w:pStyle w:val="Normal"/>
              <w:spacing w:lineRule="atLeast" w:line="0"/>
              <w:ind w:start="860" w:end="0"/>
              <w:rPr>
                <w:rFonts w:ascii="Arial" w:hAnsi="Arial" w:eastAsia="Arial" w:cs="Arial"/>
                <w:sz w:val="22"/>
              </w:rPr>
            </w:pPr>
            <w:r>
              <w:rPr>
                <w:rFonts w:eastAsia="Arial" w:cs="Arial" w:ascii="Arial" w:hAnsi="Arial"/>
                <w:sz w:val="22"/>
              </w:rPr>
              <w:t>or trust account with a bank or other recognized depository in this state, or</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17</w:t>
            </w:r>
          </w:p>
        </w:tc>
        <w:tc>
          <w:tcPr>
            <w:tcW w:w="8680" w:type="dxa"/>
            <w:tcBorders/>
          </w:tcPr>
          <w:p>
            <w:pPr>
              <w:pStyle w:val="Normal"/>
              <w:spacing w:lineRule="atLeast" w:line="0"/>
              <w:ind w:start="860" w:end="0"/>
              <w:rPr>
                <w:rFonts w:ascii="Arial" w:hAnsi="Arial" w:eastAsia="Arial" w:cs="Arial"/>
                <w:sz w:val="22"/>
              </w:rPr>
            </w:pPr>
            <w:r>
              <w:rPr>
                <w:rFonts w:eastAsia="Arial" w:cs="Arial" w:ascii="Arial" w:hAnsi="Arial"/>
                <w:sz w:val="22"/>
              </w:rPr>
              <w:t>keeping records relative to the deposit, which must contain such information as</w:t>
            </w:r>
          </w:p>
        </w:tc>
      </w:tr>
      <w:tr>
        <w:trPr>
          <w:trHeight w:val="426"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18</w:t>
            </w:r>
          </w:p>
        </w:tc>
        <w:tc>
          <w:tcPr>
            <w:tcW w:w="8680" w:type="dxa"/>
            <w:tcBorders/>
          </w:tcPr>
          <w:p>
            <w:pPr>
              <w:pStyle w:val="Normal"/>
              <w:spacing w:lineRule="atLeast" w:line="0"/>
              <w:ind w:start="860" w:end="0"/>
              <w:rPr>
                <w:rFonts w:ascii="Arial" w:hAnsi="Arial" w:eastAsia="Arial" w:cs="Arial"/>
                <w:sz w:val="22"/>
              </w:rPr>
            </w:pPr>
            <w:r>
              <w:rPr>
                <w:rFonts w:eastAsia="Arial" w:cs="Arial" w:ascii="Arial" w:hAnsi="Arial"/>
                <w:sz w:val="22"/>
              </w:rPr>
              <w:t>may be prescribed by the rules and regulations of the commission relative</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19</w:t>
            </w:r>
          </w:p>
        </w:tc>
        <w:tc>
          <w:tcPr>
            <w:tcW w:w="8680" w:type="dxa"/>
            <w:tcBorders/>
          </w:tcPr>
          <w:p>
            <w:pPr>
              <w:pStyle w:val="Normal"/>
              <w:spacing w:lineRule="atLeast" w:line="0"/>
              <w:ind w:start="860" w:end="0"/>
              <w:rPr>
                <w:rFonts w:ascii="Arial" w:hAnsi="Arial" w:eastAsia="Arial" w:cs="Arial"/>
                <w:sz w:val="22"/>
              </w:rPr>
            </w:pPr>
            <w:r>
              <w:rPr>
                <w:rFonts w:eastAsia="Arial" w:cs="Arial" w:ascii="Arial" w:hAnsi="Arial"/>
                <w:sz w:val="22"/>
              </w:rPr>
              <w:t>thereto.</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1560" w:leader="none"/>
        </w:tabs>
        <w:spacing w:lineRule="atLeast" w:line="0"/>
        <w:ind w:hanging="1556" w:start="1560" w:end="0"/>
        <w:rPr>
          <w:rFonts w:ascii="Arial" w:hAnsi="Arial" w:eastAsia="Arial" w:cs="Arial"/>
          <w:sz w:val="24"/>
        </w:rPr>
      </w:pPr>
      <w:r>
        <w:rPr>
          <w:rFonts w:eastAsia="Arial" w:cs="Arial" w:ascii="Arial" w:hAnsi="Arial"/>
          <w:sz w:val="22"/>
        </w:rPr>
        <w:t xml:space="preserve">f.   </w:t>
      </w:r>
      <w:r>
        <w:rPr>
          <w:rFonts w:eastAsia="Arial" w:cs="Arial" w:ascii="Arial" w:hAnsi="Arial"/>
          <w:strike/>
          <w:sz w:val="22"/>
        </w:rPr>
        <w:t>Been</w:t>
      </w:r>
      <w:r>
        <w:rPr>
          <w:rFonts w:eastAsia="Arial" w:cs="Arial" w:ascii="Arial" w:hAnsi="Arial"/>
          <w:sz w:val="22"/>
          <w:u w:val="single"/>
        </w:rPr>
        <w:t>Being</w:t>
      </w:r>
      <w:r>
        <w:rPr>
          <w:rFonts w:eastAsia="Arial" w:cs="Arial" w:ascii="Arial" w:hAnsi="Arial"/>
          <w:sz w:val="22"/>
        </w:rPr>
        <w:t xml:space="preserve"> convicted or </w:t>
      </w:r>
      <w:r>
        <w:rPr>
          <w:rFonts w:eastAsia="Arial" w:cs="Arial" w:ascii="Arial" w:hAnsi="Arial"/>
          <w:strike/>
          <w:sz w:val="22"/>
        </w:rPr>
        <w:t>pleaded</w:t>
      </w:r>
      <w:r>
        <w:rPr>
          <w:rFonts w:eastAsia="Arial" w:cs="Arial" w:ascii="Arial" w:hAnsi="Arial"/>
          <w:sz w:val="22"/>
          <w:u w:val="single"/>
        </w:rPr>
        <w:t>pleading</w:t>
      </w:r>
      <w:r>
        <w:rPr>
          <w:rFonts w:eastAsia="Arial" w:cs="Arial" w:ascii="Arial" w:hAnsi="Arial"/>
          <w:sz w:val="22"/>
        </w:rPr>
        <w:t xml:space="preserve"> guilty or nolo contendere before any</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tbl>
      <w:tblPr>
        <w:tblW w:w="9760" w:type="dxa"/>
        <w:jc w:val="start"/>
        <w:tblInd w:w="0" w:type="dxa"/>
        <w:tblLayout w:type="fixed"/>
        <w:tblCellMar>
          <w:top w:w="0" w:type="dxa"/>
          <w:start w:w="0" w:type="dxa"/>
          <w:bottom w:w="0" w:type="dxa"/>
          <w:end w:w="0" w:type="dxa"/>
        </w:tblCellMar>
      </w:tblPr>
      <w:tblGrid>
        <w:gridCol w:w="1120"/>
        <w:gridCol w:w="864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21</w:t>
            </w:r>
          </w:p>
        </w:tc>
        <w:tc>
          <w:tcPr>
            <w:tcW w:w="864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court of any felony, or of a misdemeanor involving theft, forgery, embezzlement,</w:t>
            </w:r>
          </w:p>
        </w:tc>
      </w:tr>
      <w:tr>
        <w:trPr>
          <w:trHeight w:val="426"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22</w:t>
            </w:r>
          </w:p>
        </w:tc>
        <w:tc>
          <w:tcPr>
            <w:tcW w:w="864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obtaining money under false pretenses, bribery, larceny, extortion, conspiracy to</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23</w:t>
            </w:r>
          </w:p>
        </w:tc>
        <w:tc>
          <w:tcPr>
            <w:tcW w:w="8640" w:type="dxa"/>
            <w:tcBorders/>
          </w:tcPr>
          <w:p>
            <w:pPr>
              <w:pStyle w:val="Normal"/>
              <w:spacing w:lineRule="atLeast" w:line="0"/>
              <w:ind w:start="860" w:end="0"/>
              <w:rPr>
                <w:rFonts w:ascii="Arial" w:hAnsi="Arial" w:eastAsia="Arial" w:cs="Arial"/>
                <w:sz w:val="22"/>
              </w:rPr>
            </w:pPr>
            <w:r>
              <w:rPr>
                <w:rFonts w:eastAsia="Arial" w:cs="Arial" w:ascii="Arial" w:hAnsi="Arial"/>
                <w:sz w:val="22"/>
              </w:rPr>
              <w:t>defraud, or other similar offense. A certified copy of the record of conviction is</w:t>
            </w:r>
          </w:p>
        </w:tc>
      </w:tr>
      <w:tr>
        <w:trPr>
          <w:trHeight w:val="426"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24</w:t>
            </w:r>
          </w:p>
        </w:tc>
        <w:tc>
          <w:tcPr>
            <w:tcW w:w="8640" w:type="dxa"/>
            <w:tcBorders/>
          </w:tcPr>
          <w:p>
            <w:pPr>
              <w:pStyle w:val="Normal"/>
              <w:spacing w:lineRule="atLeast" w:line="0"/>
              <w:ind w:start="860" w:end="0"/>
              <w:rPr>
                <w:rFonts w:ascii="Arial" w:hAnsi="Arial" w:eastAsia="Arial" w:cs="Arial"/>
                <w:sz w:val="22"/>
              </w:rPr>
            </w:pPr>
            <w:r>
              <w:rPr>
                <w:rFonts w:eastAsia="Arial" w:cs="Arial" w:ascii="Arial" w:hAnsi="Arial"/>
                <w:sz w:val="22"/>
              </w:rPr>
              <w:t>conclusive evidence of conviction in such cases.</w:t>
            </w:r>
          </w:p>
        </w:tc>
      </w:tr>
    </w:tbl>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g.   Claiming or taking of any secret or undisclosed amount of compensation or</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9640" w:type="dxa"/>
        <w:jc w:val="start"/>
        <w:tblInd w:w="0" w:type="dxa"/>
        <w:tblLayout w:type="fixed"/>
        <w:tblCellMar>
          <w:top w:w="0" w:type="dxa"/>
          <w:start w:w="0" w:type="dxa"/>
          <w:bottom w:w="0" w:type="dxa"/>
          <w:end w:w="0" w:type="dxa"/>
        </w:tblCellMar>
      </w:tblPr>
      <w:tblGrid>
        <w:gridCol w:w="1120"/>
        <w:gridCol w:w="3580"/>
        <w:gridCol w:w="460"/>
        <w:gridCol w:w="320"/>
        <w:gridCol w:w="416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26</w:t>
            </w:r>
          </w:p>
        </w:tc>
        <w:tc>
          <w:tcPr>
            <w:tcW w:w="8520" w:type="dxa"/>
            <w:gridSpan w:val="4"/>
            <w:tcBorders/>
          </w:tcPr>
          <w:p>
            <w:pPr>
              <w:pStyle w:val="Normal"/>
              <w:spacing w:lineRule="atLeast" w:line="0"/>
              <w:ind w:start="860" w:end="0"/>
              <w:rPr>
                <w:rFonts w:ascii="Arial" w:hAnsi="Arial" w:eastAsia="Arial" w:cs="Arial"/>
                <w:sz w:val="22"/>
              </w:rPr>
            </w:pPr>
            <w:r>
              <w:rPr>
                <w:rFonts w:eastAsia="Arial" w:cs="Arial" w:ascii="Arial" w:hAnsi="Arial"/>
                <w:sz w:val="22"/>
              </w:rPr>
              <w:t>commission or the failure of a licensee to reveal to the licensee's principal or</w:t>
            </w:r>
          </w:p>
        </w:tc>
      </w:tr>
      <w:tr>
        <w:trPr>
          <w:trHeight w:val="362"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27</w:t>
            </w:r>
          </w:p>
        </w:tc>
        <w:tc>
          <w:tcPr>
            <w:tcW w:w="3580" w:type="dxa"/>
            <w:tcBorders/>
          </w:tcPr>
          <w:p>
            <w:pPr>
              <w:pStyle w:val="Normal"/>
              <w:spacing w:lineRule="atLeast" w:line="0"/>
              <w:ind w:start="860" w:end="0"/>
              <w:rPr>
                <w:rFonts w:ascii="Arial" w:hAnsi="Arial" w:eastAsia="Arial" w:cs="Arial"/>
                <w:sz w:val="22"/>
              </w:rPr>
            </w:pPr>
            <w:r>
              <w:rPr>
                <w:rFonts w:eastAsia="Arial" w:cs="Arial" w:ascii="Arial" w:hAnsi="Arial"/>
                <w:sz w:val="22"/>
              </w:rPr>
              <w:t>employer the full amount of</w:t>
            </w:r>
          </w:p>
        </w:tc>
        <w:tc>
          <w:tcPr>
            <w:tcW w:w="460" w:type="dxa"/>
            <w:tcBorders/>
          </w:tcPr>
          <w:p>
            <w:pPr>
              <w:pStyle w:val="Normal"/>
              <w:spacing w:lineRule="atLeast" w:line="0"/>
              <w:rPr>
                <w:rFonts w:ascii="Arial" w:hAnsi="Arial" w:eastAsia="Arial" w:cs="Arial"/>
                <w:strike/>
                <w:w w:val="94"/>
                <w:sz w:val="22"/>
              </w:rPr>
            </w:pPr>
            <w:r>
              <w:rPr>
                <w:rFonts w:eastAsia="Arial" w:cs="Arial" w:ascii="Arial" w:hAnsi="Arial"/>
                <w:strike/>
                <w:w w:val="94"/>
                <w:sz w:val="22"/>
              </w:rPr>
              <w:t>such</w:t>
            </w:r>
          </w:p>
        </w:tc>
        <w:tc>
          <w:tcPr>
            <w:tcW w:w="4480" w:type="dxa"/>
            <w:gridSpan w:val="2"/>
            <w:tcBorders/>
          </w:tcPr>
          <w:p>
            <w:pPr>
              <w:pStyle w:val="Normal"/>
              <w:spacing w:lineRule="atLeast" w:line="0"/>
              <w:ind w:start="20" w:end="0"/>
              <w:rPr/>
            </w:pPr>
            <w:r>
              <w:rPr>
                <w:rFonts w:eastAsia="Arial" w:cs="Arial" w:ascii="Arial" w:hAnsi="Arial"/>
                <w:w w:val="99"/>
                <w:sz w:val="22"/>
              </w:rPr>
              <w:t>the licensee's compensation or commission in</w:t>
            </w:r>
          </w:p>
        </w:tc>
      </w:tr>
      <w:tr>
        <w:trPr>
          <w:trHeight w:val="23" w:hRule="atLeast"/>
        </w:trPr>
        <w:tc>
          <w:tcPr>
            <w:tcW w:w="1120" w:type="dxa"/>
            <w:vMerge w:val="restart"/>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28</w:t>
            </w:r>
          </w:p>
        </w:tc>
        <w:tc>
          <w:tcPr>
            <w:tcW w:w="4040" w:type="dxa"/>
            <w:gridSpan w:val="2"/>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8" w:hRule="atLeast"/>
        </w:trPr>
        <w:tc>
          <w:tcPr>
            <w:tcW w:w="11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520" w:type="dxa"/>
            <w:gridSpan w:val="4"/>
            <w:tcBorders/>
          </w:tcPr>
          <w:p>
            <w:pPr>
              <w:pStyle w:val="Normal"/>
              <w:spacing w:lineRule="atLeast" w:line="0"/>
              <w:ind w:start="860" w:end="0"/>
              <w:rPr>
                <w:rFonts w:ascii="Arial" w:hAnsi="Arial" w:eastAsia="Arial" w:cs="Arial"/>
                <w:sz w:val="22"/>
              </w:rPr>
            </w:pPr>
            <w:r>
              <w:rPr>
                <w:rFonts w:eastAsia="Arial" w:cs="Arial" w:ascii="Arial" w:hAnsi="Arial"/>
                <w:sz w:val="22"/>
              </w:rPr>
              <w:t>connection with any acts for which a license is required under this chapter.</w:t>
            </w:r>
          </w:p>
        </w:tc>
      </w:tr>
    </w:tbl>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h.   Failing or refusing upon demand to produce any document, book, or record in the</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9720" w:type="dxa"/>
        <w:jc w:val="start"/>
        <w:tblInd w:w="0" w:type="dxa"/>
        <w:tblLayout w:type="fixed"/>
        <w:tblCellMar>
          <w:top w:w="0" w:type="dxa"/>
          <w:start w:w="0" w:type="dxa"/>
          <w:bottom w:w="0" w:type="dxa"/>
          <w:end w:w="0" w:type="dxa"/>
        </w:tblCellMar>
      </w:tblPr>
      <w:tblGrid>
        <w:gridCol w:w="1120"/>
        <w:gridCol w:w="860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30</w:t>
            </w:r>
          </w:p>
        </w:tc>
        <w:tc>
          <w:tcPr>
            <w:tcW w:w="860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licensee's possession or under that person's control, concerning any real estate</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31</w:t>
            </w:r>
          </w:p>
        </w:tc>
        <w:tc>
          <w:tcPr>
            <w:tcW w:w="8600" w:type="dxa"/>
            <w:tcBorders/>
          </w:tcPr>
          <w:p>
            <w:pPr>
              <w:pStyle w:val="Normal"/>
              <w:spacing w:lineRule="atLeast" w:line="0"/>
              <w:ind w:start="860" w:end="0"/>
              <w:rPr>
                <w:rFonts w:ascii="Arial" w:hAnsi="Arial" w:eastAsia="Arial" w:cs="Arial"/>
                <w:sz w:val="22"/>
              </w:rPr>
            </w:pPr>
            <w:r>
              <w:rPr>
                <w:rFonts w:eastAsia="Arial" w:cs="Arial" w:ascii="Arial" w:hAnsi="Arial"/>
                <w:sz w:val="22"/>
              </w:rPr>
              <w:t>transaction under investigation by the commission.</w:t>
            </w:r>
          </w:p>
        </w:tc>
      </w:tr>
    </w:tbl>
    <w:p>
      <w:pPr>
        <w:sectPr>
          <w:type w:val="nextPage"/>
          <w:pgSz w:w="12240" w:h="15840"/>
          <w:pgMar w:left="1160" w:right="118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60" w:leader="none"/>
        </w:tabs>
        <w:spacing w:lineRule="atLeast" w:line="0"/>
        <w:ind w:start="4540" w:end="0"/>
        <w:rPr/>
      </w:pPr>
      <w:r>
        <w:rPr>
          <w:rFonts w:eastAsia="Arial" w:cs="Arial" w:ascii="Arial" w:hAnsi="Arial"/>
          <w:sz w:val="22"/>
        </w:rPr>
        <w:t>Page No. 7</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0" w:right="1180" w:gutter="0" w:header="0" w:top="657" w:footer="0" w:bottom="48"/>
          <w:formProt w:val="false"/>
          <w:textDirection w:val="lrTb"/>
          <w:docGrid w:type="default" w:linePitch="360" w:charSpace="0"/>
        </w:sectPr>
      </w:pPr>
    </w:p>
    <w:p>
      <w:pPr>
        <w:pStyle w:val="Normal"/>
        <w:spacing w:lineRule="atLeast" w:line="0"/>
        <w:ind w:start="580" w:end="0"/>
        <w:rPr>
          <w:rFonts w:ascii="Arial" w:hAnsi="Arial" w:eastAsia="Arial" w:cs="Arial"/>
          <w:sz w:val="22"/>
        </w:rPr>
      </w:pPr>
      <w:bookmarkStart w:id="9" w:name="page8"/>
      <w:bookmarkEnd w:id="9"/>
      <w:r>
        <w:rPr>
          <w:rFonts w:eastAsia="Arial" w:cs="Arial" w:ascii="Arial" w:hAnsi="Arial"/>
          <w:sz w:val="22"/>
        </w:rPr>
        <w:t>Sixty-seventh</w:t>
      </w:r>
    </w:p>
    <w:p>
      <w:pPr>
        <w:pStyle w:val="Normal"/>
        <w:spacing w:lineRule="atLeast" w:line="0"/>
        <w:ind w:start="580"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5"/>
        </w:numPr>
        <w:tabs>
          <w:tab w:val="clear" w:pos="720"/>
          <w:tab w:val="left" w:pos="1580" w:leader="none"/>
        </w:tabs>
        <w:spacing w:lineRule="atLeast" w:line="0"/>
        <w:ind w:hanging="1444" w:start="1580" w:end="0"/>
        <w:rPr>
          <w:rFonts w:ascii="Arial" w:hAnsi="Arial" w:eastAsia="Arial" w:cs="Arial"/>
          <w:sz w:val="24"/>
        </w:rPr>
      </w:pPr>
      <w:r>
        <w:rPr>
          <w:rFonts w:eastAsia="Arial" w:cs="Arial" w:ascii="Arial" w:hAnsi="Arial"/>
          <w:sz w:val="22"/>
        </w:rPr>
        <w:t>i.   Offering real property for sale or lease without the knowledge and consent of the</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8820" w:type="dxa"/>
        <w:jc w:val="start"/>
        <w:tblInd w:w="140" w:type="dxa"/>
        <w:tblLayout w:type="fixed"/>
        <w:tblCellMar>
          <w:top w:w="0" w:type="dxa"/>
          <w:start w:w="0" w:type="dxa"/>
          <w:bottom w:w="0" w:type="dxa"/>
          <w:end w:w="0" w:type="dxa"/>
        </w:tblCellMar>
      </w:tblPr>
      <w:tblGrid>
        <w:gridCol w:w="980"/>
        <w:gridCol w:w="7840"/>
      </w:tblGrid>
      <w:tr>
        <w:trPr>
          <w:trHeight w:val="317" w:hRule="atLeast"/>
        </w:trPr>
        <w:tc>
          <w:tcPr>
            <w:tcW w:w="980" w:type="dxa"/>
            <w:tcBorders/>
          </w:tcPr>
          <w:p>
            <w:pPr>
              <w:pStyle w:val="Normal"/>
              <w:spacing w:lineRule="atLeast" w:line="0"/>
              <w:ind w:end="740"/>
              <w:jc w:val="end"/>
              <w:rPr>
                <w:rFonts w:ascii="Arial" w:hAnsi="Arial" w:eastAsia="Arial" w:cs="Arial"/>
                <w:w w:val="74"/>
                <w:sz w:val="24"/>
              </w:rPr>
            </w:pPr>
            <w:r>
              <w:rPr>
                <w:rFonts w:eastAsia="Arial" w:cs="Arial" w:ascii="Arial" w:hAnsi="Arial"/>
                <w:w w:val="74"/>
                <w:sz w:val="24"/>
              </w:rPr>
              <w:t>2</w:t>
            </w:r>
          </w:p>
        </w:tc>
        <w:tc>
          <w:tcPr>
            <w:tcW w:w="784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owner or the owner's authorized agent or on any terms other than those</w:t>
            </w:r>
          </w:p>
        </w:tc>
      </w:tr>
      <w:tr>
        <w:trPr>
          <w:trHeight w:val="424" w:hRule="atLeast"/>
        </w:trPr>
        <w:tc>
          <w:tcPr>
            <w:tcW w:w="980" w:type="dxa"/>
            <w:tcBorders/>
          </w:tcPr>
          <w:p>
            <w:pPr>
              <w:pStyle w:val="Normal"/>
              <w:spacing w:lineRule="atLeast" w:line="0"/>
              <w:ind w:end="740"/>
              <w:jc w:val="end"/>
              <w:rPr>
                <w:rFonts w:ascii="Arial" w:hAnsi="Arial" w:eastAsia="Arial" w:cs="Arial"/>
                <w:w w:val="74"/>
                <w:sz w:val="24"/>
              </w:rPr>
            </w:pPr>
            <w:r>
              <w:rPr>
                <w:rFonts w:eastAsia="Arial" w:cs="Arial" w:ascii="Arial" w:hAnsi="Arial"/>
                <w:w w:val="74"/>
                <w:sz w:val="24"/>
              </w:rPr>
              <w:t>3</w:t>
            </w:r>
          </w:p>
        </w:tc>
        <w:tc>
          <w:tcPr>
            <w:tcW w:w="7840" w:type="dxa"/>
            <w:tcBorders/>
          </w:tcPr>
          <w:p>
            <w:pPr>
              <w:pStyle w:val="Normal"/>
              <w:spacing w:lineRule="atLeast" w:line="0"/>
              <w:ind w:start="860" w:end="0"/>
              <w:rPr>
                <w:rFonts w:ascii="Arial" w:hAnsi="Arial" w:eastAsia="Arial" w:cs="Arial"/>
                <w:sz w:val="22"/>
              </w:rPr>
            </w:pPr>
            <w:r>
              <w:rPr>
                <w:rFonts w:eastAsia="Arial" w:cs="Arial" w:ascii="Arial" w:hAnsi="Arial"/>
                <w:sz w:val="22"/>
              </w:rPr>
              <w:t>authorized by the owner or agent.</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1580" w:leader="none"/>
        </w:tabs>
        <w:spacing w:lineRule="atLeast" w:line="0"/>
        <w:ind w:hanging="1444" w:start="1580" w:end="0"/>
        <w:rPr>
          <w:rFonts w:ascii="Arial" w:hAnsi="Arial" w:eastAsia="Arial" w:cs="Arial"/>
          <w:sz w:val="24"/>
        </w:rPr>
      </w:pPr>
      <w:r>
        <w:rPr>
          <w:rFonts w:eastAsia="Arial" w:cs="Arial" w:ascii="Arial" w:hAnsi="Arial"/>
          <w:sz w:val="22"/>
        </w:rPr>
        <w:t xml:space="preserve">j.   Refusing, because of race, color, national origin, </w:t>
      </w:r>
      <w:r>
        <w:rPr>
          <w:rFonts w:eastAsia="Arial" w:cs="Arial" w:ascii="Arial" w:hAnsi="Arial"/>
          <w:strike/>
          <w:sz w:val="22"/>
        </w:rPr>
        <w:t>or ethnic group,</w:t>
      </w:r>
      <w:r>
        <w:rPr>
          <w:rFonts w:eastAsia="Arial" w:cs="Arial" w:ascii="Arial" w:hAnsi="Arial"/>
          <w:sz w:val="22"/>
          <w:u w:val="single"/>
        </w:rPr>
        <w:t>religion, sex,</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6038850</wp:posOffset>
            </wp:positionH>
            <wp:positionV relativeFrom="paragraph">
              <wp:posOffset>-25400</wp:posOffset>
            </wp:positionV>
            <wp:extent cx="39370" cy="762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472" t="-1887" r="-472" b="-1887"/>
                    <a:stretch>
                      <a:fillRect/>
                    </a:stretch>
                  </pic:blipFill>
                  <pic:spPr bwMode="auto">
                    <a:xfrm>
                      <a:off x="0" y="0"/>
                      <a:ext cx="39370" cy="7620"/>
                    </a:xfrm>
                    <a:prstGeom prst="rect">
                      <a:avLst/>
                    </a:prstGeom>
                  </pic:spPr>
                </pic:pic>
              </a:graphicData>
            </a:graphic>
          </wp:anchor>
        </w:drawing>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tbl>
      <w:tblPr>
        <w:tblW w:w="9340" w:type="dxa"/>
        <w:jc w:val="start"/>
        <w:tblInd w:w="140" w:type="dxa"/>
        <w:tblLayout w:type="fixed"/>
        <w:tblCellMar>
          <w:top w:w="0" w:type="dxa"/>
          <w:start w:w="0" w:type="dxa"/>
          <w:bottom w:w="0" w:type="dxa"/>
          <w:end w:w="0" w:type="dxa"/>
        </w:tblCellMar>
      </w:tblPr>
      <w:tblGrid>
        <w:gridCol w:w="1840"/>
        <w:gridCol w:w="1040"/>
        <w:gridCol w:w="6460"/>
      </w:tblGrid>
      <w:tr>
        <w:trPr>
          <w:trHeight w:val="276" w:hRule="atLeast"/>
        </w:trPr>
        <w:tc>
          <w:tcPr>
            <w:tcW w:w="1840" w:type="dxa"/>
            <w:tcBorders/>
          </w:tcPr>
          <w:p>
            <w:pPr>
              <w:pStyle w:val="Normal"/>
              <w:spacing w:lineRule="atLeast" w:line="0"/>
              <w:ind w:end="1600"/>
              <w:jc w:val="end"/>
              <w:rPr>
                <w:rFonts w:ascii="Arial" w:hAnsi="Arial" w:eastAsia="Arial" w:cs="Arial"/>
                <w:w w:val="74"/>
                <w:sz w:val="24"/>
              </w:rPr>
            </w:pPr>
            <w:r>
              <w:rPr>
                <w:rFonts w:eastAsia="Arial" w:cs="Arial" w:ascii="Arial" w:hAnsi="Arial"/>
                <w:w w:val="74"/>
                <w:sz w:val="24"/>
              </w:rPr>
              <w:t>5</w:t>
            </w:r>
          </w:p>
        </w:tc>
        <w:tc>
          <w:tcPr>
            <w:tcW w:w="7500" w:type="dxa"/>
            <w:gridSpan w:val="2"/>
            <w:tcBorders>
              <w:bottom w:val="single" w:sz="8" w:space="0" w:color="000000"/>
            </w:tcBorders>
          </w:tcPr>
          <w:p>
            <w:pPr>
              <w:pStyle w:val="Normal"/>
              <w:spacing w:lineRule="atLeast" w:line="0"/>
              <w:rPr>
                <w:rFonts w:ascii="Arial" w:hAnsi="Arial" w:eastAsia="Arial" w:cs="Arial"/>
                <w:sz w:val="22"/>
              </w:rPr>
            </w:pPr>
            <w:r>
              <w:rPr>
                <w:rFonts w:eastAsia="Arial" w:cs="Arial" w:ascii="Arial" w:hAnsi="Arial"/>
                <w:sz w:val="22"/>
              </w:rPr>
              <w:t>age, physical or mental disability, or status with respect to marriage or public</w:t>
            </w:r>
          </w:p>
        </w:tc>
      </w:tr>
      <w:tr>
        <w:trPr>
          <w:trHeight w:val="406" w:hRule="atLeast"/>
        </w:trPr>
        <w:tc>
          <w:tcPr>
            <w:tcW w:w="1840" w:type="dxa"/>
            <w:tcBorders/>
          </w:tcPr>
          <w:p>
            <w:pPr>
              <w:pStyle w:val="Normal"/>
              <w:spacing w:lineRule="atLeast" w:line="0"/>
              <w:ind w:end="1600"/>
              <w:jc w:val="end"/>
              <w:rPr>
                <w:rFonts w:ascii="Arial" w:hAnsi="Arial" w:eastAsia="Arial" w:cs="Arial"/>
                <w:w w:val="74"/>
                <w:sz w:val="24"/>
              </w:rPr>
            </w:pPr>
            <w:r>
              <w:rPr>
                <w:rFonts w:eastAsia="Arial" w:cs="Arial" w:ascii="Arial" w:hAnsi="Arial"/>
                <w:w w:val="74"/>
                <w:sz w:val="24"/>
              </w:rPr>
              <w:t>6</w:t>
            </w:r>
          </w:p>
        </w:tc>
        <w:tc>
          <w:tcPr>
            <w:tcW w:w="7500" w:type="dxa"/>
            <w:gridSpan w:val="2"/>
            <w:tcBorders/>
          </w:tcPr>
          <w:p>
            <w:pPr>
              <w:pStyle w:val="Normal"/>
              <w:spacing w:lineRule="atLeast" w:line="0"/>
              <w:rPr/>
            </w:pPr>
            <w:r>
              <w:rPr>
                <w:rFonts w:eastAsia="Arial" w:cs="Arial" w:ascii="Arial" w:hAnsi="Arial"/>
                <w:sz w:val="22"/>
              </w:rPr>
              <w:t>assistance to show, sell, lease, or rent any real estate to prospective renters,</w:t>
            </w:r>
          </w:p>
        </w:tc>
      </w:tr>
      <w:tr>
        <w:trPr>
          <w:trHeight w:val="23" w:hRule="atLeast"/>
        </w:trPr>
        <w:tc>
          <w:tcPr>
            <w:tcW w:w="1840" w:type="dxa"/>
            <w:vMerge w:val="restart"/>
            <w:tcBorders/>
          </w:tcPr>
          <w:p>
            <w:pPr>
              <w:pStyle w:val="Normal"/>
              <w:spacing w:lineRule="atLeast" w:line="0"/>
              <w:ind w:end="1600"/>
              <w:jc w:val="end"/>
              <w:rPr>
                <w:rFonts w:ascii="Arial" w:hAnsi="Arial" w:eastAsia="Arial" w:cs="Arial"/>
                <w:w w:val="74"/>
                <w:sz w:val="24"/>
              </w:rPr>
            </w:pPr>
            <w:r>
              <w:rPr>
                <w:rFonts w:eastAsia="Arial" w:cs="Arial" w:ascii="Arial" w:hAnsi="Arial"/>
                <w:w w:val="74"/>
                <w:sz w:val="24"/>
              </w:rPr>
              <w:t>7</w:t>
            </w:r>
          </w:p>
        </w:tc>
        <w:tc>
          <w:tcPr>
            <w:tcW w:w="1040" w:type="dxa"/>
            <w:tcBorders/>
          </w:tcPr>
          <w:p>
            <w:pPr>
              <w:pStyle w:val="Normal"/>
              <w:snapToGrid w:val="false"/>
              <w:spacing w:lineRule="exact" w:line="20"/>
              <w:rPr>
                <w:rFonts w:ascii="Times New Roman" w:hAnsi="Times New Roman" w:eastAsia="Times New Roman" w:cs="Times New Roman"/>
                <w:w w:val="74"/>
                <w:sz w:val="1"/>
              </w:rPr>
            </w:pPr>
            <w:r>
              <w:rPr>
                <w:rFonts w:eastAsia="Times New Roman" w:cs="Times New Roman" w:ascii="Times New Roman" w:hAnsi="Times New Roman"/>
                <w:w w:val="74"/>
                <w:sz w:val="1"/>
              </w:rPr>
            </w:r>
          </w:p>
        </w:tc>
        <w:tc>
          <w:tcPr>
            <w:tcW w:w="6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6" w:hRule="atLeast"/>
        </w:trPr>
        <w:tc>
          <w:tcPr>
            <w:tcW w:w="18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00" w:type="dxa"/>
            <w:gridSpan w:val="2"/>
            <w:tcBorders/>
          </w:tcPr>
          <w:p>
            <w:pPr>
              <w:pStyle w:val="Normal"/>
              <w:spacing w:lineRule="atLeast" w:line="0"/>
              <w:rPr>
                <w:rFonts w:ascii="Arial" w:hAnsi="Arial" w:eastAsia="Arial" w:cs="Arial"/>
                <w:sz w:val="22"/>
              </w:rPr>
            </w:pPr>
            <w:r>
              <w:rPr>
                <w:rFonts w:eastAsia="Arial" w:cs="Arial" w:ascii="Arial" w:hAnsi="Arial"/>
                <w:sz w:val="22"/>
              </w:rPr>
              <w:t>lessees, or purchasers.</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1520" w:leader="none"/>
        </w:tabs>
        <w:spacing w:lineRule="atLeast" w:line="0"/>
        <w:ind w:hanging="1384" w:start="1520" w:end="0"/>
        <w:rPr>
          <w:rFonts w:ascii="Arial" w:hAnsi="Arial" w:eastAsia="Arial" w:cs="Arial"/>
          <w:sz w:val="24"/>
        </w:rPr>
      </w:pPr>
      <w:r>
        <w:rPr>
          <w:rFonts w:eastAsia="Arial" w:cs="Arial" w:ascii="Arial" w:hAnsi="Arial"/>
          <w:sz w:val="22"/>
        </w:rPr>
        <w:t>k.   Failing or refusing upon demand to furnish copies of any document pertaining to</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tbl>
      <w:tblPr>
        <w:tblW w:w="9780" w:type="dxa"/>
        <w:jc w:val="start"/>
        <w:tblInd w:w="0" w:type="dxa"/>
        <w:tblLayout w:type="fixed"/>
        <w:tblCellMar>
          <w:top w:w="0" w:type="dxa"/>
          <w:start w:w="0" w:type="dxa"/>
          <w:bottom w:w="0" w:type="dxa"/>
          <w:end w:w="0" w:type="dxa"/>
        </w:tblCellMar>
      </w:tblPr>
      <w:tblGrid>
        <w:gridCol w:w="1980"/>
        <w:gridCol w:w="700"/>
        <w:gridCol w:w="1580"/>
        <w:gridCol w:w="5520"/>
      </w:tblGrid>
      <w:tr>
        <w:trPr>
          <w:trHeight w:val="317" w:hRule="atLeast"/>
        </w:trPr>
        <w:tc>
          <w:tcPr>
            <w:tcW w:w="1980" w:type="dxa"/>
            <w:tcBorders/>
          </w:tcPr>
          <w:p>
            <w:pPr>
              <w:pStyle w:val="Normal"/>
              <w:spacing w:lineRule="atLeast" w:line="0"/>
              <w:ind w:end="1600"/>
              <w:jc w:val="end"/>
              <w:rPr>
                <w:rFonts w:ascii="Arial" w:hAnsi="Arial" w:eastAsia="Arial" w:cs="Arial"/>
                <w:sz w:val="24"/>
              </w:rPr>
            </w:pPr>
            <w:r>
              <w:rPr>
                <w:rFonts w:eastAsia="Arial" w:cs="Arial" w:ascii="Arial" w:hAnsi="Arial"/>
                <w:sz w:val="24"/>
              </w:rPr>
              <w:t>9</w:t>
            </w:r>
          </w:p>
        </w:tc>
        <w:tc>
          <w:tcPr>
            <w:tcW w:w="7800" w:type="dxa"/>
            <w:gridSpan w:val="3"/>
            <w:tcBorders/>
          </w:tcPr>
          <w:p>
            <w:pPr>
              <w:pStyle w:val="Normal"/>
              <w:spacing w:lineRule="atLeast" w:line="0"/>
              <w:rPr>
                <w:rFonts w:ascii="Arial" w:hAnsi="Arial" w:eastAsia="Arial" w:cs="Arial"/>
                <w:w w:val="99"/>
                <w:sz w:val="22"/>
              </w:rPr>
            </w:pPr>
            <w:r>
              <w:rPr>
                <w:rFonts w:eastAsia="Arial" w:cs="Arial" w:ascii="Arial" w:hAnsi="Arial"/>
                <w:w w:val="99"/>
                <w:sz w:val="22"/>
              </w:rPr>
              <w:t>any transaction dealing with real estate to any person whose signature is affixed</w:t>
            </w:r>
          </w:p>
        </w:tc>
      </w:tr>
      <w:tr>
        <w:trPr>
          <w:trHeight w:val="364"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10</w:t>
            </w:r>
          </w:p>
        </w:tc>
        <w:tc>
          <w:tcPr>
            <w:tcW w:w="700" w:type="dxa"/>
            <w:tcBorders/>
          </w:tcPr>
          <w:p>
            <w:pPr>
              <w:pStyle w:val="Normal"/>
              <w:spacing w:lineRule="atLeast" w:line="0"/>
              <w:rPr>
                <w:rFonts w:ascii="Arial" w:hAnsi="Arial" w:eastAsia="Arial" w:cs="Arial"/>
                <w:strike/>
                <w:w w:val="99"/>
                <w:sz w:val="22"/>
              </w:rPr>
            </w:pPr>
            <w:r>
              <w:rPr>
                <w:rFonts w:eastAsia="Arial" w:cs="Arial" w:ascii="Arial" w:hAnsi="Arial"/>
                <w:strike/>
                <w:w w:val="99"/>
                <w:sz w:val="22"/>
              </w:rPr>
              <w:t>thereto</w:t>
            </w:r>
          </w:p>
        </w:tc>
        <w:tc>
          <w:tcPr>
            <w:tcW w:w="7100" w:type="dxa"/>
            <w:gridSpan w:val="2"/>
            <w:tcBorders/>
          </w:tcPr>
          <w:p>
            <w:pPr>
              <w:pStyle w:val="Normal"/>
              <w:spacing w:lineRule="atLeast" w:line="0"/>
              <w:rPr/>
            </w:pPr>
            <w:r>
              <w:rPr>
                <w:rFonts w:eastAsia="Arial" w:cs="Arial" w:ascii="Arial" w:hAnsi="Arial"/>
                <w:sz w:val="22"/>
              </w:rPr>
              <w:t>to the document.</w:t>
            </w:r>
          </w:p>
        </w:tc>
      </w:tr>
      <w:tr>
        <w:trPr>
          <w:trHeight w:val="23" w:hRule="atLeast"/>
        </w:trPr>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1580" w:leader="none"/>
        </w:tabs>
        <w:spacing w:lineRule="atLeast" w:line="0"/>
        <w:ind w:hanging="1558" w:start="1580" w:end="0"/>
        <w:rPr>
          <w:rFonts w:ascii="Arial" w:hAnsi="Arial" w:eastAsia="Arial" w:cs="Arial"/>
          <w:sz w:val="24"/>
        </w:rPr>
      </w:pPr>
      <w:r>
        <w:rPr>
          <w:rFonts w:eastAsia="Arial" w:cs="Arial" w:ascii="Arial" w:hAnsi="Arial"/>
          <w:sz w:val="22"/>
        </w:rPr>
        <w:t>l.   Paying compensation or commission in connection with any real estate sale,</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tbl>
      <w:tblPr>
        <w:tblW w:w="9780" w:type="dxa"/>
        <w:jc w:val="start"/>
        <w:tblInd w:w="0" w:type="dxa"/>
        <w:tblLayout w:type="fixed"/>
        <w:tblCellMar>
          <w:top w:w="0" w:type="dxa"/>
          <w:start w:w="0" w:type="dxa"/>
          <w:bottom w:w="0" w:type="dxa"/>
          <w:end w:w="0" w:type="dxa"/>
        </w:tblCellMar>
      </w:tblPr>
      <w:tblGrid>
        <w:gridCol w:w="1120"/>
        <w:gridCol w:w="4860"/>
        <w:gridCol w:w="420"/>
        <w:gridCol w:w="360"/>
        <w:gridCol w:w="3020"/>
      </w:tblGrid>
      <w:tr>
        <w:trPr>
          <w:trHeight w:val="276"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12</w:t>
            </w:r>
          </w:p>
        </w:tc>
        <w:tc>
          <w:tcPr>
            <w:tcW w:w="4860" w:type="dxa"/>
            <w:tcBorders/>
          </w:tcPr>
          <w:p>
            <w:pPr>
              <w:pStyle w:val="Normal"/>
              <w:spacing w:lineRule="atLeast" w:line="0"/>
              <w:ind w:start="860" w:end="0"/>
              <w:rPr>
                <w:rFonts w:ascii="Arial" w:hAnsi="Arial" w:eastAsia="Arial" w:cs="Arial"/>
                <w:sz w:val="22"/>
              </w:rPr>
            </w:pPr>
            <w:r>
              <w:rPr>
                <w:rFonts w:eastAsia="Arial" w:cs="Arial" w:ascii="Arial" w:hAnsi="Arial"/>
                <w:sz w:val="22"/>
              </w:rPr>
              <w:t>lease, or other transaction to any person</w:t>
            </w:r>
          </w:p>
        </w:tc>
        <w:tc>
          <w:tcPr>
            <w:tcW w:w="420" w:type="dxa"/>
            <w:tcBorders/>
          </w:tcPr>
          <w:p>
            <w:pPr>
              <w:pStyle w:val="Normal"/>
              <w:spacing w:lineRule="atLeast" w:line="0"/>
              <w:rPr>
                <w:rFonts w:ascii="Arial" w:hAnsi="Arial" w:eastAsia="Arial" w:cs="Arial"/>
                <w:strike/>
                <w:w w:val="99"/>
                <w:sz w:val="22"/>
              </w:rPr>
            </w:pPr>
            <w:r>
              <w:rPr>
                <w:rFonts w:eastAsia="Arial" w:cs="Arial" w:ascii="Arial" w:hAnsi="Arial"/>
                <w:strike/>
                <w:w w:val="99"/>
                <w:sz w:val="22"/>
              </w:rPr>
              <w:t>who</w:t>
            </w:r>
          </w:p>
        </w:tc>
        <w:tc>
          <w:tcPr>
            <w:tcW w:w="3380" w:type="dxa"/>
            <w:gridSpan w:val="2"/>
            <w:tcBorders/>
          </w:tcPr>
          <w:p>
            <w:pPr>
              <w:pStyle w:val="Normal"/>
              <w:spacing w:lineRule="atLeast" w:line="0"/>
              <w:rPr/>
            </w:pPr>
            <w:r>
              <w:rPr>
                <w:rFonts w:eastAsia="Arial" w:cs="Arial" w:ascii="Arial" w:hAnsi="Arial"/>
                <w:w w:val="99"/>
                <w:sz w:val="22"/>
              </w:rPr>
              <w:t>that is not licensed as a real estate</w:t>
            </w:r>
          </w:p>
        </w:tc>
      </w:tr>
      <w:tr>
        <w:trPr>
          <w:trHeight w:val="23" w:hRule="atLeast"/>
        </w:trPr>
        <w:tc>
          <w:tcPr>
            <w:tcW w:w="1120" w:type="dxa"/>
            <w:vMerge w:val="restart"/>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13</w:t>
            </w:r>
          </w:p>
        </w:tc>
        <w:tc>
          <w:tcPr>
            <w:tcW w:w="5280" w:type="dxa"/>
            <w:gridSpan w:val="2"/>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6" w:hRule="atLeast"/>
        </w:trPr>
        <w:tc>
          <w:tcPr>
            <w:tcW w:w="11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60" w:type="dxa"/>
            <w:gridSpan w:val="4"/>
            <w:tcBorders/>
          </w:tcPr>
          <w:p>
            <w:pPr>
              <w:pStyle w:val="Normal"/>
              <w:spacing w:lineRule="atLeast" w:line="0"/>
              <w:ind w:start="860" w:end="0"/>
              <w:rPr>
                <w:rFonts w:ascii="Arial" w:hAnsi="Arial" w:eastAsia="Arial" w:cs="Arial"/>
                <w:sz w:val="22"/>
              </w:rPr>
            </w:pPr>
            <w:r>
              <w:rPr>
                <w:rFonts w:eastAsia="Arial" w:cs="Arial" w:ascii="Arial" w:hAnsi="Arial"/>
                <w:sz w:val="22"/>
              </w:rPr>
              <w:t>broker or real estate salesperson under this chapter.</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1440" w:leader="none"/>
        </w:tabs>
        <w:spacing w:lineRule="atLeast" w:line="0"/>
        <w:ind w:hanging="1436" w:start="1440" w:end="0"/>
        <w:rPr>
          <w:rFonts w:ascii="Arial" w:hAnsi="Arial" w:eastAsia="Arial" w:cs="Arial"/>
          <w:sz w:val="24"/>
        </w:rPr>
      </w:pPr>
      <w:r>
        <w:rPr>
          <w:rFonts w:eastAsia="Arial" w:cs="Arial" w:ascii="Arial" w:hAnsi="Arial"/>
          <w:sz w:val="22"/>
        </w:rPr>
        <w:t>m.   Failing to disclose to an owner the licensee's intention or true position if the</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tbl>
      <w:tblPr>
        <w:tblW w:w="9720" w:type="dxa"/>
        <w:jc w:val="start"/>
        <w:tblInd w:w="0" w:type="dxa"/>
        <w:tblLayout w:type="fixed"/>
        <w:tblCellMar>
          <w:top w:w="0" w:type="dxa"/>
          <w:start w:w="0" w:type="dxa"/>
          <w:bottom w:w="0" w:type="dxa"/>
          <w:end w:w="0" w:type="dxa"/>
        </w:tblCellMar>
      </w:tblPr>
      <w:tblGrid>
        <w:gridCol w:w="1980"/>
        <w:gridCol w:w="580"/>
        <w:gridCol w:w="360"/>
        <w:gridCol w:w="6800"/>
      </w:tblGrid>
      <w:tr>
        <w:trPr>
          <w:trHeight w:val="317"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15</w:t>
            </w:r>
          </w:p>
        </w:tc>
        <w:tc>
          <w:tcPr>
            <w:tcW w:w="7740" w:type="dxa"/>
            <w:gridSpan w:val="3"/>
            <w:tcBorders/>
          </w:tcPr>
          <w:p>
            <w:pPr>
              <w:pStyle w:val="Normal"/>
              <w:spacing w:lineRule="atLeast" w:line="0"/>
              <w:rPr>
                <w:rFonts w:ascii="Arial" w:hAnsi="Arial" w:eastAsia="Arial" w:cs="Arial"/>
                <w:sz w:val="22"/>
              </w:rPr>
            </w:pPr>
            <w:r>
              <w:rPr>
                <w:rFonts w:eastAsia="Arial" w:cs="Arial" w:ascii="Arial" w:hAnsi="Arial"/>
                <w:sz w:val="22"/>
              </w:rPr>
              <w:t>licensee directly or indirectly through a third party purchases for the licensee or</w:t>
            </w:r>
          </w:p>
        </w:tc>
      </w:tr>
      <w:tr>
        <w:trPr>
          <w:trHeight w:val="426"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16</w:t>
            </w:r>
          </w:p>
        </w:tc>
        <w:tc>
          <w:tcPr>
            <w:tcW w:w="7740" w:type="dxa"/>
            <w:gridSpan w:val="3"/>
            <w:tcBorders/>
          </w:tcPr>
          <w:p>
            <w:pPr>
              <w:pStyle w:val="Normal"/>
              <w:spacing w:lineRule="atLeast" w:line="0"/>
              <w:rPr>
                <w:rFonts w:ascii="Arial" w:hAnsi="Arial" w:eastAsia="Arial" w:cs="Arial"/>
                <w:w w:val="99"/>
                <w:sz w:val="22"/>
              </w:rPr>
            </w:pPr>
            <w:r>
              <w:rPr>
                <w:rFonts w:eastAsia="Arial" w:cs="Arial" w:ascii="Arial" w:hAnsi="Arial"/>
                <w:w w:val="99"/>
                <w:sz w:val="22"/>
              </w:rPr>
              <w:t>acquires or intends to acquire any interest in or any option to purchase property</w:t>
            </w:r>
          </w:p>
        </w:tc>
      </w:tr>
      <w:tr>
        <w:trPr>
          <w:trHeight w:val="362"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17</w:t>
            </w:r>
          </w:p>
        </w:tc>
        <w:tc>
          <w:tcPr>
            <w:tcW w:w="580" w:type="dxa"/>
            <w:tcBorders/>
          </w:tcPr>
          <w:p>
            <w:pPr>
              <w:pStyle w:val="Normal"/>
              <w:spacing w:lineRule="atLeast" w:line="0"/>
              <w:rPr>
                <w:rFonts w:ascii="Arial" w:hAnsi="Arial" w:eastAsia="Arial" w:cs="Arial"/>
                <w:strike/>
                <w:w w:val="99"/>
                <w:sz w:val="22"/>
              </w:rPr>
            </w:pPr>
            <w:r>
              <w:rPr>
                <w:rFonts w:eastAsia="Arial" w:cs="Arial" w:ascii="Arial" w:hAnsi="Arial"/>
                <w:strike/>
                <w:w w:val="99"/>
                <w:sz w:val="22"/>
              </w:rPr>
              <w:t>which</w:t>
            </w:r>
          </w:p>
        </w:tc>
        <w:tc>
          <w:tcPr>
            <w:tcW w:w="7160" w:type="dxa"/>
            <w:gridSpan w:val="2"/>
            <w:tcBorders/>
          </w:tcPr>
          <w:p>
            <w:pPr>
              <w:pStyle w:val="Normal"/>
              <w:spacing w:lineRule="atLeast" w:line="0"/>
              <w:rPr/>
            </w:pPr>
            <w:r>
              <w:rPr>
                <w:rFonts w:eastAsia="Arial" w:cs="Arial" w:ascii="Arial" w:hAnsi="Arial"/>
                <w:sz w:val="22"/>
              </w:rPr>
              <w:t>that has been listed with the licensee's office for sale or lease.</w:t>
            </w:r>
          </w:p>
        </w:tc>
      </w:tr>
      <w:tr>
        <w:trPr>
          <w:trHeight w:val="23" w:hRule="atLeast"/>
        </w:trPr>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0"/>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n.   </w:t>
      </w:r>
      <w:r>
        <w:rPr>
          <w:rFonts w:eastAsia="Arial" w:cs="Arial" w:ascii="Arial" w:hAnsi="Arial"/>
          <w:strike/>
          <w:sz w:val="22"/>
        </w:rPr>
        <w:t>Failure</w:t>
      </w:r>
      <w:r>
        <w:rPr>
          <w:rFonts w:eastAsia="Arial" w:cs="Arial" w:ascii="Arial" w:hAnsi="Arial"/>
          <w:sz w:val="22"/>
          <w:u w:val="single"/>
        </w:rPr>
        <w:t>Failing</w:t>
      </w:r>
      <w:r>
        <w:rPr>
          <w:rFonts w:eastAsia="Arial" w:cs="Arial" w:ascii="Arial" w:hAnsi="Arial"/>
          <w:sz w:val="22"/>
        </w:rPr>
        <w:t xml:space="preserve"> to include a fixed date of expiration in any written listing agreement</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19</w:t>
      </w:r>
      <w:r>
        <w:rPr>
          <w:rFonts w:eastAsia="Times New Roman" w:cs="Times New Roman" w:ascii="Times New Roman" w:hAnsi="Times New Roman"/>
        </w:rPr>
        <w:tab/>
      </w:r>
      <w:r>
        <w:rPr>
          <w:rFonts w:eastAsia="Arial" w:cs="Arial" w:ascii="Arial" w:hAnsi="Arial"/>
          <w:sz w:val="22"/>
        </w:rPr>
        <w:t xml:space="preserve">and </w:t>
      </w:r>
      <w:r>
        <w:rPr>
          <w:rFonts w:eastAsia="Arial" w:cs="Arial" w:ascii="Arial" w:hAnsi="Arial"/>
          <w:strike/>
          <w:sz w:val="22"/>
        </w:rPr>
        <w:t>failure</w:t>
      </w:r>
      <w:r>
        <w:rPr>
          <w:rFonts w:eastAsia="Arial" w:cs="Arial" w:ascii="Arial" w:hAnsi="Arial"/>
          <w:sz w:val="22"/>
          <w:u w:val="single"/>
        </w:rPr>
        <w:t>failing</w:t>
      </w:r>
      <w:r>
        <w:rPr>
          <w:rFonts w:eastAsia="Arial" w:cs="Arial" w:ascii="Arial" w:hAnsi="Arial"/>
          <w:sz w:val="22"/>
        </w:rPr>
        <w:t xml:space="preserve"> to leave a copy of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agreement with the principal.</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1"/>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o.   </w:t>
      </w:r>
      <w:r>
        <w:rPr>
          <w:rFonts w:eastAsia="Arial" w:cs="Arial" w:ascii="Arial" w:hAnsi="Arial"/>
          <w:strike/>
          <w:sz w:val="22"/>
        </w:rPr>
        <w:t>Failure by a</w:t>
      </w:r>
      <w:r>
        <w:rPr>
          <w:rFonts w:eastAsia="Arial" w:cs="Arial" w:ascii="Arial" w:hAnsi="Arial"/>
          <w:sz w:val="22"/>
          <w:u w:val="single"/>
        </w:rPr>
        <w:t>A</w:t>
      </w:r>
      <w:r>
        <w:rPr>
          <w:rFonts w:eastAsia="Arial" w:cs="Arial" w:ascii="Arial" w:hAnsi="Arial"/>
          <w:sz w:val="22"/>
        </w:rPr>
        <w:t xml:space="preserve"> broker </w:t>
      </w:r>
      <w:r>
        <w:rPr>
          <w:rFonts w:eastAsia="Arial" w:cs="Arial" w:ascii="Arial" w:hAnsi="Arial"/>
          <w:sz w:val="22"/>
          <w:u w:val="single"/>
        </w:rPr>
        <w:t>failing</w:t>
      </w:r>
      <w:r>
        <w:rPr>
          <w:rFonts w:eastAsia="Arial" w:cs="Arial" w:ascii="Arial" w:hAnsi="Arial"/>
          <w:sz w:val="22"/>
        </w:rPr>
        <w:t xml:space="preserve"> to deliver to the party or parties represented by the</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tbl>
      <w:tblPr>
        <w:tblW w:w="9820" w:type="dxa"/>
        <w:jc w:val="start"/>
        <w:tblInd w:w="0" w:type="dxa"/>
        <w:tblLayout w:type="fixed"/>
        <w:tblCellMar>
          <w:top w:w="0" w:type="dxa"/>
          <w:start w:w="0" w:type="dxa"/>
          <w:bottom w:w="0" w:type="dxa"/>
          <w:end w:w="0" w:type="dxa"/>
        </w:tblCellMar>
      </w:tblPr>
      <w:tblGrid>
        <w:gridCol w:w="1120"/>
        <w:gridCol w:w="1720"/>
        <w:gridCol w:w="400"/>
        <w:gridCol w:w="300"/>
        <w:gridCol w:w="1080"/>
        <w:gridCol w:w="460"/>
        <w:gridCol w:w="300"/>
        <w:gridCol w:w="380"/>
        <w:gridCol w:w="460"/>
        <w:gridCol w:w="300"/>
        <w:gridCol w:w="330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21</w:t>
            </w:r>
          </w:p>
        </w:tc>
        <w:tc>
          <w:tcPr>
            <w:tcW w:w="8700" w:type="dxa"/>
            <w:gridSpan w:val="10"/>
            <w:tcBorders/>
          </w:tcPr>
          <w:p>
            <w:pPr>
              <w:pStyle w:val="Normal"/>
              <w:spacing w:lineRule="atLeast" w:line="0"/>
              <w:ind w:start="860" w:end="0"/>
              <w:rPr>
                <w:rFonts w:ascii="Arial" w:hAnsi="Arial" w:eastAsia="Arial" w:cs="Arial"/>
                <w:sz w:val="22"/>
              </w:rPr>
            </w:pPr>
            <w:r>
              <w:rPr>
                <w:rFonts w:eastAsia="Arial" w:cs="Arial" w:ascii="Arial" w:hAnsi="Arial"/>
                <w:sz w:val="22"/>
              </w:rPr>
              <w:t>broker a complete detailed closing statement in every real estate transaction, at</w:t>
            </w:r>
          </w:p>
        </w:tc>
      </w:tr>
      <w:tr>
        <w:trPr>
          <w:trHeight w:val="36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22</w:t>
            </w:r>
          </w:p>
        </w:tc>
        <w:tc>
          <w:tcPr>
            <w:tcW w:w="1720" w:type="dxa"/>
            <w:tcBorders/>
          </w:tcPr>
          <w:p>
            <w:pPr>
              <w:pStyle w:val="Normal"/>
              <w:spacing w:lineRule="atLeast" w:line="0"/>
              <w:ind w:start="860" w:end="0"/>
              <w:rPr>
                <w:rFonts w:ascii="Arial" w:hAnsi="Arial" w:eastAsia="Arial" w:cs="Arial"/>
                <w:sz w:val="22"/>
              </w:rPr>
            </w:pPr>
            <w:r>
              <w:rPr>
                <w:rFonts w:eastAsia="Arial" w:cs="Arial" w:ascii="Arial" w:hAnsi="Arial"/>
                <w:sz w:val="22"/>
              </w:rPr>
              <w:t>the time</w:t>
            </w:r>
          </w:p>
        </w:tc>
        <w:tc>
          <w:tcPr>
            <w:tcW w:w="400" w:type="dxa"/>
            <w:tcBorders/>
          </w:tcPr>
          <w:p>
            <w:pPr>
              <w:pStyle w:val="Normal"/>
              <w:spacing w:lineRule="atLeast" w:line="0"/>
              <w:rPr>
                <w:rFonts w:ascii="Arial" w:hAnsi="Arial" w:eastAsia="Arial" w:cs="Arial"/>
                <w:strike/>
                <w:w w:val="94"/>
                <w:sz w:val="22"/>
              </w:rPr>
            </w:pPr>
            <w:r>
              <w:rPr>
                <w:rFonts w:eastAsia="Arial" w:cs="Arial" w:ascii="Arial" w:hAnsi="Arial"/>
                <w:strike/>
                <w:w w:val="94"/>
                <w:sz w:val="22"/>
              </w:rPr>
              <w:t>said</w:t>
            </w:r>
          </w:p>
        </w:tc>
        <w:tc>
          <w:tcPr>
            <w:tcW w:w="6580" w:type="dxa"/>
            <w:gridSpan w:val="8"/>
            <w:tcBorders/>
          </w:tcPr>
          <w:p>
            <w:pPr>
              <w:pStyle w:val="Normal"/>
              <w:spacing w:lineRule="atLeast" w:line="0"/>
              <w:rPr/>
            </w:pPr>
            <w:r>
              <w:rPr>
                <w:rFonts w:eastAsia="Arial" w:cs="Arial" w:ascii="Arial" w:hAnsi="Arial"/>
                <w:sz w:val="22"/>
              </w:rPr>
              <w:t>the transaction is consummated, showing all of the receipts and</w:t>
            </w:r>
          </w:p>
        </w:tc>
      </w:tr>
      <w:tr>
        <w:trPr>
          <w:trHeight w:val="23" w:hRule="atLeast"/>
        </w:trPr>
        <w:tc>
          <w:tcPr>
            <w:tcW w:w="1120" w:type="dxa"/>
            <w:vMerge w:val="restart"/>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23</w:t>
            </w:r>
          </w:p>
        </w:tc>
        <w:tc>
          <w:tcPr>
            <w:tcW w:w="2120" w:type="dxa"/>
            <w:gridSpan w:val="2"/>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04" w:hRule="atLeast"/>
        </w:trPr>
        <w:tc>
          <w:tcPr>
            <w:tcW w:w="11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00" w:type="dxa"/>
            <w:gridSpan w:val="4"/>
            <w:tcBorders/>
          </w:tcPr>
          <w:p>
            <w:pPr>
              <w:pStyle w:val="Normal"/>
              <w:spacing w:lineRule="atLeast" w:line="0"/>
              <w:ind w:start="860" w:end="0"/>
              <w:rPr>
                <w:rFonts w:ascii="Arial" w:hAnsi="Arial" w:eastAsia="Arial" w:cs="Arial"/>
                <w:sz w:val="22"/>
              </w:rPr>
            </w:pPr>
            <w:r>
              <w:rPr>
                <w:rFonts w:eastAsia="Arial" w:cs="Arial" w:ascii="Arial" w:hAnsi="Arial"/>
                <w:sz w:val="22"/>
              </w:rPr>
              <w:t>disbursements handled by</w:t>
            </w:r>
          </w:p>
        </w:tc>
        <w:tc>
          <w:tcPr>
            <w:tcW w:w="460" w:type="dxa"/>
            <w:tcBorders/>
          </w:tcPr>
          <w:p>
            <w:pPr>
              <w:pStyle w:val="Normal"/>
              <w:spacing w:lineRule="atLeast" w:line="0"/>
              <w:rPr>
                <w:rFonts w:ascii="Arial" w:hAnsi="Arial" w:eastAsia="Arial" w:cs="Arial"/>
                <w:strike/>
                <w:w w:val="94"/>
                <w:sz w:val="22"/>
              </w:rPr>
            </w:pPr>
            <w:r>
              <w:rPr>
                <w:rFonts w:eastAsia="Arial" w:cs="Arial" w:ascii="Arial" w:hAnsi="Arial"/>
                <w:strike/>
                <w:w w:val="94"/>
                <w:sz w:val="22"/>
              </w:rPr>
              <w:t>such</w:t>
            </w:r>
          </w:p>
        </w:tc>
        <w:tc>
          <w:tcPr>
            <w:tcW w:w="4740" w:type="dxa"/>
            <w:gridSpan w:val="5"/>
            <w:tcBorders/>
          </w:tcPr>
          <w:p>
            <w:pPr>
              <w:pStyle w:val="Normal"/>
              <w:spacing w:lineRule="atLeast" w:line="0"/>
              <w:rPr/>
            </w:pPr>
            <w:r>
              <w:rPr>
                <w:rFonts w:eastAsia="Arial" w:cs="Arial" w:ascii="Arial" w:hAnsi="Arial"/>
                <w:w w:val="99"/>
                <w:sz w:val="22"/>
              </w:rPr>
              <w:t>the broker for the party or parties represented by</w:t>
            </w:r>
          </w:p>
        </w:tc>
      </w:tr>
      <w:tr>
        <w:trPr>
          <w:trHeight w:val="23" w:hRule="atLeast"/>
        </w:trPr>
        <w:tc>
          <w:tcPr>
            <w:tcW w:w="1120" w:type="dxa"/>
            <w:vMerge w:val="restart"/>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24</w:t>
            </w:r>
          </w:p>
        </w:tc>
        <w:tc>
          <w:tcPr>
            <w:tcW w:w="3960" w:type="dxa"/>
            <w:gridSpan w:val="5"/>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06" w:hRule="atLeast"/>
        </w:trPr>
        <w:tc>
          <w:tcPr>
            <w:tcW w:w="11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40" w:type="dxa"/>
            <w:gridSpan w:val="7"/>
            <w:tcBorders/>
          </w:tcPr>
          <w:p>
            <w:pPr>
              <w:pStyle w:val="Normal"/>
              <w:spacing w:lineRule="atLeast" w:line="0"/>
              <w:ind w:start="860" w:end="0"/>
              <w:rPr>
                <w:rFonts w:ascii="Arial" w:hAnsi="Arial" w:eastAsia="Arial" w:cs="Arial"/>
                <w:sz w:val="22"/>
              </w:rPr>
            </w:pPr>
            <w:r>
              <w:rPr>
                <w:rFonts w:eastAsia="Arial" w:cs="Arial" w:ascii="Arial" w:hAnsi="Arial"/>
                <w:sz w:val="22"/>
              </w:rPr>
              <w:t>the broker, and to retain true copies of</w:t>
            </w:r>
          </w:p>
        </w:tc>
        <w:tc>
          <w:tcPr>
            <w:tcW w:w="460" w:type="dxa"/>
            <w:tcBorders/>
          </w:tcPr>
          <w:p>
            <w:pPr>
              <w:pStyle w:val="Normal"/>
              <w:spacing w:lineRule="atLeast" w:line="0"/>
              <w:rPr>
                <w:rFonts w:ascii="Arial" w:hAnsi="Arial" w:eastAsia="Arial" w:cs="Arial"/>
                <w:strike/>
                <w:w w:val="94"/>
                <w:sz w:val="22"/>
              </w:rPr>
            </w:pPr>
            <w:r>
              <w:rPr>
                <w:rFonts w:eastAsia="Arial" w:cs="Arial" w:ascii="Arial" w:hAnsi="Arial"/>
                <w:strike/>
                <w:w w:val="94"/>
                <w:sz w:val="22"/>
              </w:rPr>
              <w:t>such</w:t>
            </w:r>
          </w:p>
        </w:tc>
        <w:tc>
          <w:tcPr>
            <w:tcW w:w="3600" w:type="dxa"/>
            <w:gridSpan w:val="2"/>
            <w:tcBorders/>
          </w:tcPr>
          <w:p>
            <w:pPr>
              <w:pStyle w:val="Normal"/>
              <w:spacing w:lineRule="atLeast" w:line="0"/>
              <w:rPr/>
            </w:pPr>
            <w:r>
              <w:rPr>
                <w:rFonts w:eastAsia="Arial" w:cs="Arial" w:ascii="Arial" w:hAnsi="Arial"/>
                <w:sz w:val="22"/>
              </w:rPr>
              <w:t>the statements in the broker's files.</w:t>
            </w:r>
          </w:p>
        </w:tc>
      </w:tr>
      <w:tr>
        <w:trPr>
          <w:trHeight w:val="23" w:hRule="atLeast"/>
        </w:trPr>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2"/>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p.   Violating any provisions of this chapter or rule or regulation </w:t>
      </w:r>
      <w:r>
        <w:rPr>
          <w:rFonts w:eastAsia="Arial" w:cs="Arial" w:ascii="Arial" w:hAnsi="Arial"/>
          <w:strike/>
          <w:sz w:val="22"/>
        </w:rPr>
        <w:t>promulgated</w:t>
      </w:r>
      <w:r>
        <w:rPr>
          <w:rFonts w:eastAsia="Arial" w:cs="Arial" w:ascii="Arial" w:hAnsi="Arial"/>
          <w:sz w:val="22"/>
          <w:u w:val="single"/>
        </w:rPr>
        <w:t>adopted</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26</w:t>
      </w:r>
      <w:r>
        <w:rPr>
          <w:rFonts w:eastAsia="Times New Roman" w:cs="Times New Roman" w:ascii="Times New Roman" w:hAnsi="Times New Roman"/>
        </w:rPr>
        <w:tab/>
      </w:r>
      <w:r>
        <w:rPr>
          <w:rFonts w:eastAsia="Arial" w:cs="Arial" w:ascii="Arial" w:hAnsi="Arial"/>
          <w:sz w:val="22"/>
        </w:rPr>
        <w:t>by the commission.</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3"/>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q.   </w:t>
      </w:r>
      <w:r>
        <w:rPr>
          <w:rFonts w:eastAsia="Arial" w:cs="Arial" w:ascii="Arial" w:hAnsi="Arial"/>
          <w:strike/>
          <w:sz w:val="22"/>
        </w:rPr>
        <w:t>Violation of any provision of such realtor's code of ethics as the commission has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6195060</wp:posOffset>
            </wp:positionH>
            <wp:positionV relativeFrom="paragraph">
              <wp:posOffset>-77470</wp:posOffset>
            </wp:positionV>
            <wp:extent cx="39370" cy="762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472" t="-1887" r="-472" b="-1887"/>
                    <a:stretch>
                      <a:fillRect/>
                    </a:stretch>
                  </pic:blipFill>
                  <pic:spPr bwMode="auto">
                    <a:xfrm>
                      <a:off x="0" y="0"/>
                      <a:ext cx="39370" cy="7620"/>
                    </a:xfrm>
                    <a:prstGeom prst="rect">
                      <a:avLst/>
                    </a:prstGeom>
                  </pic:spPr>
                </pic:pic>
              </a:graphicData>
            </a:graphic>
          </wp:anchor>
        </w:drawing>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60" w:leader="none"/>
        </w:tabs>
        <w:spacing w:lineRule="atLeast" w:line="0"/>
        <w:rPr/>
      </w:pPr>
      <w:r>
        <w:rPr>
          <w:rFonts w:eastAsia="Arial" w:cs="Arial" w:ascii="Arial" w:hAnsi="Arial"/>
          <w:sz w:val="24"/>
        </w:rPr>
        <w:t>28</w:t>
      </w:r>
      <w:r>
        <w:rPr>
          <w:rFonts w:eastAsia="Times New Roman" w:cs="Times New Roman" w:ascii="Times New Roman" w:hAnsi="Times New Roman"/>
        </w:rPr>
        <w:tab/>
      </w:r>
      <w:r>
        <w:rPr>
          <w:rFonts w:eastAsia="Arial" w:cs="Arial" w:ascii="Arial" w:hAnsi="Arial"/>
          <w:strike/>
          <w:sz w:val="22"/>
        </w:rPr>
        <w:t>or may promulgate and adopt.</w:t>
      </w:r>
    </w:p>
    <w:p>
      <w:pPr>
        <w:pStyle w:val="Normal"/>
        <w:spacing w:lineRule="exact" w:line="168"/>
        <w:rPr>
          <w:rFonts w:ascii="Times New Roman" w:hAnsi="Times New Roman" w:eastAsia="Times New Roman" w:cs="Times New Roman"/>
          <w:strike/>
          <w:sz w:val="22"/>
        </w:rPr>
      </w:pPr>
      <w:r>
        <w:rPr>
          <w:rFonts w:eastAsia="Times New Roman" w:cs="Times New Roman" w:ascii="Times New Roman" w:hAnsi="Times New Roman"/>
          <w:strike/>
          <w:sz w:val="22"/>
        </w:rPr>
      </w:r>
    </w:p>
    <w:p>
      <w:pPr>
        <w:pStyle w:val="Normal"/>
        <w:numPr>
          <w:ilvl w:val="0"/>
          <w:numId w:val="44"/>
        </w:numPr>
        <w:tabs>
          <w:tab w:val="clear" w:pos="720"/>
          <w:tab w:val="left" w:pos="1560" w:leader="none"/>
        </w:tabs>
        <w:spacing w:lineRule="atLeast" w:line="0"/>
        <w:ind w:hanging="1556" w:start="1560" w:end="0"/>
        <w:rPr>
          <w:rFonts w:ascii="Arial" w:hAnsi="Arial" w:eastAsia="Arial" w:cs="Arial"/>
          <w:sz w:val="24"/>
        </w:rPr>
      </w:pPr>
      <w:r>
        <w:rPr>
          <w:rFonts w:eastAsia="Arial" w:cs="Arial" w:ascii="Arial" w:hAnsi="Arial"/>
          <w:strike/>
          <w:sz w:val="22"/>
        </w:rPr>
        <w:t>r.</w:t>
      </w:r>
      <w:r>
        <w:rPr>
          <w:rFonts w:eastAsia="Arial" w:cs="Arial" w:ascii="Arial" w:hAnsi="Arial"/>
          <w:sz w:val="22"/>
        </w:rPr>
        <w:t xml:space="preserve">   Accepting a commission or valuable consideration as a real estate salesperson</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30</w:t>
      </w:r>
      <w:r>
        <w:rPr>
          <w:rFonts w:eastAsia="Times New Roman" w:cs="Times New Roman" w:ascii="Times New Roman" w:hAnsi="Times New Roman"/>
        </w:rPr>
        <w:tab/>
      </w:r>
      <w:r>
        <w:rPr>
          <w:rFonts w:eastAsia="Arial" w:cs="Arial" w:ascii="Arial" w:hAnsi="Arial"/>
          <w:sz w:val="22"/>
        </w:rPr>
        <w:t>for the performance of any of the acts specified in this chapter, or by rule or</w:t>
      </w:r>
    </w:p>
    <w:p>
      <w:pPr>
        <w:sectPr>
          <w:type w:val="nextPage"/>
          <w:pgSz w:w="12240" w:h="15840"/>
          <w:pgMar w:left="1160" w:right="122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60" w:leader="none"/>
        </w:tabs>
        <w:spacing w:lineRule="atLeast" w:line="0"/>
        <w:ind w:start="4540" w:end="0"/>
        <w:rPr/>
      </w:pPr>
      <w:r>
        <w:rPr>
          <w:rFonts w:eastAsia="Arial" w:cs="Arial" w:ascii="Arial" w:hAnsi="Arial"/>
          <w:sz w:val="21"/>
        </w:rPr>
        <w:t>Page No. 8</w:t>
        <w:tab/>
      </w:r>
      <w:r>
        <w:rPr/>
        <w:t>21.0591.03001</w:t>
      </w:r>
    </w:p>
    <w:p>
      <w:pPr>
        <w:sectPr>
          <w:type w:val="continuous"/>
          <w:pgSz w:w="12240" w:h="15840"/>
          <w:pgMar w:left="1160" w:right="1220" w:gutter="0" w:header="0" w:top="657" w:footer="0" w:bottom="48"/>
          <w:formProt w:val="false"/>
          <w:textDirection w:val="lrTb"/>
          <w:docGrid w:type="default" w:linePitch="360" w:charSpace="0"/>
        </w:sectPr>
      </w:pPr>
    </w:p>
    <w:tbl>
      <w:tblPr>
        <w:tblW w:w="9400" w:type="dxa"/>
        <w:jc w:val="start"/>
        <w:tblInd w:w="140" w:type="dxa"/>
        <w:tblLayout w:type="fixed"/>
        <w:tblCellMar>
          <w:top w:w="0" w:type="dxa"/>
          <w:start w:w="0" w:type="dxa"/>
          <w:bottom w:w="0" w:type="dxa"/>
          <w:end w:w="0" w:type="dxa"/>
        </w:tblCellMar>
      </w:tblPr>
      <w:tblGrid>
        <w:gridCol w:w="280"/>
        <w:gridCol w:w="9120"/>
      </w:tblGrid>
      <w:tr>
        <w:trPr>
          <w:trHeight w:val="253" w:hRule="atLeast"/>
        </w:trPr>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bookmarkStart w:id="10" w:name="page9"/>
            <w:bookmarkStart w:id="11" w:name="page9"/>
            <w:bookmarkEnd w:id="11"/>
          </w:p>
        </w:tc>
        <w:tc>
          <w:tcPr>
            <w:tcW w:w="9120" w:type="dxa"/>
            <w:tcBorders/>
          </w:tcPr>
          <w:p>
            <w:pPr>
              <w:pStyle w:val="Normal"/>
              <w:spacing w:lineRule="atLeast" w:line="0"/>
              <w:ind w:start="160" w:end="0"/>
              <w:rPr>
                <w:rFonts w:ascii="Arial" w:hAnsi="Arial" w:eastAsia="Arial" w:cs="Arial"/>
                <w:sz w:val="22"/>
              </w:rPr>
            </w:pPr>
            <w:r>
              <w:rPr>
                <w:rFonts w:eastAsia="Arial" w:cs="Arial" w:ascii="Arial" w:hAnsi="Arial"/>
                <w:sz w:val="22"/>
              </w:rPr>
              <w:t>Sixty-seventh</w:t>
            </w:r>
          </w:p>
        </w:tc>
      </w:tr>
      <w:tr>
        <w:trPr>
          <w:trHeight w:val="291"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120" w:type="dxa"/>
            <w:tcBorders/>
          </w:tcPr>
          <w:p>
            <w:pPr>
              <w:pStyle w:val="Normal"/>
              <w:spacing w:lineRule="atLeast" w:line="0"/>
              <w:ind w:start="160" w:end="0"/>
              <w:rPr>
                <w:rFonts w:ascii="Arial" w:hAnsi="Arial" w:eastAsia="Arial" w:cs="Arial"/>
                <w:sz w:val="22"/>
              </w:rPr>
            </w:pPr>
            <w:r>
              <w:rPr>
                <w:rFonts w:eastAsia="Arial" w:cs="Arial" w:ascii="Arial" w:hAnsi="Arial"/>
                <w:sz w:val="22"/>
              </w:rPr>
              <w:t>Legislative Assembly</w:t>
            </w:r>
          </w:p>
        </w:tc>
      </w:tr>
      <w:tr>
        <w:trPr>
          <w:trHeight w:val="494" w:hRule="atLeast"/>
        </w:trPr>
        <w:tc>
          <w:tcPr>
            <w:tcW w:w="280" w:type="dxa"/>
            <w:tcBorders/>
          </w:tcPr>
          <w:p>
            <w:pPr>
              <w:pStyle w:val="Normal"/>
              <w:spacing w:lineRule="atLeast" w:line="0"/>
              <w:ind w:end="40"/>
              <w:jc w:val="end"/>
              <w:rPr>
                <w:rFonts w:ascii="Arial" w:hAnsi="Arial" w:eastAsia="Arial" w:cs="Arial"/>
                <w:w w:val="74"/>
                <w:sz w:val="24"/>
              </w:rPr>
            </w:pPr>
            <w:r>
              <w:rPr>
                <w:rFonts w:eastAsia="Arial" w:cs="Arial" w:ascii="Arial" w:hAnsi="Arial"/>
                <w:w w:val="74"/>
                <w:sz w:val="24"/>
              </w:rPr>
              <w:t>1</w:t>
            </w:r>
          </w:p>
        </w:tc>
        <w:tc>
          <w:tcPr>
            <w:tcW w:w="9120" w:type="dxa"/>
            <w:tcBorders/>
          </w:tcPr>
          <w:p>
            <w:pPr>
              <w:pStyle w:val="Normal"/>
              <w:spacing w:lineRule="atLeast" w:line="0"/>
              <w:ind w:start="1560" w:end="0"/>
              <w:rPr>
                <w:rFonts w:ascii="Arial" w:hAnsi="Arial" w:eastAsia="Arial" w:cs="Arial"/>
                <w:w w:val="99"/>
                <w:sz w:val="22"/>
              </w:rPr>
            </w:pPr>
            <w:r>
              <w:rPr>
                <w:rFonts w:eastAsia="Arial" w:cs="Arial" w:ascii="Arial" w:hAnsi="Arial"/>
                <w:w w:val="99"/>
                <w:sz w:val="22"/>
              </w:rPr>
              <w:t>regulation of the commission, from any person except the licensed real estate</w:t>
            </w:r>
          </w:p>
        </w:tc>
      </w:tr>
      <w:tr>
        <w:trPr>
          <w:trHeight w:val="426" w:hRule="atLeast"/>
        </w:trPr>
        <w:tc>
          <w:tcPr>
            <w:tcW w:w="280" w:type="dxa"/>
            <w:tcBorders/>
          </w:tcPr>
          <w:p>
            <w:pPr>
              <w:pStyle w:val="Normal"/>
              <w:spacing w:lineRule="atLeast" w:line="0"/>
              <w:ind w:end="40"/>
              <w:jc w:val="end"/>
              <w:rPr>
                <w:rFonts w:ascii="Arial" w:hAnsi="Arial" w:eastAsia="Arial" w:cs="Arial"/>
                <w:w w:val="74"/>
                <w:sz w:val="24"/>
              </w:rPr>
            </w:pPr>
            <w:r>
              <w:rPr>
                <w:rFonts w:eastAsia="Arial" w:cs="Arial" w:ascii="Arial" w:hAnsi="Arial"/>
                <w:w w:val="74"/>
                <w:sz w:val="24"/>
              </w:rPr>
              <w:t>2</w:t>
            </w:r>
          </w:p>
        </w:tc>
        <w:tc>
          <w:tcPr>
            <w:tcW w:w="9120" w:type="dxa"/>
            <w:tcBorders/>
          </w:tcPr>
          <w:p>
            <w:pPr>
              <w:pStyle w:val="Normal"/>
              <w:spacing w:lineRule="atLeast" w:line="0"/>
              <w:ind w:start="1560" w:end="0"/>
              <w:rPr>
                <w:rFonts w:ascii="Arial" w:hAnsi="Arial" w:eastAsia="Arial" w:cs="Arial"/>
                <w:sz w:val="22"/>
              </w:rPr>
            </w:pPr>
            <w:r>
              <w:rPr>
                <w:rFonts w:eastAsia="Arial" w:cs="Arial" w:ascii="Arial" w:hAnsi="Arial"/>
                <w:sz w:val="22"/>
              </w:rPr>
              <w:t>broker under whom the individual is licensed as a salesperson.</w:t>
            </w:r>
          </w:p>
        </w:tc>
      </w:tr>
    </w:tbl>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5"/>
        </w:numPr>
        <w:tabs>
          <w:tab w:val="clear" w:pos="720"/>
          <w:tab w:val="left" w:pos="1400" w:leader="none"/>
        </w:tabs>
        <w:spacing w:lineRule="atLeast" w:line="0"/>
        <w:ind w:hanging="1264" w:start="1400" w:end="0"/>
        <w:rPr>
          <w:rFonts w:ascii="Arial" w:hAnsi="Arial" w:eastAsia="Arial" w:cs="Arial"/>
          <w:sz w:val="24"/>
        </w:rPr>
      </w:pPr>
      <w:r>
        <w:rPr>
          <w:rFonts w:eastAsia="Arial" w:cs="Arial" w:ascii="Arial" w:hAnsi="Arial"/>
          <w:strike/>
          <w:sz w:val="22"/>
        </w:rPr>
        <w:t>s.</w:t>
      </w:r>
      <w:r>
        <w:rPr>
          <w:rFonts w:eastAsia="Arial" w:cs="Arial" w:ascii="Arial" w:hAnsi="Arial"/>
          <w:sz w:val="22"/>
          <w:u w:val="single"/>
        </w:rPr>
        <w:t>r.</w:t>
      </w:r>
      <w:r>
        <w:rPr>
          <w:rFonts w:eastAsia="Arial" w:cs="Arial" w:ascii="Arial" w:hAnsi="Arial"/>
          <w:sz w:val="22"/>
        </w:rPr>
        <w:t xml:space="preserve">   If the licensee is a broker, allowing any unlicensed salesperson to do any act or</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9640" w:type="dxa"/>
        <w:jc w:val="start"/>
        <w:tblInd w:w="140" w:type="dxa"/>
        <w:tblLayout w:type="fixed"/>
        <w:tblCellMar>
          <w:top w:w="0" w:type="dxa"/>
          <w:start w:w="0" w:type="dxa"/>
          <w:bottom w:w="0" w:type="dxa"/>
          <w:end w:w="0" w:type="dxa"/>
        </w:tblCellMar>
      </w:tblPr>
      <w:tblGrid>
        <w:gridCol w:w="980"/>
        <w:gridCol w:w="2040"/>
        <w:gridCol w:w="60"/>
        <w:gridCol w:w="6560"/>
      </w:tblGrid>
      <w:tr>
        <w:trPr>
          <w:trHeight w:val="317" w:hRule="atLeast"/>
        </w:trPr>
        <w:tc>
          <w:tcPr>
            <w:tcW w:w="980" w:type="dxa"/>
            <w:tcBorders/>
          </w:tcPr>
          <w:p>
            <w:pPr>
              <w:pStyle w:val="Normal"/>
              <w:spacing w:lineRule="atLeast" w:line="0"/>
              <w:ind w:end="740"/>
              <w:jc w:val="end"/>
              <w:rPr>
                <w:rFonts w:ascii="Arial" w:hAnsi="Arial" w:eastAsia="Arial" w:cs="Arial"/>
                <w:w w:val="74"/>
                <w:sz w:val="24"/>
              </w:rPr>
            </w:pPr>
            <w:r>
              <w:rPr>
                <w:rFonts w:eastAsia="Arial" w:cs="Arial" w:ascii="Arial" w:hAnsi="Arial"/>
                <w:w w:val="74"/>
                <w:sz w:val="24"/>
              </w:rPr>
              <w:t>4</w:t>
            </w:r>
          </w:p>
        </w:tc>
        <w:tc>
          <w:tcPr>
            <w:tcW w:w="8660" w:type="dxa"/>
            <w:gridSpan w:val="3"/>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engage in any activity regulated by this chapter or under rule or regulation of the</w:t>
            </w:r>
          </w:p>
        </w:tc>
      </w:tr>
      <w:tr>
        <w:trPr>
          <w:trHeight w:val="424" w:hRule="atLeast"/>
        </w:trPr>
        <w:tc>
          <w:tcPr>
            <w:tcW w:w="980" w:type="dxa"/>
            <w:tcBorders/>
          </w:tcPr>
          <w:p>
            <w:pPr>
              <w:pStyle w:val="Normal"/>
              <w:spacing w:lineRule="atLeast" w:line="0"/>
              <w:ind w:end="740"/>
              <w:jc w:val="end"/>
              <w:rPr>
                <w:rFonts w:ascii="Arial" w:hAnsi="Arial" w:eastAsia="Arial" w:cs="Arial"/>
                <w:w w:val="74"/>
                <w:sz w:val="24"/>
              </w:rPr>
            </w:pPr>
            <w:r>
              <w:rPr>
                <w:rFonts w:eastAsia="Arial" w:cs="Arial" w:ascii="Arial" w:hAnsi="Arial"/>
                <w:w w:val="74"/>
                <w:sz w:val="24"/>
              </w:rPr>
              <w:t>5</w:t>
            </w:r>
          </w:p>
        </w:tc>
        <w:tc>
          <w:tcPr>
            <w:tcW w:w="204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commission</w:t>
            </w:r>
          </w:p>
        </w:tc>
        <w:tc>
          <w:tcPr>
            <w:tcW w:w="60" w:type="dxa"/>
            <w:tcBorders/>
          </w:tcPr>
          <w:p>
            <w:pPr>
              <w:pStyle w:val="Normal"/>
              <w:spacing w:lineRule="atLeast" w:line="0"/>
              <w:jc w:val="end"/>
              <w:rPr>
                <w:rFonts w:ascii="Arial" w:hAnsi="Arial" w:eastAsia="Arial" w:cs="Arial"/>
                <w:strike/>
                <w:w w:val="71"/>
              </w:rPr>
            </w:pPr>
            <w:r>
              <w:rPr>
                <w:rFonts w:eastAsia="Arial" w:cs="Arial" w:ascii="Arial" w:hAnsi="Arial"/>
                <w:strike/>
                <w:w w:val="71"/>
              </w:rPr>
              <w:t>,</w:t>
            </w:r>
          </w:p>
        </w:tc>
        <w:tc>
          <w:tcPr>
            <w:tcW w:w="6560" w:type="dxa"/>
            <w:tcBorders/>
          </w:tcPr>
          <w:p>
            <w:pPr>
              <w:pStyle w:val="Normal"/>
              <w:spacing w:lineRule="atLeast" w:line="0"/>
              <w:ind w:start="60" w:end="0"/>
              <w:rPr>
                <w:rFonts w:ascii="Arial" w:hAnsi="Arial" w:eastAsia="Arial" w:cs="Arial"/>
                <w:sz w:val="22"/>
              </w:rPr>
            </w:pPr>
            <w:r>
              <w:rPr>
                <w:rFonts w:eastAsia="Arial" w:cs="Arial" w:ascii="Arial" w:hAnsi="Arial"/>
                <w:sz w:val="22"/>
              </w:rPr>
              <w:t>which is carried on in the name of or under the authority of the</w:t>
            </w:r>
          </w:p>
        </w:tc>
      </w:tr>
      <w:tr>
        <w:trPr>
          <w:trHeight w:val="426" w:hRule="atLeast"/>
        </w:trPr>
        <w:tc>
          <w:tcPr>
            <w:tcW w:w="980" w:type="dxa"/>
            <w:tcBorders/>
          </w:tcPr>
          <w:p>
            <w:pPr>
              <w:pStyle w:val="Normal"/>
              <w:spacing w:lineRule="atLeast" w:line="0"/>
              <w:ind w:end="740"/>
              <w:jc w:val="end"/>
              <w:rPr>
                <w:rFonts w:ascii="Arial" w:hAnsi="Arial" w:eastAsia="Arial" w:cs="Arial"/>
                <w:w w:val="74"/>
                <w:sz w:val="24"/>
              </w:rPr>
            </w:pPr>
            <w:r>
              <w:rPr>
                <w:rFonts w:eastAsia="Arial" w:cs="Arial" w:ascii="Arial" w:hAnsi="Arial"/>
                <w:w w:val="74"/>
                <w:sz w:val="24"/>
              </w:rPr>
              <w:t>6</w:t>
            </w:r>
          </w:p>
        </w:tc>
        <w:tc>
          <w:tcPr>
            <w:tcW w:w="8660" w:type="dxa"/>
            <w:gridSpan w:val="3"/>
            <w:tcBorders/>
          </w:tcPr>
          <w:p>
            <w:pPr>
              <w:pStyle w:val="Normal"/>
              <w:spacing w:lineRule="atLeast" w:line="0"/>
              <w:ind w:start="860" w:end="0"/>
              <w:rPr>
                <w:rFonts w:ascii="Arial" w:hAnsi="Arial" w:eastAsia="Arial" w:cs="Arial"/>
                <w:sz w:val="22"/>
              </w:rPr>
            </w:pPr>
            <w:r>
              <w:rPr>
                <w:rFonts w:eastAsia="Arial" w:cs="Arial" w:ascii="Arial" w:hAnsi="Arial"/>
                <w:sz w:val="22"/>
              </w:rPr>
              <w:t>broker.</w:t>
            </w:r>
          </w:p>
        </w:tc>
      </w:tr>
    </w:tbl>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1400" w:leader="none"/>
        </w:tabs>
        <w:spacing w:lineRule="atLeast" w:line="0"/>
        <w:ind w:hanging="1264" w:start="1400" w:end="0"/>
        <w:rPr>
          <w:rFonts w:ascii="Arial" w:hAnsi="Arial" w:eastAsia="Arial" w:cs="Arial"/>
          <w:sz w:val="24"/>
        </w:rPr>
      </w:pPr>
      <w:r>
        <w:rPr>
          <w:rFonts w:eastAsia="Arial" w:cs="Arial" w:ascii="Arial" w:hAnsi="Arial"/>
          <w:strike/>
          <w:sz w:val="22"/>
        </w:rPr>
        <w:t>t.</w:t>
      </w:r>
      <w:r>
        <w:rPr>
          <w:rFonts w:eastAsia="Arial" w:cs="Arial" w:ascii="Arial" w:hAnsi="Arial"/>
          <w:sz w:val="22"/>
          <w:u w:val="single"/>
        </w:rPr>
        <w:t>s.</w:t>
      </w:r>
      <w:r>
        <w:rPr>
          <w:rFonts w:eastAsia="Arial" w:cs="Arial" w:ascii="Arial" w:hAnsi="Arial"/>
          <w:sz w:val="22"/>
        </w:rPr>
        <w:t xml:space="preserve">   </w:t>
      </w:r>
      <w:r>
        <w:rPr>
          <w:rFonts w:eastAsia="Arial" w:cs="Arial" w:ascii="Arial" w:hAnsi="Arial"/>
          <w:strike/>
          <w:sz w:val="22"/>
        </w:rPr>
        <w:t>Failure of a</w:t>
      </w:r>
      <w:r>
        <w:rPr>
          <w:rFonts w:eastAsia="Arial" w:cs="Arial" w:ascii="Arial" w:hAnsi="Arial"/>
          <w:sz w:val="22"/>
          <w:u w:val="single"/>
        </w:rPr>
        <w:t>A</w:t>
      </w:r>
      <w:r>
        <w:rPr>
          <w:rFonts w:eastAsia="Arial" w:cs="Arial" w:ascii="Arial" w:hAnsi="Arial"/>
          <w:sz w:val="22"/>
        </w:rPr>
        <w:t xml:space="preserve"> salesperson </w:t>
      </w:r>
      <w:r>
        <w:rPr>
          <w:rFonts w:eastAsia="Arial" w:cs="Arial" w:ascii="Arial" w:hAnsi="Arial"/>
          <w:sz w:val="22"/>
          <w:u w:val="single"/>
        </w:rPr>
        <w:t>failing</w:t>
      </w:r>
      <w:r>
        <w:rPr>
          <w:rFonts w:eastAsia="Arial" w:cs="Arial" w:ascii="Arial" w:hAnsi="Arial"/>
          <w:sz w:val="22"/>
        </w:rPr>
        <w:t xml:space="preserve"> to place with that </w:t>
      </w:r>
      <w:r>
        <w:rPr>
          <w:rFonts w:eastAsia="Arial" w:cs="Arial" w:ascii="Arial" w:hAnsi="Arial"/>
          <w:strike/>
          <w:sz w:val="22"/>
        </w:rPr>
        <w:t>person's</w:t>
      </w:r>
      <w:r>
        <w:rPr>
          <w:rFonts w:eastAsia="Arial" w:cs="Arial" w:ascii="Arial" w:hAnsi="Arial"/>
          <w:sz w:val="22"/>
          <w:u w:val="single"/>
        </w:rPr>
        <w:t>salesperson's</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9900" w:type="dxa"/>
        <w:jc w:val="start"/>
        <w:tblInd w:w="0" w:type="dxa"/>
        <w:tblLayout w:type="fixed"/>
        <w:tblCellMar>
          <w:top w:w="0" w:type="dxa"/>
          <w:start w:w="0" w:type="dxa"/>
          <w:bottom w:w="0" w:type="dxa"/>
          <w:end w:w="0" w:type="dxa"/>
        </w:tblCellMar>
      </w:tblPr>
      <w:tblGrid>
        <w:gridCol w:w="1980"/>
        <w:gridCol w:w="700"/>
        <w:gridCol w:w="620"/>
        <w:gridCol w:w="2080"/>
        <w:gridCol w:w="700"/>
        <w:gridCol w:w="620"/>
        <w:gridCol w:w="180"/>
        <w:gridCol w:w="460"/>
        <w:gridCol w:w="320"/>
        <w:gridCol w:w="2240"/>
      </w:tblGrid>
      <w:tr>
        <w:trPr>
          <w:trHeight w:val="317" w:hRule="atLeast"/>
        </w:trPr>
        <w:tc>
          <w:tcPr>
            <w:tcW w:w="1980" w:type="dxa"/>
            <w:tcBorders/>
          </w:tcPr>
          <w:p>
            <w:pPr>
              <w:pStyle w:val="Normal"/>
              <w:spacing w:lineRule="atLeast" w:line="0"/>
              <w:ind w:end="1600"/>
              <w:jc w:val="end"/>
              <w:rPr>
                <w:rFonts w:ascii="Arial" w:hAnsi="Arial" w:eastAsia="Arial" w:cs="Arial"/>
                <w:sz w:val="24"/>
              </w:rPr>
            </w:pPr>
            <w:r>
              <w:rPr>
                <w:rFonts w:eastAsia="Arial" w:cs="Arial" w:ascii="Arial" w:hAnsi="Arial"/>
                <w:sz w:val="24"/>
              </w:rPr>
              <w:t>8</w:t>
            </w:r>
          </w:p>
        </w:tc>
        <w:tc>
          <w:tcPr>
            <w:tcW w:w="7920" w:type="dxa"/>
            <w:gridSpan w:val="9"/>
            <w:tcBorders/>
          </w:tcPr>
          <w:p>
            <w:pPr>
              <w:pStyle w:val="Normal"/>
              <w:spacing w:lineRule="atLeast" w:line="0"/>
              <w:rPr>
                <w:rFonts w:ascii="Arial" w:hAnsi="Arial" w:eastAsia="Arial" w:cs="Arial"/>
                <w:sz w:val="22"/>
              </w:rPr>
            </w:pPr>
            <w:r>
              <w:rPr>
                <w:rFonts w:eastAsia="Arial" w:cs="Arial" w:ascii="Arial" w:hAnsi="Arial"/>
                <w:sz w:val="22"/>
              </w:rPr>
              <w:t>employing broker for deposit in the brokerage trust account all real estate trust</w:t>
            </w:r>
          </w:p>
        </w:tc>
      </w:tr>
      <w:tr>
        <w:trPr>
          <w:trHeight w:val="424" w:hRule="atLeast"/>
        </w:trPr>
        <w:tc>
          <w:tcPr>
            <w:tcW w:w="1980" w:type="dxa"/>
            <w:tcBorders/>
          </w:tcPr>
          <w:p>
            <w:pPr>
              <w:pStyle w:val="Normal"/>
              <w:spacing w:lineRule="atLeast" w:line="0"/>
              <w:ind w:end="1600"/>
              <w:jc w:val="end"/>
              <w:rPr>
                <w:rFonts w:ascii="Arial" w:hAnsi="Arial" w:eastAsia="Arial" w:cs="Arial"/>
                <w:sz w:val="24"/>
              </w:rPr>
            </w:pPr>
            <w:r>
              <w:rPr>
                <w:rFonts w:eastAsia="Arial" w:cs="Arial" w:ascii="Arial" w:hAnsi="Arial"/>
                <w:sz w:val="24"/>
              </w:rPr>
              <w:t>9</w:t>
            </w:r>
          </w:p>
        </w:tc>
        <w:tc>
          <w:tcPr>
            <w:tcW w:w="7920" w:type="dxa"/>
            <w:gridSpan w:val="9"/>
            <w:tcBorders/>
          </w:tcPr>
          <w:p>
            <w:pPr>
              <w:pStyle w:val="Normal"/>
              <w:spacing w:lineRule="atLeast" w:line="0"/>
              <w:rPr>
                <w:rFonts w:ascii="Arial" w:hAnsi="Arial" w:eastAsia="Arial" w:cs="Arial"/>
                <w:sz w:val="22"/>
              </w:rPr>
            </w:pPr>
            <w:r>
              <w:rPr>
                <w:rFonts w:eastAsia="Arial" w:cs="Arial" w:ascii="Arial" w:hAnsi="Arial"/>
                <w:sz w:val="22"/>
              </w:rPr>
              <w:t>moneys received by the salesperson within twenty-four hours of the time of</w:t>
            </w:r>
          </w:p>
        </w:tc>
      </w:tr>
      <w:tr>
        <w:trPr>
          <w:trHeight w:val="364"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10</w:t>
            </w:r>
          </w:p>
        </w:tc>
        <w:tc>
          <w:tcPr>
            <w:tcW w:w="4900" w:type="dxa"/>
            <w:gridSpan w:val="6"/>
            <w:tcBorders/>
          </w:tcPr>
          <w:p>
            <w:pPr>
              <w:pStyle w:val="Normal"/>
              <w:spacing w:lineRule="atLeast" w:line="0"/>
              <w:rPr>
                <w:rFonts w:ascii="Arial" w:hAnsi="Arial" w:eastAsia="Arial" w:cs="Arial"/>
                <w:sz w:val="22"/>
              </w:rPr>
            </w:pPr>
            <w:r>
              <w:rPr>
                <w:rFonts w:eastAsia="Arial" w:cs="Arial" w:ascii="Arial" w:hAnsi="Arial"/>
                <w:sz w:val="22"/>
              </w:rPr>
              <w:t>receipt; or failure of the employing broker to place</w:t>
            </w:r>
          </w:p>
        </w:tc>
        <w:tc>
          <w:tcPr>
            <w:tcW w:w="460" w:type="dxa"/>
            <w:tcBorders/>
          </w:tcPr>
          <w:p>
            <w:pPr>
              <w:pStyle w:val="Normal"/>
              <w:spacing w:lineRule="atLeast" w:line="0"/>
              <w:rPr>
                <w:rFonts w:ascii="Arial" w:hAnsi="Arial" w:eastAsia="Arial" w:cs="Arial"/>
                <w:strike/>
                <w:w w:val="94"/>
                <w:sz w:val="22"/>
              </w:rPr>
            </w:pPr>
            <w:r>
              <w:rPr>
                <w:rFonts w:eastAsia="Arial" w:cs="Arial" w:ascii="Arial" w:hAnsi="Arial"/>
                <w:strike/>
                <w:w w:val="94"/>
                <w:sz w:val="22"/>
              </w:rPr>
              <w:t>such</w:t>
            </w:r>
          </w:p>
        </w:tc>
        <w:tc>
          <w:tcPr>
            <w:tcW w:w="2560" w:type="dxa"/>
            <w:gridSpan w:val="2"/>
            <w:tcBorders/>
          </w:tcPr>
          <w:p>
            <w:pPr>
              <w:pStyle w:val="Normal"/>
              <w:spacing w:lineRule="atLeast" w:line="0"/>
              <w:rPr/>
            </w:pPr>
            <w:r>
              <w:rPr>
                <w:rFonts w:eastAsia="Arial" w:cs="Arial" w:ascii="Arial" w:hAnsi="Arial"/>
                <w:sz w:val="22"/>
              </w:rPr>
              <w:t>the moneys for deposit</w:t>
            </w:r>
          </w:p>
        </w:tc>
      </w:tr>
      <w:tr>
        <w:trPr>
          <w:trHeight w:val="23" w:hRule="atLeast"/>
        </w:trPr>
        <w:tc>
          <w:tcPr>
            <w:tcW w:w="1980" w:type="dxa"/>
            <w:vMerge w:val="restart"/>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11</w:t>
            </w:r>
          </w:p>
        </w:tc>
        <w:tc>
          <w:tcPr>
            <w:tcW w:w="70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6"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920" w:type="dxa"/>
            <w:gridSpan w:val="9"/>
            <w:tcBorders/>
          </w:tcPr>
          <w:p>
            <w:pPr>
              <w:pStyle w:val="Normal"/>
              <w:spacing w:lineRule="atLeast" w:line="0"/>
              <w:rPr>
                <w:rFonts w:ascii="Arial" w:hAnsi="Arial" w:eastAsia="Arial" w:cs="Arial"/>
                <w:w w:val="99"/>
                <w:sz w:val="22"/>
              </w:rPr>
            </w:pPr>
            <w:r>
              <w:rPr>
                <w:rFonts w:eastAsia="Arial" w:cs="Arial" w:ascii="Arial" w:hAnsi="Arial"/>
                <w:w w:val="99"/>
                <w:sz w:val="22"/>
              </w:rPr>
              <w:t>within twenty-four hours of the time of receipt from the salesperson. Provided that</w:t>
            </w:r>
          </w:p>
        </w:tc>
      </w:tr>
      <w:tr>
        <w:trPr>
          <w:trHeight w:val="364"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12</w:t>
            </w:r>
          </w:p>
        </w:tc>
        <w:tc>
          <w:tcPr>
            <w:tcW w:w="3400" w:type="dxa"/>
            <w:gridSpan w:val="3"/>
            <w:tcBorders/>
          </w:tcPr>
          <w:p>
            <w:pPr>
              <w:pStyle w:val="Normal"/>
              <w:spacing w:lineRule="atLeast" w:line="0"/>
              <w:rPr>
                <w:rFonts w:ascii="Arial" w:hAnsi="Arial" w:eastAsia="Arial" w:cs="Arial"/>
                <w:sz w:val="22"/>
              </w:rPr>
            </w:pPr>
            <w:r>
              <w:rPr>
                <w:rFonts w:eastAsia="Arial" w:cs="Arial" w:ascii="Arial" w:hAnsi="Arial"/>
                <w:sz w:val="22"/>
              </w:rPr>
              <w:t>if trust money is received on a day</w:t>
            </w:r>
          </w:p>
        </w:tc>
        <w:tc>
          <w:tcPr>
            <w:tcW w:w="700" w:type="dxa"/>
            <w:tcBorders/>
          </w:tcPr>
          <w:p>
            <w:pPr>
              <w:pStyle w:val="Normal"/>
              <w:spacing w:lineRule="atLeast" w:line="0"/>
              <w:rPr>
                <w:rFonts w:ascii="Arial" w:hAnsi="Arial" w:eastAsia="Arial" w:cs="Arial"/>
                <w:strike/>
                <w:w w:val="99"/>
                <w:sz w:val="22"/>
              </w:rPr>
            </w:pPr>
            <w:r>
              <w:rPr>
                <w:rFonts w:eastAsia="Arial" w:cs="Arial" w:ascii="Arial" w:hAnsi="Arial"/>
                <w:strike/>
                <w:w w:val="99"/>
                <w:sz w:val="22"/>
              </w:rPr>
              <w:t>prior to</w:t>
            </w:r>
          </w:p>
        </w:tc>
        <w:tc>
          <w:tcPr>
            <w:tcW w:w="3820" w:type="dxa"/>
            <w:gridSpan w:val="5"/>
            <w:tcBorders/>
          </w:tcPr>
          <w:p>
            <w:pPr>
              <w:pStyle w:val="Normal"/>
              <w:spacing w:lineRule="atLeast" w:line="0"/>
              <w:rPr/>
            </w:pPr>
            <w:r>
              <w:rPr>
                <w:rFonts w:eastAsia="Arial" w:cs="Arial" w:ascii="Arial" w:hAnsi="Arial"/>
                <w:sz w:val="22"/>
              </w:rPr>
              <w:t>before a holiday or on another day</w:t>
            </w:r>
          </w:p>
        </w:tc>
      </w:tr>
      <w:tr>
        <w:trPr>
          <w:trHeight w:val="23" w:hRule="atLeast"/>
        </w:trPr>
        <w:tc>
          <w:tcPr>
            <w:tcW w:w="1980" w:type="dxa"/>
            <w:vMerge w:val="restart"/>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13</w:t>
            </w:r>
          </w:p>
        </w:tc>
        <w:tc>
          <w:tcPr>
            <w:tcW w:w="70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04"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rPr>
                <w:rFonts w:ascii="Arial" w:hAnsi="Arial" w:eastAsia="Arial" w:cs="Arial"/>
                <w:strike/>
                <w:w w:val="99"/>
                <w:sz w:val="22"/>
              </w:rPr>
            </w:pPr>
            <w:r>
              <w:rPr>
                <w:rFonts w:eastAsia="Arial" w:cs="Arial" w:ascii="Arial" w:hAnsi="Arial"/>
                <w:strike/>
                <w:w w:val="99"/>
                <w:sz w:val="22"/>
              </w:rPr>
              <w:t>prior to</w:t>
            </w:r>
          </w:p>
        </w:tc>
        <w:tc>
          <w:tcPr>
            <w:tcW w:w="7220" w:type="dxa"/>
            <w:gridSpan w:val="8"/>
            <w:tcBorders/>
          </w:tcPr>
          <w:p>
            <w:pPr>
              <w:pStyle w:val="Normal"/>
              <w:spacing w:lineRule="atLeast" w:line="0"/>
              <w:rPr/>
            </w:pPr>
            <w:r>
              <w:rPr>
                <w:rFonts w:eastAsia="Arial" w:cs="Arial" w:ascii="Arial" w:hAnsi="Arial"/>
                <w:sz w:val="22"/>
              </w:rPr>
              <w:t>before which the depository is closed where the trust fund is maintained,</w:t>
            </w:r>
          </w:p>
        </w:tc>
      </w:tr>
      <w:tr>
        <w:trPr>
          <w:trHeight w:val="23" w:hRule="atLeast"/>
        </w:trPr>
        <w:tc>
          <w:tcPr>
            <w:tcW w:w="1980" w:type="dxa"/>
            <w:vMerge w:val="restart"/>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14</w:t>
            </w:r>
          </w:p>
        </w:tc>
        <w:tc>
          <w:tcPr>
            <w:tcW w:w="70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8"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920" w:type="dxa"/>
            <w:gridSpan w:val="9"/>
            <w:tcBorders/>
          </w:tcPr>
          <w:p>
            <w:pPr>
              <w:pStyle w:val="Normal"/>
              <w:spacing w:lineRule="atLeast" w:line="0"/>
              <w:rPr>
                <w:rFonts w:ascii="Arial" w:hAnsi="Arial" w:eastAsia="Arial" w:cs="Arial"/>
                <w:sz w:val="22"/>
              </w:rPr>
            </w:pPr>
            <w:r>
              <w:rPr>
                <w:rFonts w:eastAsia="Arial" w:cs="Arial" w:ascii="Arial" w:hAnsi="Arial"/>
                <w:sz w:val="22"/>
              </w:rPr>
              <w:t>the moneys must then be deposited during the next business day of the</w:t>
            </w:r>
          </w:p>
        </w:tc>
      </w:tr>
      <w:tr>
        <w:trPr>
          <w:trHeight w:val="424"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15</w:t>
            </w:r>
          </w:p>
        </w:tc>
        <w:tc>
          <w:tcPr>
            <w:tcW w:w="7920" w:type="dxa"/>
            <w:gridSpan w:val="9"/>
            <w:tcBorders/>
          </w:tcPr>
          <w:p>
            <w:pPr>
              <w:pStyle w:val="Normal"/>
              <w:spacing w:lineRule="atLeast" w:line="0"/>
              <w:rPr>
                <w:rFonts w:ascii="Arial" w:hAnsi="Arial" w:eastAsia="Arial" w:cs="Arial"/>
                <w:sz w:val="22"/>
              </w:rPr>
            </w:pPr>
            <w:r>
              <w:rPr>
                <w:rFonts w:eastAsia="Arial" w:cs="Arial" w:ascii="Arial" w:hAnsi="Arial"/>
                <w:sz w:val="22"/>
              </w:rPr>
              <w:t>depository.</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1380" w:leader="none"/>
        </w:tabs>
        <w:spacing w:lineRule="atLeast" w:line="0"/>
        <w:ind w:hanging="1376" w:start="1380" w:end="0"/>
        <w:rPr>
          <w:rFonts w:ascii="Arial" w:hAnsi="Arial" w:eastAsia="Arial" w:cs="Arial"/>
          <w:sz w:val="24"/>
        </w:rPr>
      </w:pPr>
      <w:r>
        <w:rPr>
          <w:rFonts w:eastAsia="Arial" w:cs="Arial" w:ascii="Arial" w:hAnsi="Arial"/>
          <w:strike/>
          <w:sz w:val="22"/>
        </w:rPr>
        <w:t>u.</w:t>
      </w:r>
      <w:r>
        <w:rPr>
          <w:rFonts w:eastAsia="Arial" w:cs="Arial" w:ascii="Arial" w:hAnsi="Arial"/>
          <w:sz w:val="22"/>
          <w:u w:val="single"/>
        </w:rPr>
        <w:t>t.</w:t>
      </w:r>
      <w:r>
        <w:rPr>
          <w:rFonts w:eastAsia="Arial" w:cs="Arial" w:ascii="Arial" w:hAnsi="Arial"/>
          <w:sz w:val="22"/>
        </w:rPr>
        <w:t xml:space="preserve">   </w:t>
      </w:r>
      <w:r>
        <w:rPr>
          <w:rFonts w:eastAsia="Arial" w:cs="Arial" w:ascii="Arial" w:hAnsi="Arial"/>
          <w:strike/>
          <w:sz w:val="22"/>
        </w:rPr>
        <w:t>Failure of the</w:t>
      </w:r>
      <w:r>
        <w:rPr>
          <w:rFonts w:eastAsia="Arial" w:cs="Arial" w:ascii="Arial" w:hAnsi="Arial"/>
          <w:sz w:val="22"/>
          <w:u w:val="single"/>
        </w:rPr>
        <w:t>The</w:t>
      </w:r>
      <w:r>
        <w:rPr>
          <w:rFonts w:eastAsia="Arial" w:cs="Arial" w:ascii="Arial" w:hAnsi="Arial"/>
          <w:sz w:val="22"/>
        </w:rPr>
        <w:t xml:space="preserve"> licensee </w:t>
      </w:r>
      <w:r>
        <w:rPr>
          <w:rFonts w:eastAsia="Arial" w:cs="Arial" w:ascii="Arial" w:hAnsi="Arial"/>
          <w:sz w:val="22"/>
          <w:u w:val="single"/>
        </w:rPr>
        <w:t>failing</w:t>
      </w:r>
      <w:r>
        <w:rPr>
          <w:rFonts w:eastAsia="Arial" w:cs="Arial" w:ascii="Arial" w:hAnsi="Arial"/>
          <w:sz w:val="22"/>
        </w:rPr>
        <w:t xml:space="preserve"> to reduce an offer to writing when a proposed</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tbl>
      <w:tblPr>
        <w:tblW w:w="9720" w:type="dxa"/>
        <w:jc w:val="start"/>
        <w:tblInd w:w="0" w:type="dxa"/>
        <w:tblLayout w:type="fixed"/>
        <w:tblCellMar>
          <w:top w:w="0" w:type="dxa"/>
          <w:start w:w="0" w:type="dxa"/>
          <w:bottom w:w="0" w:type="dxa"/>
          <w:end w:w="0" w:type="dxa"/>
        </w:tblCellMar>
      </w:tblPr>
      <w:tblGrid>
        <w:gridCol w:w="1980"/>
        <w:gridCol w:w="200"/>
        <w:gridCol w:w="620"/>
        <w:gridCol w:w="540"/>
        <w:gridCol w:w="480"/>
        <w:gridCol w:w="120"/>
        <w:gridCol w:w="180"/>
        <w:gridCol w:w="700"/>
        <w:gridCol w:w="320"/>
        <w:gridCol w:w="1160"/>
        <w:gridCol w:w="460"/>
        <w:gridCol w:w="320"/>
        <w:gridCol w:w="1940"/>
        <w:gridCol w:w="700"/>
      </w:tblGrid>
      <w:tr>
        <w:trPr>
          <w:trHeight w:val="276" w:hRule="atLeast"/>
        </w:trPr>
        <w:tc>
          <w:tcPr>
            <w:tcW w:w="1980" w:type="dxa"/>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17</w:t>
            </w:r>
          </w:p>
        </w:tc>
        <w:tc>
          <w:tcPr>
            <w:tcW w:w="1960" w:type="dxa"/>
            <w:gridSpan w:val="5"/>
            <w:tcBorders/>
          </w:tcPr>
          <w:p>
            <w:pPr>
              <w:pStyle w:val="Normal"/>
              <w:spacing w:lineRule="atLeast" w:line="0"/>
              <w:rPr>
                <w:rFonts w:ascii="Arial" w:hAnsi="Arial" w:eastAsia="Arial" w:cs="Arial"/>
                <w:sz w:val="22"/>
              </w:rPr>
            </w:pPr>
            <w:r>
              <w:rPr>
                <w:rFonts w:eastAsia="Arial" w:cs="Arial" w:ascii="Arial" w:hAnsi="Arial"/>
                <w:sz w:val="22"/>
              </w:rPr>
              <w:t>purchaser requests</w:t>
            </w:r>
          </w:p>
        </w:tc>
        <w:tc>
          <w:tcPr>
            <w:tcW w:w="880" w:type="dxa"/>
            <w:gridSpan w:val="2"/>
            <w:tcBorders/>
          </w:tcPr>
          <w:p>
            <w:pPr>
              <w:pStyle w:val="Normal"/>
              <w:spacing w:lineRule="atLeast" w:line="0"/>
              <w:rPr>
                <w:rFonts w:ascii="Arial" w:hAnsi="Arial" w:eastAsia="Arial" w:cs="Arial"/>
                <w:strike/>
                <w:w w:val="96"/>
                <w:sz w:val="22"/>
              </w:rPr>
            </w:pPr>
            <w:r>
              <w:rPr>
                <w:rFonts w:eastAsia="Arial" w:cs="Arial" w:ascii="Arial" w:hAnsi="Arial"/>
                <w:strike/>
                <w:w w:val="96"/>
                <w:sz w:val="22"/>
              </w:rPr>
              <w:t>that such</w:t>
            </w:r>
          </w:p>
        </w:tc>
        <w:tc>
          <w:tcPr>
            <w:tcW w:w="4900" w:type="dxa"/>
            <w:gridSpan w:val="6"/>
            <w:tcBorders/>
          </w:tcPr>
          <w:p>
            <w:pPr>
              <w:pStyle w:val="Normal"/>
              <w:spacing w:lineRule="atLeast" w:line="0"/>
              <w:rPr/>
            </w:pPr>
            <w:r>
              <w:rPr>
                <w:rFonts w:eastAsia="Arial" w:cs="Arial" w:ascii="Arial" w:hAnsi="Arial"/>
                <w:w w:val="99"/>
                <w:sz w:val="22"/>
              </w:rPr>
              <w:t>the offer be submitted to the seller, or failure of the</w:t>
            </w:r>
          </w:p>
        </w:tc>
      </w:tr>
      <w:tr>
        <w:trPr>
          <w:trHeight w:val="23" w:hRule="atLeast"/>
        </w:trPr>
        <w:tc>
          <w:tcPr>
            <w:tcW w:w="1980" w:type="dxa"/>
            <w:vMerge w:val="restart"/>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18</w:t>
            </w:r>
          </w:p>
        </w:tc>
        <w:tc>
          <w:tcPr>
            <w:tcW w:w="20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06"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gridSpan w:val="9"/>
            <w:tcBorders/>
          </w:tcPr>
          <w:p>
            <w:pPr>
              <w:pStyle w:val="Normal"/>
              <w:spacing w:lineRule="atLeast" w:line="0"/>
              <w:rPr>
                <w:rFonts w:ascii="Arial" w:hAnsi="Arial" w:eastAsia="Arial" w:cs="Arial"/>
                <w:sz w:val="22"/>
              </w:rPr>
            </w:pPr>
            <w:r>
              <w:rPr>
                <w:rFonts w:eastAsia="Arial" w:cs="Arial" w:ascii="Arial" w:hAnsi="Arial"/>
                <w:sz w:val="22"/>
              </w:rPr>
              <w:t>licensee to submit all offers to a seller when</w:t>
            </w:r>
          </w:p>
        </w:tc>
        <w:tc>
          <w:tcPr>
            <w:tcW w:w="460" w:type="dxa"/>
            <w:tcBorders/>
          </w:tcPr>
          <w:p>
            <w:pPr>
              <w:pStyle w:val="Normal"/>
              <w:spacing w:lineRule="atLeast" w:line="0"/>
              <w:rPr>
                <w:rFonts w:ascii="Arial" w:hAnsi="Arial" w:eastAsia="Arial" w:cs="Arial"/>
                <w:strike/>
                <w:w w:val="94"/>
                <w:sz w:val="22"/>
              </w:rPr>
            </w:pPr>
            <w:r>
              <w:rPr>
                <w:rFonts w:eastAsia="Arial" w:cs="Arial" w:ascii="Arial" w:hAnsi="Arial"/>
                <w:strike/>
                <w:w w:val="94"/>
                <w:sz w:val="22"/>
              </w:rPr>
              <w:t>such</w:t>
            </w:r>
          </w:p>
        </w:tc>
        <w:tc>
          <w:tcPr>
            <w:tcW w:w="2260" w:type="dxa"/>
            <w:gridSpan w:val="2"/>
            <w:tcBorders/>
          </w:tcPr>
          <w:p>
            <w:pPr>
              <w:pStyle w:val="Normal"/>
              <w:spacing w:lineRule="atLeast" w:line="0"/>
              <w:rPr/>
            </w:pPr>
            <w:r>
              <w:rPr>
                <w:rFonts w:eastAsia="Arial" w:cs="Arial" w:ascii="Arial" w:hAnsi="Arial"/>
                <w:sz w:val="22"/>
              </w:rPr>
              <w:t>the offers are received</w:t>
            </w:r>
          </w:p>
        </w:tc>
        <w:tc>
          <w:tcPr>
            <w:tcW w:w="700" w:type="dxa"/>
            <w:tcBorders/>
          </w:tcPr>
          <w:p>
            <w:pPr>
              <w:pStyle w:val="Normal"/>
              <w:spacing w:lineRule="atLeast" w:line="0"/>
              <w:rPr>
                <w:rFonts w:ascii="Arial" w:hAnsi="Arial" w:eastAsia="Arial" w:cs="Arial"/>
                <w:strike/>
                <w:sz w:val="22"/>
              </w:rPr>
            </w:pPr>
            <w:r>
              <w:rPr>
                <w:rFonts w:eastAsia="Arial" w:cs="Arial" w:ascii="Arial" w:hAnsi="Arial"/>
                <w:strike/>
                <w:sz w:val="22"/>
              </w:rPr>
              <w:t>prior</w:t>
            </w:r>
          </w:p>
        </w:tc>
      </w:tr>
      <w:tr>
        <w:trPr>
          <w:trHeight w:val="23" w:hRule="atLeast"/>
        </w:trPr>
        <w:tc>
          <w:tcPr>
            <w:tcW w:w="1980" w:type="dxa"/>
            <w:vMerge w:val="restart"/>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19</w:t>
            </w:r>
          </w:p>
        </w:tc>
        <w:tc>
          <w:tcPr>
            <w:tcW w:w="20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4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04"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atLeast" w:line="0"/>
              <w:rPr>
                <w:rFonts w:ascii="Arial" w:hAnsi="Arial" w:eastAsia="Arial" w:cs="Arial"/>
                <w:strike/>
                <w:w w:val="97"/>
                <w:sz w:val="22"/>
              </w:rPr>
            </w:pPr>
            <w:r>
              <w:rPr>
                <w:rFonts w:eastAsia="Arial" w:cs="Arial" w:ascii="Arial" w:hAnsi="Arial"/>
                <w:strike/>
                <w:w w:val="97"/>
                <w:sz w:val="22"/>
              </w:rPr>
              <w:t>to</w:t>
            </w:r>
          </w:p>
        </w:tc>
        <w:tc>
          <w:tcPr>
            <w:tcW w:w="7540" w:type="dxa"/>
            <w:gridSpan w:val="12"/>
            <w:tcBorders/>
          </w:tcPr>
          <w:p>
            <w:pPr>
              <w:pStyle w:val="Normal"/>
              <w:spacing w:lineRule="atLeast" w:line="0"/>
              <w:rPr/>
            </w:pPr>
            <w:r>
              <w:rPr>
                <w:rFonts w:eastAsia="Arial" w:cs="Arial" w:ascii="Arial" w:hAnsi="Arial"/>
                <w:sz w:val="22"/>
              </w:rPr>
              <w:t>before the seller accepting an offer in writing and until the broker has</w:t>
            </w:r>
          </w:p>
        </w:tc>
      </w:tr>
      <w:tr>
        <w:trPr>
          <w:trHeight w:val="23" w:hRule="atLeast"/>
        </w:trPr>
        <w:tc>
          <w:tcPr>
            <w:tcW w:w="1980" w:type="dxa"/>
            <w:vMerge w:val="restart"/>
            <w:tcBorders/>
          </w:tcPr>
          <w:p>
            <w:pPr>
              <w:pStyle w:val="Normal"/>
              <w:spacing w:lineRule="atLeast" w:line="0"/>
              <w:ind w:end="1580"/>
              <w:jc w:val="end"/>
              <w:rPr>
                <w:rFonts w:ascii="Arial" w:hAnsi="Arial" w:eastAsia="Arial" w:cs="Arial"/>
                <w:w w:val="97"/>
                <w:sz w:val="24"/>
              </w:rPr>
            </w:pPr>
            <w:r>
              <w:rPr>
                <w:rFonts w:eastAsia="Arial" w:cs="Arial" w:ascii="Arial" w:hAnsi="Arial"/>
                <w:w w:val="97"/>
                <w:sz w:val="24"/>
              </w:rPr>
              <w:t>20</w:t>
            </w:r>
          </w:p>
        </w:tc>
        <w:tc>
          <w:tcPr>
            <w:tcW w:w="20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4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06" w:hRule="atLeast"/>
        </w:trPr>
        <w:tc>
          <w:tcPr>
            <w:tcW w:w="1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gridSpan w:val="3"/>
            <w:tcBorders/>
          </w:tcPr>
          <w:p>
            <w:pPr>
              <w:pStyle w:val="Normal"/>
              <w:spacing w:lineRule="atLeast" w:line="0"/>
              <w:rPr>
                <w:rFonts w:ascii="Arial" w:hAnsi="Arial" w:eastAsia="Arial" w:cs="Arial"/>
                <w:sz w:val="22"/>
              </w:rPr>
            </w:pPr>
            <w:r>
              <w:rPr>
                <w:rFonts w:eastAsia="Arial" w:cs="Arial" w:ascii="Arial" w:hAnsi="Arial"/>
                <w:sz w:val="22"/>
              </w:rPr>
              <w:t>knowledge of</w:t>
            </w:r>
          </w:p>
        </w:tc>
        <w:tc>
          <w:tcPr>
            <w:tcW w:w="480" w:type="dxa"/>
            <w:tcBorders/>
          </w:tcPr>
          <w:p>
            <w:pPr>
              <w:pStyle w:val="Normal"/>
              <w:spacing w:lineRule="atLeast" w:line="0"/>
              <w:rPr>
                <w:rFonts w:ascii="Arial" w:hAnsi="Arial" w:eastAsia="Arial" w:cs="Arial"/>
                <w:strike/>
                <w:w w:val="98"/>
                <w:sz w:val="22"/>
              </w:rPr>
            </w:pPr>
            <w:r>
              <w:rPr>
                <w:rFonts w:eastAsia="Arial" w:cs="Arial" w:ascii="Arial" w:hAnsi="Arial"/>
                <w:strike/>
                <w:w w:val="98"/>
                <w:sz w:val="22"/>
              </w:rPr>
              <w:t>such</w:t>
            </w:r>
          </w:p>
        </w:tc>
        <w:tc>
          <w:tcPr>
            <w:tcW w:w="5900" w:type="dxa"/>
            <w:gridSpan w:val="9"/>
            <w:tcBorders/>
          </w:tcPr>
          <w:p>
            <w:pPr>
              <w:pStyle w:val="Normal"/>
              <w:spacing w:lineRule="atLeast" w:line="0"/>
              <w:rPr/>
            </w:pPr>
            <w:r>
              <w:rPr>
                <w:rFonts w:eastAsia="Arial" w:cs="Arial" w:ascii="Arial" w:hAnsi="Arial"/>
                <w:sz w:val="22"/>
              </w:rPr>
              <w:t>the acceptance.</w:t>
            </w:r>
          </w:p>
        </w:tc>
      </w:tr>
      <w:tr>
        <w:trPr>
          <w:trHeight w:val="23" w:hRule="atLeast"/>
        </w:trPr>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8"/>
        </w:numPr>
        <w:tabs>
          <w:tab w:val="clear" w:pos="720"/>
          <w:tab w:val="left" w:pos="1360" w:leader="none"/>
        </w:tabs>
        <w:spacing w:lineRule="atLeast" w:line="0"/>
        <w:ind w:hanging="1356" w:start="1360" w:end="0"/>
        <w:rPr>
          <w:rFonts w:ascii="Arial" w:hAnsi="Arial" w:eastAsia="Arial" w:cs="Arial"/>
          <w:sz w:val="24"/>
        </w:rPr>
      </w:pPr>
      <w:r>
        <w:rPr>
          <w:rFonts w:eastAsia="Arial" w:cs="Arial" w:ascii="Arial" w:hAnsi="Arial"/>
          <w:strike/>
          <w:sz w:val="22"/>
        </w:rPr>
        <w:t>v.</w:t>
      </w:r>
      <w:r>
        <w:rPr>
          <w:rFonts w:eastAsia="Arial" w:cs="Arial" w:ascii="Arial" w:hAnsi="Arial"/>
          <w:sz w:val="22"/>
          <w:u w:val="single"/>
        </w:rPr>
        <w:t>u.</w:t>
      </w:r>
      <w:r>
        <w:rPr>
          <w:rFonts w:eastAsia="Arial" w:cs="Arial" w:ascii="Arial" w:hAnsi="Arial"/>
          <w:sz w:val="22"/>
        </w:rPr>
        <w:t xml:space="preserve">   Any other conduct, whether of the same or of a different character than specified</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9620" w:type="dxa"/>
        <w:jc w:val="start"/>
        <w:tblInd w:w="0" w:type="dxa"/>
        <w:tblLayout w:type="fixed"/>
        <w:tblCellMar>
          <w:top w:w="0" w:type="dxa"/>
          <w:start w:w="0" w:type="dxa"/>
          <w:bottom w:w="0" w:type="dxa"/>
          <w:end w:w="0" w:type="dxa"/>
        </w:tblCellMar>
      </w:tblPr>
      <w:tblGrid>
        <w:gridCol w:w="1120"/>
        <w:gridCol w:w="850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22</w:t>
            </w:r>
          </w:p>
        </w:tc>
        <w:tc>
          <w:tcPr>
            <w:tcW w:w="850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in this subsection, which constitutes dishonesty or fraudulent conduct, whether</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23</w:t>
            </w:r>
          </w:p>
        </w:tc>
        <w:tc>
          <w:tcPr>
            <w:tcW w:w="8500" w:type="dxa"/>
            <w:tcBorders/>
          </w:tcPr>
          <w:p>
            <w:pPr>
              <w:pStyle w:val="Normal"/>
              <w:spacing w:lineRule="atLeast" w:line="0"/>
              <w:ind w:start="860" w:end="0"/>
              <w:rPr>
                <w:rFonts w:ascii="Arial" w:hAnsi="Arial" w:eastAsia="Arial" w:cs="Arial"/>
                <w:sz w:val="22"/>
              </w:rPr>
            </w:pPr>
            <w:r>
              <w:rPr>
                <w:rFonts w:eastAsia="Arial" w:cs="Arial" w:ascii="Arial" w:hAnsi="Arial"/>
                <w:sz w:val="22"/>
              </w:rPr>
              <w:t>arising within or without the pursuit of that person's licensed privilege.</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9"/>
        </w:numPr>
        <w:tabs>
          <w:tab w:val="clear" w:pos="720"/>
          <w:tab w:val="left" w:pos="1320" w:leader="none"/>
        </w:tabs>
        <w:spacing w:lineRule="atLeast" w:line="0"/>
        <w:ind w:hanging="1316" w:start="1320" w:end="0"/>
        <w:rPr>
          <w:rFonts w:ascii="Arial" w:hAnsi="Arial" w:eastAsia="Arial" w:cs="Arial"/>
          <w:sz w:val="24"/>
        </w:rPr>
      </w:pPr>
      <w:r>
        <w:rPr>
          <w:rFonts w:eastAsia="Arial" w:cs="Arial" w:ascii="Arial" w:hAnsi="Arial"/>
          <w:strike/>
          <w:sz w:val="22"/>
        </w:rPr>
        <w:t>w.</w:t>
      </w:r>
      <w:r>
        <w:rPr>
          <w:rFonts w:eastAsia="Arial" w:cs="Arial" w:ascii="Arial" w:hAnsi="Arial"/>
          <w:sz w:val="22"/>
          <w:u w:val="single"/>
        </w:rPr>
        <w:t>v.</w:t>
      </w:r>
      <w:r>
        <w:rPr>
          <w:rFonts w:eastAsia="Arial" w:cs="Arial" w:ascii="Arial" w:hAnsi="Arial"/>
          <w:sz w:val="22"/>
        </w:rPr>
        <w:t xml:space="preserve">   Any conduct </w:t>
      </w:r>
      <w:r>
        <w:rPr>
          <w:rFonts w:eastAsia="Arial" w:cs="Arial" w:ascii="Arial" w:hAnsi="Arial"/>
          <w:strike/>
          <w:sz w:val="22"/>
        </w:rPr>
        <w:t>which</w:t>
      </w:r>
      <w:r>
        <w:rPr>
          <w:rFonts w:eastAsia="Arial" w:cs="Arial" w:ascii="Arial" w:hAnsi="Arial"/>
          <w:sz w:val="22"/>
          <w:u w:val="single"/>
        </w:rPr>
        <w:t>that</w:t>
      </w:r>
      <w:r>
        <w:rPr>
          <w:rFonts w:eastAsia="Arial" w:cs="Arial" w:ascii="Arial" w:hAnsi="Arial"/>
          <w:sz w:val="22"/>
        </w:rPr>
        <w:t xml:space="preserve"> in the determination of the commission does not meet the</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tbl>
      <w:tblPr>
        <w:tblW w:w="9900" w:type="dxa"/>
        <w:jc w:val="start"/>
        <w:tblInd w:w="0" w:type="dxa"/>
        <w:tblLayout w:type="fixed"/>
        <w:tblCellMar>
          <w:top w:w="0" w:type="dxa"/>
          <w:start w:w="0" w:type="dxa"/>
          <w:bottom w:w="0" w:type="dxa"/>
          <w:end w:w="0" w:type="dxa"/>
        </w:tblCellMar>
      </w:tblPr>
      <w:tblGrid>
        <w:gridCol w:w="1120"/>
        <w:gridCol w:w="878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25</w:t>
            </w:r>
          </w:p>
        </w:tc>
        <w:tc>
          <w:tcPr>
            <w:tcW w:w="8780" w:type="dxa"/>
            <w:tcBorders/>
          </w:tcPr>
          <w:p>
            <w:pPr>
              <w:pStyle w:val="Normal"/>
              <w:spacing w:lineRule="atLeast" w:line="0"/>
              <w:ind w:start="860" w:end="0"/>
              <w:rPr>
                <w:rFonts w:ascii="Arial" w:hAnsi="Arial" w:eastAsia="Arial" w:cs="Arial"/>
                <w:sz w:val="22"/>
              </w:rPr>
            </w:pPr>
            <w:r>
              <w:rPr>
                <w:rFonts w:eastAsia="Arial" w:cs="Arial" w:ascii="Arial" w:hAnsi="Arial"/>
                <w:sz w:val="22"/>
              </w:rPr>
              <w:t>generally accepted standard of expertise, care, or professional ability expected of</w:t>
            </w:r>
          </w:p>
        </w:tc>
      </w:tr>
      <w:tr>
        <w:trPr>
          <w:trHeight w:val="426"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26</w:t>
            </w:r>
          </w:p>
        </w:tc>
        <w:tc>
          <w:tcPr>
            <w:tcW w:w="8780" w:type="dxa"/>
            <w:tcBorders/>
          </w:tcPr>
          <w:p>
            <w:pPr>
              <w:pStyle w:val="Normal"/>
              <w:spacing w:lineRule="atLeast" w:line="0"/>
              <w:ind w:start="860" w:end="0"/>
              <w:rPr>
                <w:rFonts w:ascii="Arial" w:hAnsi="Arial" w:eastAsia="Arial" w:cs="Arial"/>
                <w:sz w:val="22"/>
              </w:rPr>
            </w:pPr>
            <w:r>
              <w:rPr>
                <w:rFonts w:eastAsia="Arial" w:cs="Arial" w:ascii="Arial" w:hAnsi="Arial"/>
                <w:sz w:val="22"/>
              </w:rPr>
              <w:t>real estate brokers or salespersons, provided that any disciplinary measures by</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27</w:t>
            </w:r>
          </w:p>
        </w:tc>
        <w:tc>
          <w:tcPr>
            <w:tcW w:w="8780" w:type="dxa"/>
            <w:tcBorders/>
          </w:tcPr>
          <w:p>
            <w:pPr>
              <w:pStyle w:val="Normal"/>
              <w:spacing w:lineRule="atLeast" w:line="0"/>
              <w:ind w:start="860" w:end="0"/>
              <w:rPr>
                <w:rFonts w:ascii="Arial" w:hAnsi="Arial" w:eastAsia="Arial" w:cs="Arial"/>
                <w:sz w:val="22"/>
              </w:rPr>
            </w:pPr>
            <w:r>
              <w:rPr>
                <w:rFonts w:eastAsia="Arial" w:cs="Arial" w:ascii="Arial" w:hAnsi="Arial"/>
                <w:sz w:val="22"/>
              </w:rPr>
              <w:t>the commission under this subdivision must be limited to the issuance of a letter</w:t>
            </w:r>
          </w:p>
        </w:tc>
      </w:tr>
      <w:tr>
        <w:trPr>
          <w:trHeight w:val="426"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28</w:t>
            </w:r>
          </w:p>
        </w:tc>
        <w:tc>
          <w:tcPr>
            <w:tcW w:w="8780" w:type="dxa"/>
            <w:tcBorders/>
          </w:tcPr>
          <w:p>
            <w:pPr>
              <w:pStyle w:val="Normal"/>
              <w:spacing w:lineRule="atLeast" w:line="0"/>
              <w:ind w:start="860" w:end="0"/>
              <w:rPr>
                <w:rFonts w:ascii="Arial" w:hAnsi="Arial" w:eastAsia="Arial" w:cs="Arial"/>
                <w:sz w:val="22"/>
              </w:rPr>
            </w:pPr>
            <w:r>
              <w:rPr>
                <w:rFonts w:eastAsia="Arial" w:cs="Arial" w:ascii="Arial" w:hAnsi="Arial"/>
                <w:sz w:val="22"/>
              </w:rPr>
              <w:t>of reprimand to the offending licensee.</w:t>
            </w:r>
          </w:p>
        </w:tc>
      </w:tr>
    </w:tbl>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0"/>
        </w:numPr>
        <w:tabs>
          <w:tab w:val="clear" w:pos="720"/>
          <w:tab w:val="left" w:pos="1020" w:leader="none"/>
        </w:tabs>
        <w:spacing w:lineRule="atLeast" w:line="0"/>
        <w:ind w:hanging="1016" w:start="1020" w:end="0"/>
        <w:rPr>
          <w:rFonts w:ascii="Arial" w:hAnsi="Arial" w:eastAsia="Arial" w:cs="Arial"/>
          <w:sz w:val="24"/>
        </w:rPr>
      </w:pPr>
      <w:r>
        <w:rPr>
          <w:rFonts w:eastAsia="Arial" w:cs="Arial" w:ascii="Arial" w:hAnsi="Arial"/>
          <w:sz w:val="22"/>
        </w:rPr>
        <w:t xml:space="preserve">2.   If the commission declines or fails to approve an application submitted to </w:t>
      </w:r>
      <w:r>
        <w:rPr>
          <w:rFonts w:eastAsia="Arial" w:cs="Arial" w:ascii="Arial" w:hAnsi="Arial"/>
          <w:strike/>
          <w:sz w:val="22"/>
        </w:rPr>
        <w:t>it</w:t>
      </w:r>
      <w:r>
        <w:rPr>
          <w:rFonts w:eastAsia="Arial" w:cs="Arial" w:ascii="Arial" w:hAnsi="Arial"/>
          <w:sz w:val="22"/>
          <w:u w:val="single"/>
        </w:rPr>
        <w:t>the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50"/>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u w:val="single"/>
        </w:rPr>
        <w:t>commission</w:t>
      </w:r>
      <w:r>
        <w:rPr>
          <w:rFonts w:eastAsia="Arial" w:cs="Arial" w:ascii="Arial" w:hAnsi="Arial"/>
          <w:sz w:val="22"/>
        </w:rPr>
        <w:t xml:space="preserve">, </w:t>
      </w:r>
      <w:r>
        <w:rPr>
          <w:rFonts w:eastAsia="Arial" w:cs="Arial" w:ascii="Arial" w:hAnsi="Arial"/>
          <w:strike/>
          <w:sz w:val="22"/>
        </w:rPr>
        <w:t>it</w:t>
      </w:r>
      <w:r>
        <w:rPr>
          <w:rFonts w:eastAsia="Arial" w:cs="Arial" w:ascii="Arial" w:hAnsi="Arial"/>
          <w:sz w:val="22"/>
          <w:u w:val="single"/>
        </w:rPr>
        <w:t>the commission immediately</w:t>
      </w:r>
      <w:r>
        <w:rPr>
          <w:rFonts w:eastAsia="Arial" w:cs="Arial" w:ascii="Arial" w:hAnsi="Arial"/>
          <w:sz w:val="22"/>
        </w:rPr>
        <w:t xml:space="preserve"> shall </w:t>
      </w:r>
      <w:r>
        <w:rPr>
          <w:rFonts w:eastAsia="Arial" w:cs="Arial" w:ascii="Arial" w:hAnsi="Arial"/>
          <w:strike/>
          <w:sz w:val="22"/>
        </w:rPr>
        <w:t>immediately</w:t>
      </w:r>
      <w:r>
        <w:rPr>
          <w:rFonts w:eastAsia="Arial" w:cs="Arial" w:ascii="Arial" w:hAnsi="Arial"/>
          <w:sz w:val="22"/>
        </w:rPr>
        <w:t xml:space="preserve"> give notice of that fact to</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50"/>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the applicant, and upon request from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applicant, filed within twenty days after</w:t>
      </w:r>
    </w:p>
    <w:p>
      <w:pPr>
        <w:sectPr>
          <w:type w:val="continuous"/>
          <w:pgSz w:w="12240" w:h="15840"/>
          <w:pgMar w:left="1160" w:right="122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60" w:leader="none"/>
        </w:tabs>
        <w:spacing w:lineRule="atLeast" w:line="0"/>
        <w:ind w:start="4540" w:end="0"/>
        <w:rPr/>
      </w:pPr>
      <w:r>
        <w:rPr>
          <w:rFonts w:eastAsia="Arial" w:cs="Arial" w:ascii="Arial" w:hAnsi="Arial"/>
          <w:sz w:val="22"/>
        </w:rPr>
        <w:t>Page No. 9</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0" w:right="1180" w:gutter="0" w:header="0" w:top="657" w:footer="0" w:bottom="48"/>
          <w:formProt w:val="false"/>
          <w:textDirection w:val="lrTb"/>
          <w:docGrid w:type="default" w:linePitch="360" w:charSpace="0"/>
        </w:sectPr>
      </w:pPr>
    </w:p>
    <w:p>
      <w:pPr>
        <w:pStyle w:val="Normal"/>
        <w:spacing w:lineRule="atLeast" w:line="0"/>
        <w:ind w:start="576" w:end="0"/>
        <w:rPr>
          <w:rFonts w:ascii="Arial" w:hAnsi="Arial" w:eastAsia="Arial" w:cs="Arial"/>
          <w:sz w:val="22"/>
        </w:rPr>
      </w:pPr>
      <w:bookmarkStart w:id="12" w:name="page10"/>
      <w:bookmarkEnd w:id="12"/>
      <w:r>
        <w:rPr>
          <w:rFonts w:eastAsia="Arial" w:cs="Arial" w:ascii="Arial" w:hAnsi="Arial"/>
          <w:sz w:val="22"/>
        </w:rPr>
        <w:t>Sixty-seventh</w:t>
      </w:r>
    </w:p>
    <w:p>
      <w:pPr>
        <w:pStyle w:val="Normal"/>
        <w:spacing w:lineRule="atLeast" w:line="0"/>
        <w:ind w:start="576"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1"/>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 xml:space="preserve">the receipt of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notice, shall fix a time and place for hearing, of which twenty</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2"/>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 xml:space="preserve">days' notice must be given to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applicant and to other persons interested or</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3"/>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protesting, to offer evidence relating to the application. In such cases the commission</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4"/>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shall fix the time for such hearing on a date within sixty days from receipt of the</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request for the particular hearing, provided the time of hearing may be continued from</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6"/>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time to time with the consent of the applicant. As a result of such hearing, the</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7"/>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 xml:space="preserve">commission may </w:t>
      </w:r>
      <w:r>
        <w:rPr>
          <w:rFonts w:eastAsia="Arial" w:cs="Arial" w:ascii="Arial" w:hAnsi="Arial"/>
          <w:strike/>
          <w:sz w:val="22"/>
        </w:rPr>
        <w:t>either</w:t>
      </w:r>
      <w:r>
        <w:rPr>
          <w:rFonts w:eastAsia="Arial" w:cs="Arial" w:ascii="Arial" w:hAnsi="Arial"/>
          <w:sz w:val="22"/>
        </w:rPr>
        <w:t xml:space="preserve"> approve the application if all other applicable provisions of this</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8"/>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chapter have been met, and permit the applicant to take the examination to determine</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 xml:space="preserve">whether the applicant </w:t>
      </w:r>
      <w:r>
        <w:rPr>
          <w:rFonts w:eastAsia="Arial" w:cs="Arial" w:ascii="Arial" w:hAnsi="Arial"/>
          <w:strike/>
          <w:sz w:val="22"/>
        </w:rPr>
        <w:t>shall</w:t>
      </w:r>
      <w:r>
        <w:rPr>
          <w:rFonts w:eastAsia="Arial" w:cs="Arial" w:ascii="Arial" w:hAnsi="Arial"/>
          <w:sz w:val="22"/>
          <w:u w:val="single"/>
        </w:rPr>
        <w:t>must</w:t>
      </w:r>
      <w:r>
        <w:rPr>
          <w:rFonts w:eastAsia="Arial" w:cs="Arial" w:ascii="Arial" w:hAnsi="Arial"/>
          <w:sz w:val="22"/>
        </w:rPr>
        <w:t xml:space="preserve"> be licensed, or </w:t>
      </w:r>
      <w:r>
        <w:rPr>
          <w:rFonts w:eastAsia="Arial" w:cs="Arial" w:ascii="Arial" w:hAnsi="Arial"/>
          <w:strike/>
          <w:sz w:val="22"/>
        </w:rPr>
        <w:t>it</w:t>
      </w:r>
      <w:r>
        <w:rPr>
          <w:rFonts w:eastAsia="Arial" w:cs="Arial" w:ascii="Arial" w:hAnsi="Arial"/>
          <w:sz w:val="22"/>
          <w:u w:val="single"/>
        </w:rPr>
        <w:t>the commission</w:t>
      </w:r>
      <w:r>
        <w:rPr>
          <w:rFonts w:eastAsia="Arial" w:cs="Arial" w:ascii="Arial" w:hAnsi="Arial"/>
          <w:sz w:val="22"/>
        </w:rPr>
        <w:t xml:space="preserve"> may sustain </w:t>
      </w:r>
      <w:r>
        <w:rPr>
          <w:rFonts w:eastAsia="Arial" w:cs="Arial" w:ascii="Arial" w:hAnsi="Arial"/>
          <w:strike/>
          <w:sz w:val="22"/>
        </w:rPr>
        <w:t>its</w:t>
      </w:r>
      <w:r>
        <w:rPr>
          <w:rFonts w:eastAsia="Arial" w:cs="Arial" w:ascii="Arial" w:hAnsi="Arial"/>
          <w:sz w:val="22"/>
          <w:u w:val="single"/>
        </w:rPr>
        <w:t>the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u w:val="single"/>
        </w:rPr>
        <w:t>commission's</w:t>
      </w:r>
      <w:r>
        <w:rPr>
          <w:rFonts w:eastAsia="Arial" w:cs="Arial" w:ascii="Arial" w:hAnsi="Arial"/>
          <w:sz w:val="22"/>
        </w:rPr>
        <w:t xml:space="preserve"> prior decision refusing to approve the application.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016" w:leader="none"/>
        </w:tabs>
        <w:spacing w:lineRule="atLeast" w:line="0"/>
        <w:ind w:hanging="998" w:start="1016" w:end="0"/>
        <w:rPr>
          <w:rFonts w:ascii="Arial" w:hAnsi="Arial" w:eastAsia="Arial" w:cs="Arial"/>
          <w:sz w:val="24"/>
        </w:rPr>
      </w:pPr>
      <w:r>
        <w:rPr>
          <w:rFonts w:eastAsia="Arial" w:cs="Arial" w:ascii="Arial" w:hAnsi="Arial"/>
          <w:sz w:val="22"/>
        </w:rPr>
        <w:t>3.   A license may not be revoked or suspended, a monetary fine or actual costs may not</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be imposed, course attendance may not be required, nor any letter of reprimand</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issued except after hearing before the commission with a copy of the charges having</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been duly served upon the licensee and upon sustaining of the charges for</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suspension, revocation, fine, payment of actual costs incurred, required course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attendance, or reprimand. The provisions of chapter 28-32 apply to and govern all</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proceedings for suspension, revocation, fine, payment of actual costs incurred,</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required course attendance, or reprimand of licenses or licensees.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016" w:leader="none"/>
        </w:tabs>
        <w:spacing w:lineRule="atLeast" w:line="0"/>
        <w:ind w:hanging="1016" w:start="1016" w:end="0"/>
        <w:rPr>
          <w:rFonts w:ascii="Arial" w:hAnsi="Arial" w:eastAsia="Arial" w:cs="Arial"/>
          <w:sz w:val="24"/>
        </w:rPr>
      </w:pPr>
      <w:r>
        <w:rPr>
          <w:rFonts w:eastAsia="Arial" w:cs="Arial" w:ascii="Arial" w:hAnsi="Arial"/>
          <w:sz w:val="22"/>
        </w:rPr>
        <w:t>4.   In any order or decision issued by the commission in resolution of a disciplinary</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proceeding in which disciplinary action is imposed against a licensee, the commission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may direct the licensee to pay a fine not to exceed </w:t>
      </w:r>
      <w:r>
        <w:rPr>
          <w:rFonts w:eastAsia="Arial" w:cs="Arial" w:ascii="Arial" w:hAnsi="Arial"/>
          <w:strike/>
          <w:sz w:val="22"/>
        </w:rPr>
        <w:t>two thousand five hundred</w:t>
      </w:r>
      <w:r>
        <w:rPr>
          <w:rFonts w:eastAsia="Arial" w:cs="Arial" w:ascii="Arial" w:hAnsi="Arial"/>
          <w:sz w:val="22"/>
          <w:u w:val="single"/>
        </w:rPr>
        <w:t>five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u w:val="single"/>
        </w:rPr>
        <w:t>thousand</w:t>
      </w:r>
      <w:r>
        <w:rPr>
          <w:rFonts w:eastAsia="Arial" w:cs="Arial" w:ascii="Arial" w:hAnsi="Arial"/>
          <w:sz w:val="22"/>
        </w:rPr>
        <w:t xml:space="preserve"> dollars and actual costs, including attorney's fees, incurred by the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commission in the investigation and prosecution of the case. All fines collected must</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be deposited in the commission's license fee account.</w:t>
      </w:r>
    </w:p>
    <w:p>
      <w:pPr>
        <w:pStyle w:val="Normal"/>
        <w:spacing w:lineRule="exact" w:line="145"/>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SECTION 10. AMENDMENT.</w:t>
      </w:r>
      <w:r>
        <w:rPr>
          <w:rFonts w:eastAsia="Arial" w:cs="Arial" w:ascii="Arial" w:hAnsi="Arial"/>
          <w:sz w:val="22"/>
        </w:rPr>
        <w:t xml:space="preserve"> Section 43-23-12 of the North Dakota Century Code is</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amended and reenacted as follows:</w:t>
      </w:r>
    </w:p>
    <w:p>
      <w:pPr>
        <w:pStyle w:val="Normal"/>
        <w:spacing w:lineRule="exact" w:line="145"/>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 xml:space="preserve">43-23-12. Broker's place of business - License of </w:t>
      </w:r>
      <w:r>
        <w:rPr>
          <w:rFonts w:eastAsia="Arial" w:cs="Arial" w:ascii="Arial" w:hAnsi="Arial"/>
          <w:b/>
          <w:strike/>
          <w:sz w:val="22"/>
        </w:rPr>
        <w:t>employed</w:t>
      </w:r>
      <w:r>
        <w:rPr>
          <w:rFonts w:eastAsia="Arial" w:cs="Arial" w:ascii="Arial" w:hAnsi="Arial"/>
          <w:b/>
          <w:sz w:val="22"/>
        </w:rPr>
        <w:t xml:space="preserve"> salesperson.</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016" w:leader="none"/>
        </w:tabs>
        <w:spacing w:lineRule="atLeast" w:line="0"/>
        <w:ind w:hanging="1016" w:start="1016" w:end="0"/>
        <w:rPr>
          <w:rFonts w:ascii="Arial" w:hAnsi="Arial" w:eastAsia="Arial" w:cs="Arial"/>
          <w:sz w:val="24"/>
        </w:rPr>
      </w:pPr>
      <w:r>
        <w:rPr>
          <w:rFonts w:eastAsia="Arial" w:cs="Arial" w:ascii="Arial" w:hAnsi="Arial"/>
          <w:sz w:val="22"/>
        </w:rPr>
        <w:t xml:space="preserve">1.   Every </w:t>
      </w:r>
      <w:r>
        <w:rPr>
          <w:rFonts w:eastAsia="Arial" w:cs="Arial" w:ascii="Arial" w:hAnsi="Arial"/>
          <w:strike/>
          <w:sz w:val="22"/>
        </w:rPr>
        <w:t>person</w:t>
      </w:r>
      <w:r>
        <w:rPr>
          <w:rFonts w:eastAsia="Arial" w:cs="Arial" w:ascii="Arial" w:hAnsi="Arial"/>
          <w:sz w:val="22"/>
          <w:u w:val="single"/>
        </w:rPr>
        <w:t>individual</w:t>
      </w:r>
      <w:r>
        <w:rPr>
          <w:rFonts w:eastAsia="Arial" w:cs="Arial" w:ascii="Arial" w:hAnsi="Arial"/>
          <w:sz w:val="22"/>
        </w:rPr>
        <w:t>, partnership, association, corporation, or limited liability</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company licensed as a real estate broker is required to have and maintain a definite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place of business within this state, for the transaction of real estate business</w:t>
      </w:r>
      <w:r>
        <w:rPr>
          <w:rFonts w:eastAsia="Arial" w:cs="Arial" w:ascii="Arial" w:hAnsi="Arial"/>
          <w:sz w:val="22"/>
          <w:u w:val="single"/>
        </w:rPr>
        <w:t>, except</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60"/>
        </w:numPr>
        <w:tabs>
          <w:tab w:val="clear" w:pos="720"/>
          <w:tab w:val="left" w:pos="1496" w:leader="none"/>
        </w:tabs>
        <w:spacing w:lineRule="atLeast" w:line="0"/>
        <w:ind w:hanging="1496" w:start="1496" w:end="0"/>
        <w:rPr>
          <w:rFonts w:ascii="Arial" w:hAnsi="Arial" w:eastAsia="Arial" w:cs="Arial"/>
          <w:sz w:val="23"/>
        </w:rPr>
      </w:pPr>
      <w:r>
        <w:rPr>
          <w:rFonts w:eastAsia="Arial" w:cs="Arial" w:ascii="Arial" w:hAnsi="Arial"/>
          <w:sz w:val="21"/>
        </w:rPr>
        <w:t xml:space="preserve">as provided in section 43-23 </w:t>
      </w:r>
      <w:r>
        <w:rPr>
          <w:rFonts w:eastAsia="Arial" w:cs="Arial" w:ascii="Arial" w:hAnsi="Arial"/>
          <w:sz w:val="21"/>
          <w:u w:val="single"/>
        </w:rPr>
        <w:t>-10</w:t>
      </w:r>
      <w:r>
        <w:rPr>
          <w:rFonts w:eastAsia="Arial" w:cs="Arial" w:ascii="Arial" w:hAnsi="Arial"/>
          <w:sz w:val="21"/>
        </w:rPr>
        <w:t xml:space="preserve">. The </w:t>
      </w:r>
      <w:r>
        <w:rPr>
          <w:rFonts w:eastAsia="Arial" w:cs="Arial" w:ascii="Arial" w:hAnsi="Arial"/>
          <w:strike/>
          <w:sz w:val="21"/>
        </w:rPr>
        <w:t>certificate of registration</w:t>
      </w:r>
      <w:r>
        <w:rPr>
          <w:rFonts w:eastAsia="Arial" w:cs="Arial" w:ascii="Arial" w:hAnsi="Arial"/>
          <w:sz w:val="21"/>
          <w:u w:val="single"/>
        </w:rPr>
        <w:t>license</w:t>
      </w:r>
      <w:r>
        <w:rPr>
          <w:rFonts w:eastAsia="Arial" w:cs="Arial" w:ascii="Arial" w:hAnsi="Arial"/>
          <w:sz w:val="21"/>
        </w:rPr>
        <w:t xml:space="preserve"> as broker and the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0">
            <wp:simplePos x="0" y="0"/>
            <wp:positionH relativeFrom="column">
              <wp:posOffset>6142990</wp:posOffset>
            </wp:positionH>
            <wp:positionV relativeFrom="paragraph">
              <wp:posOffset>-287020</wp:posOffset>
            </wp:positionV>
            <wp:extent cx="39370" cy="762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472" t="-1887" r="-472" b="-1887"/>
                    <a:stretch>
                      <a:fillRect/>
                    </a:stretch>
                  </pic:blipFill>
                  <pic:spPr bwMode="auto">
                    <a:xfrm>
                      <a:off x="0" y="0"/>
                      <a:ext cx="39370" cy="7620"/>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946150</wp:posOffset>
            </wp:positionH>
            <wp:positionV relativeFrom="paragraph">
              <wp:posOffset>-17780</wp:posOffset>
            </wp:positionV>
            <wp:extent cx="1746250" cy="762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0" t="-1887" r="-10" b="-1887"/>
                    <a:stretch>
                      <a:fillRect/>
                    </a:stretch>
                  </pic:blipFill>
                  <pic:spPr bwMode="auto">
                    <a:xfrm>
                      <a:off x="0" y="0"/>
                      <a:ext cx="1746250" cy="7620"/>
                    </a:xfrm>
                    <a:prstGeom prst="rect">
                      <a:avLst/>
                    </a:prstGeom>
                  </pic:spPr>
                </pic:pic>
              </a:graphicData>
            </a:graphic>
          </wp:anchor>
        </w:drawing>
      </w:r>
    </w:p>
    <w:p>
      <w:pPr>
        <w:sectPr>
          <w:type w:val="nextPage"/>
          <w:pgSz w:w="12240" w:h="15840"/>
          <w:pgMar w:left="1164" w:right="116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56" w:leader="none"/>
        </w:tabs>
        <w:spacing w:lineRule="atLeast" w:line="0"/>
        <w:ind w:start="4536" w:end="0"/>
        <w:rPr/>
      </w:pPr>
      <w:r>
        <w:rPr>
          <w:rFonts w:eastAsia="Arial" w:cs="Arial" w:ascii="Arial" w:hAnsi="Arial"/>
          <w:sz w:val="22"/>
        </w:rPr>
        <w:t>Page No. 10</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4" w:right="1160" w:gutter="0" w:header="0" w:top="657" w:footer="0" w:bottom="48"/>
          <w:formProt w:val="false"/>
          <w:textDirection w:val="lrTb"/>
          <w:docGrid w:type="default" w:linePitch="360" w:charSpace="0"/>
        </w:sectPr>
      </w:pPr>
    </w:p>
    <w:p>
      <w:pPr>
        <w:pStyle w:val="Normal"/>
        <w:spacing w:lineRule="atLeast" w:line="0"/>
        <w:ind w:start="576" w:end="0"/>
        <w:rPr>
          <w:rFonts w:ascii="Arial" w:hAnsi="Arial" w:eastAsia="Arial" w:cs="Arial"/>
          <w:sz w:val="22"/>
        </w:rPr>
      </w:pPr>
      <w:bookmarkStart w:id="13" w:name="page11"/>
      <w:bookmarkEnd w:id="13"/>
      <w:r>
        <w:rPr>
          <w:rFonts w:eastAsia="Arial" w:cs="Arial" w:ascii="Arial" w:hAnsi="Arial"/>
          <w:sz w:val="22"/>
        </w:rPr>
        <w:t>Sixty-seventh</w:t>
      </w:r>
    </w:p>
    <w:p>
      <w:pPr>
        <w:pStyle w:val="Normal"/>
        <w:spacing w:lineRule="atLeast" w:line="0"/>
        <w:ind w:start="576"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1"/>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trike/>
          <w:sz w:val="22"/>
        </w:rPr>
        <w:t>certificate</w:t>
      </w:r>
      <w:r>
        <w:rPr>
          <w:rFonts w:eastAsia="Arial" w:cs="Arial" w:ascii="Arial" w:hAnsi="Arial"/>
          <w:sz w:val="22"/>
          <w:u w:val="single"/>
        </w:rPr>
        <w:t>license</w:t>
      </w:r>
      <w:r>
        <w:rPr>
          <w:rFonts w:eastAsia="Arial" w:cs="Arial" w:ascii="Arial" w:hAnsi="Arial"/>
          <w:sz w:val="22"/>
        </w:rPr>
        <w:t xml:space="preserve"> of each real estate salesperson </w:t>
      </w:r>
      <w:r>
        <w:rPr>
          <w:rFonts w:eastAsia="Arial" w:cs="Arial" w:ascii="Arial" w:hAnsi="Arial"/>
          <w:strike/>
          <w:sz w:val="22"/>
        </w:rPr>
        <w:t>employed by such</w:t>
      </w:r>
      <w:r>
        <w:rPr>
          <w:rFonts w:eastAsia="Arial" w:cs="Arial" w:ascii="Arial" w:hAnsi="Arial"/>
          <w:sz w:val="22"/>
          <w:u w:val="single"/>
        </w:rPr>
        <w:t>licensed under</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2"/>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u w:val="single"/>
        </w:rPr>
        <w:t>that</w:t>
      </w:r>
      <w:r>
        <w:rPr>
          <w:rFonts w:eastAsia="Arial" w:cs="Arial" w:ascii="Arial" w:hAnsi="Arial"/>
          <w:sz w:val="22"/>
        </w:rPr>
        <w:t xml:space="preserve"> broker must be prominently displayed in said office </w:t>
      </w:r>
      <w:r>
        <w:rPr>
          <w:rFonts w:eastAsia="Arial" w:cs="Arial" w:ascii="Arial" w:hAnsi="Arial"/>
          <w:sz w:val="22"/>
          <w:u w:val="single"/>
        </w:rPr>
        <w:t>or the licensee's name and</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3"/>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u w:val="single"/>
        </w:rPr>
        <w:t>license number listed on the broker's website</w:t>
      </w:r>
      <w:r>
        <w:rPr>
          <w:rFonts w:eastAsia="Arial" w:cs="Arial" w:ascii="Arial" w:hAnsi="Arial"/>
          <w:sz w:val="22"/>
        </w:rPr>
        <w:t xml:space="preserve">. The </w:t>
      </w:r>
      <w:r>
        <w:rPr>
          <w:rFonts w:eastAsia="Arial" w:cs="Arial" w:ascii="Arial" w:hAnsi="Arial"/>
          <w:strike/>
          <w:sz w:val="22"/>
        </w:rPr>
        <w:t>said</w:t>
      </w:r>
      <w:r>
        <w:rPr>
          <w:rFonts w:eastAsia="Arial" w:cs="Arial" w:ascii="Arial" w:hAnsi="Arial"/>
          <w:sz w:val="22"/>
        </w:rPr>
        <w:t xml:space="preserve"> place of business must be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4"/>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 xml:space="preserve">designated in the license, and </w:t>
      </w:r>
      <w:r>
        <w:rPr>
          <w:rFonts w:eastAsia="Arial" w:cs="Arial" w:ascii="Arial" w:hAnsi="Arial"/>
          <w:strike/>
          <w:sz w:val="22"/>
        </w:rPr>
        <w:t>no</w:t>
      </w:r>
      <w:r>
        <w:rPr>
          <w:rFonts w:eastAsia="Arial" w:cs="Arial" w:ascii="Arial" w:hAnsi="Arial"/>
          <w:sz w:val="22"/>
          <w:u w:val="single"/>
        </w:rPr>
        <w:t>a</w:t>
      </w:r>
      <w:r>
        <w:rPr>
          <w:rFonts w:eastAsia="Arial" w:cs="Arial" w:ascii="Arial" w:hAnsi="Arial"/>
          <w:sz w:val="22"/>
        </w:rPr>
        <w:t xml:space="preserve"> license issued under the authority of this chapter</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5"/>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 xml:space="preserve">may </w:t>
      </w:r>
      <w:r>
        <w:rPr>
          <w:rFonts w:eastAsia="Arial" w:cs="Arial" w:ascii="Arial" w:hAnsi="Arial"/>
          <w:sz w:val="22"/>
          <w:u w:val="single"/>
        </w:rPr>
        <w:t>not</w:t>
      </w:r>
      <w:r>
        <w:rPr>
          <w:rFonts w:eastAsia="Arial" w:cs="Arial" w:ascii="Arial" w:hAnsi="Arial"/>
          <w:sz w:val="22"/>
        </w:rPr>
        <w:t xml:space="preserve"> authorize the licensee to transact business </w:t>
      </w:r>
      <w:r>
        <w:rPr>
          <w:rFonts w:eastAsia="Arial" w:cs="Arial" w:ascii="Arial" w:hAnsi="Arial"/>
          <w:strike/>
          <w:sz w:val="22"/>
        </w:rPr>
        <w:t>at any other address</w:t>
      </w:r>
      <w:r>
        <w:rPr>
          <w:rFonts w:eastAsia="Arial" w:cs="Arial" w:ascii="Arial" w:hAnsi="Arial"/>
          <w:sz w:val="22"/>
          <w:u w:val="single"/>
        </w:rPr>
        <w:t>under any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6057900</wp:posOffset>
            </wp:positionH>
            <wp:positionV relativeFrom="paragraph">
              <wp:posOffset>-25400</wp:posOffset>
            </wp:positionV>
            <wp:extent cx="39370" cy="762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472" t="-1887" r="-472" b="-1887"/>
                    <a:stretch>
                      <a:fillRect/>
                    </a:stretch>
                  </pic:blipFill>
                  <pic:spPr bwMode="auto">
                    <a:xfrm>
                      <a:off x="0" y="0"/>
                      <a:ext cx="39370" cy="7620"/>
                    </a:xfrm>
                    <a:prstGeom prst="rect">
                      <a:avLst/>
                    </a:prstGeom>
                  </pic:spPr>
                </pic:pic>
              </a:graphicData>
            </a:graphic>
          </wp:anchor>
        </w:drawing>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6"/>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u w:val="single"/>
        </w:rPr>
        <w:t>other broker</w:t>
      </w:r>
      <w:r>
        <w:rPr>
          <w:rFonts w:eastAsia="Arial" w:cs="Arial" w:ascii="Arial" w:hAnsi="Arial"/>
          <w:sz w:val="22"/>
        </w:rPr>
        <w:t xml:space="preserve">. In case of removal from the designated </w:t>
      </w:r>
      <w:r>
        <w:rPr>
          <w:rFonts w:eastAsia="Arial" w:cs="Arial" w:ascii="Arial" w:hAnsi="Arial"/>
          <w:strike/>
          <w:sz w:val="22"/>
        </w:rPr>
        <w:t>address</w:t>
      </w:r>
      <w:r>
        <w:rPr>
          <w:rFonts w:eastAsia="Arial" w:cs="Arial" w:ascii="Arial" w:hAnsi="Arial"/>
          <w:sz w:val="22"/>
          <w:u w:val="single"/>
        </w:rPr>
        <w:t>broker</w:t>
      </w:r>
      <w:r>
        <w:rPr>
          <w:rFonts w:eastAsia="Arial" w:cs="Arial" w:ascii="Arial" w:hAnsi="Arial"/>
          <w:sz w:val="22"/>
        </w:rPr>
        <w:t>, the licensee shall</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7"/>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 xml:space="preserve">make application to the commission before </w:t>
      </w:r>
      <w:r>
        <w:rPr>
          <w:rFonts w:eastAsia="Arial" w:cs="Arial" w:ascii="Arial" w:hAnsi="Arial"/>
          <w:strike/>
          <w:sz w:val="22"/>
        </w:rPr>
        <w:t>said</w:t>
      </w:r>
      <w:r>
        <w:rPr>
          <w:rFonts w:eastAsia="Arial" w:cs="Arial" w:ascii="Arial" w:hAnsi="Arial"/>
          <w:sz w:val="22"/>
          <w:u w:val="single"/>
        </w:rPr>
        <w:t>the</w:t>
      </w:r>
      <w:r>
        <w:rPr>
          <w:rFonts w:eastAsia="Arial" w:cs="Arial" w:ascii="Arial" w:hAnsi="Arial"/>
          <w:sz w:val="22"/>
        </w:rPr>
        <w:t xml:space="preserve"> removal or within </w:t>
      </w:r>
      <w:r>
        <w:rPr>
          <w:rFonts w:eastAsia="Arial" w:cs="Arial" w:ascii="Arial" w:hAnsi="Arial"/>
          <w:strike/>
          <w:sz w:val="22"/>
        </w:rPr>
        <w:t>ten</w:t>
      </w:r>
      <w:r>
        <w:rPr>
          <w:rFonts w:eastAsia="Arial" w:cs="Arial" w:ascii="Arial" w:hAnsi="Arial"/>
          <w:sz w:val="22"/>
          <w:u w:val="single"/>
        </w:rPr>
        <w:t>five</w:t>
      </w:r>
      <w:r>
        <w:rPr>
          <w:rFonts w:eastAsia="Arial" w:cs="Arial" w:ascii="Arial" w:hAnsi="Arial"/>
          <w:sz w:val="22"/>
        </w:rPr>
        <w:t xml:space="preserve"> days after</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8"/>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trike/>
          <w:sz w:val="22"/>
        </w:rPr>
        <w:t>said</w:t>
      </w:r>
      <w:r>
        <w:rPr>
          <w:rFonts w:eastAsia="Arial" w:cs="Arial" w:ascii="Arial" w:hAnsi="Arial"/>
          <w:sz w:val="22"/>
          <w:u w:val="single"/>
        </w:rPr>
        <w:t>the</w:t>
      </w:r>
      <w:r>
        <w:rPr>
          <w:rFonts w:eastAsia="Arial" w:cs="Arial" w:ascii="Arial" w:hAnsi="Arial"/>
          <w:sz w:val="22"/>
        </w:rPr>
        <w:t xml:space="preserve"> removal, designating the new location of such office, whereupon the</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9"/>
        </w:numPr>
        <w:tabs>
          <w:tab w:val="clear" w:pos="720"/>
          <w:tab w:val="left" w:pos="1496" w:leader="none"/>
        </w:tabs>
        <w:spacing w:lineRule="atLeast" w:line="0"/>
        <w:ind w:hanging="1364" w:start="1496" w:end="0"/>
        <w:rPr>
          <w:rFonts w:ascii="Arial" w:hAnsi="Arial" w:eastAsia="Arial" w:cs="Arial"/>
          <w:sz w:val="23"/>
        </w:rPr>
      </w:pPr>
      <w:r>
        <w:rPr>
          <w:rFonts w:eastAsia="Arial" w:cs="Arial" w:ascii="Arial" w:hAnsi="Arial"/>
          <w:sz w:val="21"/>
        </w:rPr>
        <w:t xml:space="preserve">commission </w:t>
      </w:r>
      <w:r>
        <w:rPr>
          <w:rFonts w:eastAsia="Arial" w:cs="Arial" w:ascii="Arial" w:hAnsi="Arial"/>
          <w:sz w:val="21"/>
          <w:u w:val="single"/>
        </w:rPr>
        <w:t>immediately</w:t>
      </w:r>
      <w:r>
        <w:rPr>
          <w:rFonts w:eastAsia="Arial" w:cs="Arial" w:ascii="Arial" w:hAnsi="Arial"/>
          <w:sz w:val="21"/>
        </w:rPr>
        <w:t xml:space="preserve"> shall </w:t>
      </w:r>
      <w:r>
        <w:rPr>
          <w:rFonts w:eastAsia="Arial" w:cs="Arial" w:ascii="Arial" w:hAnsi="Arial"/>
          <w:strike/>
          <w:sz w:val="21"/>
        </w:rPr>
        <w:t>forthwith</w:t>
      </w:r>
      <w:r>
        <w:rPr>
          <w:rFonts w:eastAsia="Arial" w:cs="Arial" w:ascii="Arial" w:hAnsi="Arial"/>
          <w:sz w:val="21"/>
        </w:rPr>
        <w:t xml:space="preserve"> issue a new license for the new location for the</w:t>
      </w:r>
    </w:p>
    <w:p>
      <w:pPr>
        <w:pStyle w:val="Normal"/>
        <w:spacing w:lineRule="exact" w:line="16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unexpired period. The broker's home may qualify as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place of business.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016" w:leader="none"/>
        </w:tabs>
        <w:spacing w:lineRule="atLeast" w:line="0"/>
        <w:ind w:hanging="998" w:start="1016" w:end="0"/>
        <w:rPr>
          <w:rFonts w:ascii="Arial" w:hAnsi="Arial" w:eastAsia="Arial" w:cs="Arial"/>
          <w:sz w:val="24"/>
        </w:rPr>
      </w:pPr>
      <w:r>
        <w:rPr>
          <w:rFonts w:eastAsia="Arial" w:cs="Arial" w:ascii="Arial" w:hAnsi="Arial"/>
          <w:sz w:val="22"/>
        </w:rPr>
        <w:t xml:space="preserve">2.   All licenses issued to real estate salespersons </w:t>
      </w:r>
      <w:r>
        <w:rPr>
          <w:rFonts w:eastAsia="Arial" w:cs="Arial" w:ascii="Arial" w:hAnsi="Arial"/>
          <w:strike/>
          <w:sz w:val="22"/>
        </w:rPr>
        <w:t>shall</w:t>
      </w:r>
      <w:r>
        <w:rPr>
          <w:rFonts w:eastAsia="Arial" w:cs="Arial" w:ascii="Arial" w:hAnsi="Arial"/>
          <w:sz w:val="22"/>
          <w:u w:val="single"/>
        </w:rPr>
        <w:t>must</w:t>
      </w:r>
      <w:r>
        <w:rPr>
          <w:rFonts w:eastAsia="Arial" w:cs="Arial" w:ascii="Arial" w:hAnsi="Arial"/>
          <w:sz w:val="22"/>
        </w:rPr>
        <w:t xml:space="preserve"> designate the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trike/>
          <w:sz w:val="22"/>
        </w:rPr>
        <w:t>employer</w:t>
      </w:r>
      <w:r>
        <w:rPr>
          <w:rFonts w:eastAsia="Arial" w:cs="Arial" w:ascii="Arial" w:hAnsi="Arial"/>
          <w:sz w:val="22"/>
          <w:u w:val="single"/>
        </w:rPr>
        <w:t>broker</w:t>
      </w:r>
      <w:r>
        <w:rPr>
          <w:rFonts w:eastAsia="Arial" w:cs="Arial" w:ascii="Arial" w:hAnsi="Arial"/>
          <w:sz w:val="22"/>
        </w:rPr>
        <w:t xml:space="preserve"> of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salespersons. Prompt notice in writing, within </w:t>
      </w:r>
      <w:r>
        <w:rPr>
          <w:rFonts w:eastAsia="Arial" w:cs="Arial" w:ascii="Arial" w:hAnsi="Arial"/>
          <w:strike/>
          <w:sz w:val="22"/>
        </w:rPr>
        <w:t>ten</w:t>
      </w:r>
      <w:r>
        <w:rPr>
          <w:rFonts w:eastAsia="Arial" w:cs="Arial" w:ascii="Arial" w:hAnsi="Arial"/>
          <w:sz w:val="22"/>
          <w:u w:val="single"/>
        </w:rPr>
        <w:t>five</w:t>
      </w:r>
      <w:r>
        <w:rPr>
          <w:rFonts w:eastAsia="Arial" w:cs="Arial" w:ascii="Arial" w:hAnsi="Arial"/>
          <w:sz w:val="22"/>
        </w:rPr>
        <w:t xml:space="preserve"> days,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must be given to the commission by any real estate salesperson of a change of</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trike/>
          <w:sz w:val="22"/>
        </w:rPr>
        <w:t>employer</w:t>
      </w:r>
      <w:r>
        <w:rPr>
          <w:rFonts w:eastAsia="Arial" w:cs="Arial" w:ascii="Arial" w:hAnsi="Arial"/>
          <w:sz w:val="22"/>
          <w:u w:val="single"/>
        </w:rPr>
        <w:t>broker</w:t>
      </w:r>
      <w:r>
        <w:rPr>
          <w:rFonts w:eastAsia="Arial" w:cs="Arial" w:ascii="Arial" w:hAnsi="Arial"/>
          <w:sz w:val="22"/>
        </w:rPr>
        <w:t xml:space="preserve">, and of the name of the licensed broker into whose </w:t>
      </w:r>
      <w:r>
        <w:rPr>
          <w:rFonts w:eastAsia="Arial" w:cs="Arial" w:ascii="Arial" w:hAnsi="Arial"/>
          <w:strike/>
          <w:sz w:val="22"/>
        </w:rPr>
        <w:t>employ</w:t>
      </w:r>
      <w:r>
        <w:rPr>
          <w:rFonts w:eastAsia="Arial" w:cs="Arial" w:ascii="Arial" w:hAnsi="Arial"/>
          <w:sz w:val="22"/>
          <w:u w:val="single"/>
        </w:rPr>
        <w:t>supervision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the salesperson is about to enter, and a new license </w:t>
      </w:r>
      <w:r>
        <w:rPr>
          <w:rFonts w:eastAsia="Arial" w:cs="Arial" w:ascii="Arial" w:hAnsi="Arial"/>
          <w:strike/>
          <w:sz w:val="22"/>
        </w:rPr>
        <w:t>shall thereupon</w:t>
      </w:r>
      <w:r>
        <w:rPr>
          <w:rFonts w:eastAsia="Arial" w:cs="Arial" w:ascii="Arial" w:hAnsi="Arial"/>
          <w:sz w:val="22"/>
          <w:u w:val="single"/>
        </w:rPr>
        <w:t>must</w:t>
      </w:r>
      <w:r>
        <w:rPr>
          <w:rFonts w:eastAsia="Arial" w:cs="Arial" w:ascii="Arial" w:hAnsi="Arial"/>
          <w:sz w:val="22"/>
        </w:rPr>
        <w:t xml:space="preserve"> be issued by</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the commission to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salesperson for the unexpired term of the original license,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upon the return to the commission of the license previously issued. The change of</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3"/>
        </w:rPr>
      </w:pPr>
      <w:r>
        <w:rPr>
          <w:rFonts w:eastAsia="Arial" w:cs="Arial" w:ascii="Arial" w:hAnsi="Arial"/>
          <w:strike/>
          <w:sz w:val="21"/>
        </w:rPr>
        <w:t>employer or employment</w:t>
      </w:r>
      <w:r>
        <w:rPr>
          <w:rFonts w:eastAsia="Arial" w:cs="Arial" w:ascii="Arial" w:hAnsi="Arial"/>
          <w:sz w:val="21"/>
          <w:u w:val="single"/>
        </w:rPr>
        <w:t>broker</w:t>
      </w:r>
      <w:r>
        <w:rPr>
          <w:rFonts w:eastAsia="Arial" w:cs="Arial" w:ascii="Arial" w:hAnsi="Arial"/>
          <w:sz w:val="21"/>
        </w:rPr>
        <w:t xml:space="preserve"> by any licensed real estate salesperson, without notice</w:t>
      </w:r>
    </w:p>
    <w:p>
      <w:pPr>
        <w:pStyle w:val="Normal"/>
        <w:spacing w:lineRule="exact" w:line="159"/>
        <w:rPr>
          <w:rFonts w:ascii="Arial" w:hAnsi="Arial" w:eastAsia="Arial" w:cs="Arial"/>
          <w:sz w:val="23"/>
        </w:rPr>
      </w:pPr>
      <w:r>
        <w:rPr>
          <w:rFonts w:eastAsia="Arial" w:cs="Arial" w:ascii="Arial" w:hAnsi="Arial"/>
          <w:sz w:val="23"/>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to the commission </w:t>
      </w:r>
      <w:r>
        <w:rPr>
          <w:rFonts w:eastAsia="Arial" w:cs="Arial" w:ascii="Arial" w:hAnsi="Arial"/>
          <w:strike/>
          <w:sz w:val="22"/>
        </w:rPr>
        <w:t>as aforesaid</w:t>
      </w:r>
      <w:r>
        <w:rPr>
          <w:rFonts w:eastAsia="Arial" w:cs="Arial" w:ascii="Arial" w:hAnsi="Arial"/>
          <w:sz w:val="22"/>
        </w:rPr>
        <w:t xml:space="preserve">, </w:t>
      </w:r>
      <w:r>
        <w:rPr>
          <w:rFonts w:eastAsia="Arial" w:cs="Arial" w:ascii="Arial" w:hAnsi="Arial"/>
          <w:strike/>
          <w:sz w:val="22"/>
        </w:rPr>
        <w:t>shall</w:t>
      </w:r>
      <w:r>
        <w:rPr>
          <w:rFonts w:eastAsia="Arial" w:cs="Arial" w:ascii="Arial" w:hAnsi="Arial"/>
          <w:sz w:val="22"/>
        </w:rPr>
        <w:t xml:space="preserve"> automatically </w:t>
      </w:r>
      <w:r>
        <w:rPr>
          <w:rFonts w:eastAsia="Arial" w:cs="Arial" w:ascii="Arial" w:hAnsi="Arial"/>
          <w:strike/>
          <w:sz w:val="22"/>
        </w:rPr>
        <w:t>cancel</w:t>
      </w:r>
      <w:r>
        <w:rPr>
          <w:rFonts w:eastAsia="Arial" w:cs="Arial" w:ascii="Arial" w:hAnsi="Arial"/>
          <w:sz w:val="22"/>
          <w:u w:val="single"/>
        </w:rPr>
        <w:t>cancels</w:t>
      </w:r>
      <w:r>
        <w:rPr>
          <w:rFonts w:eastAsia="Arial" w:cs="Arial" w:ascii="Arial" w:hAnsi="Arial"/>
          <w:sz w:val="22"/>
        </w:rPr>
        <w:t xml:space="preserve"> that person's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license. Upon termination of a real estate salesperson's </w:t>
      </w:r>
      <w:r>
        <w:rPr>
          <w:rFonts w:eastAsia="Arial" w:cs="Arial" w:ascii="Arial" w:hAnsi="Arial"/>
          <w:strike/>
          <w:sz w:val="22"/>
        </w:rPr>
        <w:t>employment</w:t>
      </w:r>
      <w:r>
        <w:rPr>
          <w:rFonts w:eastAsia="Arial" w:cs="Arial" w:ascii="Arial" w:hAnsi="Arial"/>
          <w:sz w:val="22"/>
          <w:u w:val="single"/>
        </w:rPr>
        <w:t>supervision by a</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3"/>
        </w:rPr>
      </w:pPr>
      <w:r>
        <w:rPr>
          <w:rFonts w:eastAsia="Arial" w:cs="Arial" w:ascii="Arial" w:hAnsi="Arial"/>
          <w:sz w:val="21"/>
          <w:u w:val="single"/>
        </w:rPr>
        <w:t>broker</w:t>
      </w:r>
      <w:r>
        <w:rPr>
          <w:rFonts w:eastAsia="Arial" w:cs="Arial" w:ascii="Arial" w:hAnsi="Arial"/>
          <w:sz w:val="21"/>
        </w:rPr>
        <w:t xml:space="preserve">, the broker </w:t>
      </w:r>
      <w:r>
        <w:rPr>
          <w:rFonts w:eastAsia="Arial" w:cs="Arial" w:ascii="Arial" w:hAnsi="Arial"/>
          <w:strike/>
          <w:sz w:val="21"/>
        </w:rPr>
        <w:t>employer</w:t>
      </w:r>
      <w:r>
        <w:rPr>
          <w:rFonts w:eastAsia="Arial" w:cs="Arial" w:ascii="Arial" w:hAnsi="Arial"/>
          <w:sz w:val="21"/>
          <w:u w:val="single"/>
        </w:rPr>
        <w:t>immediately</w:t>
      </w:r>
      <w:r>
        <w:rPr>
          <w:rFonts w:eastAsia="Arial" w:cs="Arial" w:ascii="Arial" w:hAnsi="Arial"/>
          <w:sz w:val="21"/>
        </w:rPr>
        <w:t xml:space="preserve"> shall </w:t>
      </w:r>
      <w:r>
        <w:rPr>
          <w:rFonts w:eastAsia="Arial" w:cs="Arial" w:ascii="Arial" w:hAnsi="Arial"/>
          <w:strike/>
          <w:sz w:val="21"/>
        </w:rPr>
        <w:t>forthwith return the salesperson's license</w:t>
      </w:r>
    </w:p>
    <w:p>
      <w:pPr>
        <w:pStyle w:val="Normal"/>
        <w:spacing w:lineRule="exact" w:line="161"/>
        <w:rPr>
          <w:rFonts w:ascii="Arial" w:hAnsi="Arial" w:eastAsia="Arial" w:cs="Arial"/>
          <w:sz w:val="23"/>
        </w:rPr>
      </w:pPr>
      <w:r>
        <w:rPr>
          <w:rFonts w:eastAsia="Arial" w:cs="Arial" w:ascii="Arial" w:hAnsi="Arial"/>
          <w:sz w:val="23"/>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trike/>
          <w:sz w:val="22"/>
        </w:rPr>
        <w:t>to</w:t>
      </w:r>
      <w:r>
        <w:rPr>
          <w:rFonts w:eastAsia="Arial" w:cs="Arial" w:ascii="Arial" w:hAnsi="Arial"/>
          <w:sz w:val="22"/>
          <w:u w:val="single"/>
        </w:rPr>
        <w:t>notify</w:t>
      </w:r>
      <w:r>
        <w:rPr>
          <w:rFonts w:eastAsia="Arial" w:cs="Arial" w:ascii="Arial" w:hAnsi="Arial"/>
          <w:sz w:val="22"/>
        </w:rPr>
        <w:t xml:space="preserve"> the commission </w:t>
      </w:r>
      <w:r>
        <w:rPr>
          <w:rFonts w:eastAsia="Arial" w:cs="Arial" w:ascii="Arial" w:hAnsi="Arial"/>
          <w:strike/>
          <w:sz w:val="22"/>
        </w:rPr>
        <w:t xml:space="preserve">for cancellation </w:t>
      </w:r>
      <w:r>
        <w:rPr>
          <w:rFonts w:eastAsia="Arial" w:cs="Arial" w:ascii="Arial" w:hAnsi="Arial"/>
          <w:strike/>
          <w:sz w:val="22"/>
          <w:u w:val="single"/>
        </w:rPr>
        <w:t>i</w:t>
      </w:r>
      <w:r>
        <w:rPr>
          <w:rFonts w:eastAsia="Arial" w:cs="Arial" w:ascii="Arial" w:hAnsi="Arial"/>
          <w:sz w:val="22"/>
          <w:u w:val="single"/>
        </w:rPr>
        <w:t xml:space="preserve"> n writing</w:t>
      </w:r>
      <w:r>
        <w:rPr>
          <w:rFonts w:eastAsia="Arial" w:cs="Arial" w:ascii="Arial" w:hAnsi="Arial"/>
          <w:sz w:val="22"/>
        </w:rPr>
        <w:t>. It is unlawful for any real estate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salesperson to perform any of the acts contemplated by this chapter either directly or</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indirectly after that person's </w:t>
      </w:r>
      <w:r>
        <w:rPr>
          <w:rFonts w:eastAsia="Arial" w:cs="Arial" w:ascii="Arial" w:hAnsi="Arial"/>
          <w:strike/>
          <w:sz w:val="22"/>
        </w:rPr>
        <w:t>employment</w:t>
      </w:r>
      <w:r>
        <w:rPr>
          <w:rFonts w:eastAsia="Arial" w:cs="Arial" w:ascii="Arial" w:hAnsi="Arial"/>
          <w:sz w:val="22"/>
          <w:u w:val="single"/>
        </w:rPr>
        <w:t>supervision by a broker</w:t>
      </w:r>
      <w:r>
        <w:rPr>
          <w:rFonts w:eastAsia="Arial" w:cs="Arial" w:ascii="Arial" w:hAnsi="Arial"/>
          <w:sz w:val="22"/>
        </w:rPr>
        <w:t xml:space="preserve"> has been terminated</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trike/>
          <w:sz w:val="22"/>
        </w:rPr>
        <w:t>and license as a salesperson has been returned for cancellation</w:t>
      </w:r>
      <w:r>
        <w:rPr>
          <w:rFonts w:eastAsia="Arial" w:cs="Arial" w:ascii="Arial" w:hAnsi="Arial"/>
          <w:sz w:val="22"/>
        </w:rPr>
        <w:t xml:space="preserve">, until </w:t>
      </w:r>
      <w:r>
        <w:rPr>
          <w:rFonts w:eastAsia="Arial" w:cs="Arial" w:ascii="Arial" w:hAnsi="Arial"/>
          <w:strike/>
          <w:sz w:val="22"/>
        </w:rPr>
        <w:t>said</w:t>
      </w:r>
      <w:r>
        <w:rPr>
          <w:rFonts w:eastAsia="Arial" w:cs="Arial" w:ascii="Arial" w:hAnsi="Arial"/>
          <w:sz w:val="22"/>
          <w:u w:val="single"/>
        </w:rPr>
        <w:t>the</w:t>
      </w:r>
      <w:r>
        <w:rPr>
          <w:rFonts w:eastAsia="Arial" w:cs="Arial" w:ascii="Arial" w:hAnsi="Arial"/>
          <w:sz w:val="22"/>
        </w:rPr>
        <w:t xml:space="preserve"> license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has been reissued by the commission </w:t>
      </w:r>
      <w:r>
        <w:rPr>
          <w:rFonts w:eastAsia="Arial" w:cs="Arial" w:ascii="Arial" w:hAnsi="Arial"/>
          <w:sz w:val="22"/>
          <w:u w:val="single"/>
        </w:rPr>
        <w:t>to a new broker</w:t>
      </w:r>
      <w:r>
        <w:rPr>
          <w:rFonts w:eastAsia="Arial" w:cs="Arial" w:ascii="Arial" w:hAnsi="Arial"/>
          <w:sz w:val="22"/>
        </w:rPr>
        <w:t>.</w:t>
      </w:r>
    </w:p>
    <w:p>
      <w:pPr>
        <w:pStyle w:val="Normal"/>
        <w:spacing w:lineRule="exact" w:line="145"/>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SECTION 11. AMENDMENT.</w:t>
      </w:r>
      <w:r>
        <w:rPr>
          <w:rFonts w:eastAsia="Arial" w:cs="Arial" w:ascii="Arial" w:hAnsi="Arial"/>
          <w:sz w:val="22"/>
        </w:rPr>
        <w:t xml:space="preserve"> Section 43-23-13.1 of the North Dakota Century Code is</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amended and reenacted as follows:</w:t>
      </w:r>
    </w:p>
    <w:p>
      <w:pPr>
        <w:pStyle w:val="Normal"/>
        <w:spacing w:lineRule="exact" w:line="145"/>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43-23-13.1. License renewal.</w:t>
      </w:r>
    </w:p>
    <w:p>
      <w:pPr>
        <w:pStyle w:val="Normal"/>
        <w:spacing w:lineRule="exact" w:line="152"/>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sz w:val="22"/>
        </w:rPr>
        <w:t>Every person licensed to practice as a real estate broker or real estate salesperson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0"/>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trike/>
          <w:sz w:val="22"/>
        </w:rPr>
        <w:t>must</w:t>
      </w:r>
      <w:r>
        <w:rPr>
          <w:rFonts w:eastAsia="Arial" w:cs="Arial" w:ascii="Arial" w:hAnsi="Arial"/>
          <w:sz w:val="22"/>
          <w:u w:val="single"/>
        </w:rPr>
        <w:t>shall</w:t>
      </w:r>
      <w:r>
        <w:rPr>
          <w:rFonts w:eastAsia="Arial" w:cs="Arial" w:ascii="Arial" w:hAnsi="Arial"/>
          <w:sz w:val="22"/>
        </w:rPr>
        <w:t xml:space="preserve"> register annually with the commission and pay the appropriate annual renewal fee as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6275070</wp:posOffset>
            </wp:positionH>
            <wp:positionV relativeFrom="paragraph">
              <wp:posOffset>-4612640</wp:posOffset>
            </wp:positionV>
            <wp:extent cx="39370" cy="762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472" t="-1887" r="-472" b="-1887"/>
                    <a:stretch>
                      <a:fillRect/>
                    </a:stretch>
                  </pic:blipFill>
                  <pic:spPr bwMode="auto">
                    <a:xfrm>
                      <a:off x="0" y="0"/>
                      <a:ext cx="39370" cy="7620"/>
                    </a:xfrm>
                    <a:prstGeom prst="rect">
                      <a:avLst/>
                    </a:prstGeom>
                  </pic:spPr>
                </pic:pic>
              </a:graphicData>
            </a:graphic>
          </wp:anchor>
        </w:drawing>
      </w:r>
    </w:p>
    <w:p>
      <w:pPr>
        <w:sectPr>
          <w:type w:val="nextPage"/>
          <w:pgSz w:w="12240" w:h="15840"/>
          <w:pgMar w:left="1164" w:right="116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56" w:leader="none"/>
        </w:tabs>
        <w:spacing w:lineRule="atLeast" w:line="0"/>
        <w:ind w:start="4536" w:end="0"/>
        <w:rPr/>
      </w:pPr>
      <w:r>
        <w:rPr>
          <w:rFonts w:eastAsia="Arial" w:cs="Arial" w:ascii="Arial" w:hAnsi="Arial"/>
          <w:sz w:val="22"/>
        </w:rPr>
        <w:t>Page No. 11</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4" w:right="1160" w:gutter="0" w:header="0" w:top="657" w:footer="0" w:bottom="48"/>
          <w:formProt w:val="false"/>
          <w:textDirection w:val="lrTb"/>
          <w:docGrid w:type="default" w:linePitch="360" w:charSpace="0"/>
        </w:sectPr>
      </w:pPr>
    </w:p>
    <w:p>
      <w:pPr>
        <w:pStyle w:val="Normal"/>
        <w:spacing w:lineRule="atLeast" w:line="0"/>
        <w:ind w:start="576" w:end="0"/>
        <w:rPr>
          <w:rFonts w:ascii="Arial" w:hAnsi="Arial" w:eastAsia="Arial" w:cs="Arial"/>
          <w:sz w:val="22"/>
        </w:rPr>
      </w:pPr>
      <w:bookmarkStart w:id="14" w:name="page12"/>
      <w:bookmarkEnd w:id="14"/>
      <w:r>
        <w:rPr>
          <w:rFonts w:eastAsia="Arial" w:cs="Arial" w:ascii="Arial" w:hAnsi="Arial"/>
          <w:sz w:val="22"/>
        </w:rPr>
        <w:t>Sixty-seventh</w:t>
      </w:r>
    </w:p>
    <w:p>
      <w:pPr>
        <w:pStyle w:val="Normal"/>
        <w:spacing w:lineRule="atLeast" w:line="0"/>
        <w:ind w:start="576"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1"/>
        </w:numPr>
        <w:tabs>
          <w:tab w:val="clear" w:pos="720"/>
          <w:tab w:val="left" w:pos="576" w:leader="none"/>
        </w:tabs>
        <w:spacing w:lineRule="atLeast" w:line="0"/>
        <w:ind w:hanging="444" w:start="576" w:end="0"/>
        <w:rPr>
          <w:rFonts w:ascii="Arial" w:hAnsi="Arial" w:eastAsia="Arial" w:cs="Arial"/>
          <w:sz w:val="24"/>
        </w:rPr>
      </w:pPr>
      <w:r>
        <w:rPr>
          <w:rFonts w:eastAsia="Arial" w:cs="Arial" w:ascii="Arial" w:hAnsi="Arial"/>
          <w:sz w:val="22"/>
        </w:rPr>
        <w:t>provided in section 43-23-13. The application for renewal must be accompanied by such</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2"/>
        </w:numPr>
        <w:tabs>
          <w:tab w:val="clear" w:pos="720"/>
          <w:tab w:val="left" w:pos="576" w:leader="none"/>
        </w:tabs>
        <w:spacing w:lineRule="atLeast" w:line="0"/>
        <w:ind w:hanging="444" w:start="576" w:end="0"/>
        <w:rPr>
          <w:rFonts w:ascii="Arial" w:hAnsi="Arial" w:eastAsia="Arial" w:cs="Arial"/>
          <w:sz w:val="24"/>
        </w:rPr>
      </w:pPr>
      <w:r>
        <w:rPr>
          <w:rFonts w:eastAsia="Arial" w:cs="Arial" w:ascii="Arial" w:hAnsi="Arial"/>
          <w:sz w:val="22"/>
        </w:rPr>
        <w:t>certification as required by this chapter and rules of the commission to show compliance with</w:t>
      </w:r>
    </w:p>
    <w:p>
      <w:pPr>
        <w:pStyle w:val="Normal"/>
        <w:spacing w:lineRule="exact" w:line="127"/>
        <w:rPr>
          <w:rFonts w:ascii="Arial" w:hAnsi="Arial" w:eastAsia="Arial" w:cs="Arial"/>
          <w:sz w:val="24"/>
        </w:rPr>
      </w:pPr>
      <w:r>
        <w:rPr>
          <w:rFonts w:eastAsia="Arial" w:cs="Arial" w:ascii="Arial" w:hAnsi="Arial"/>
          <w:sz w:val="24"/>
        </w:rPr>
      </w:r>
    </w:p>
    <w:p>
      <w:pPr>
        <w:pStyle w:val="Normal"/>
        <w:spacing w:lineRule="auto" w:line="367"/>
        <w:ind w:start="136" w:end="140"/>
        <w:rPr/>
      </w:pPr>
      <w:r>
        <w:rPr>
          <w:rFonts w:eastAsia="Arial" w:cs="Arial" w:ascii="Arial" w:hAnsi="Arial"/>
          <w:sz w:val="24"/>
        </w:rPr>
        <w:t>3</w:t>
      </w:r>
      <w:r>
        <w:rPr>
          <w:rFonts w:eastAsia="Arial" w:cs="Arial" w:ascii="Arial" w:hAnsi="Arial"/>
          <w:sz w:val="22"/>
        </w:rPr>
        <w:t xml:space="preserve"> the educational requirements of sections 43-23-08 and 43-23-08.2, and </w:t>
      </w:r>
      <w:r>
        <w:rPr>
          <w:rFonts w:eastAsia="Arial" w:cs="Arial" w:ascii="Arial" w:hAnsi="Arial"/>
          <w:strike/>
          <w:sz w:val="22"/>
        </w:rPr>
        <w:t>is to</w:t>
      </w:r>
      <w:r>
        <w:rPr>
          <w:rFonts w:eastAsia="Arial" w:cs="Arial" w:ascii="Arial" w:hAnsi="Arial"/>
          <w:sz w:val="22"/>
          <w:u w:val="single"/>
        </w:rPr>
        <w:t>must</w:t>
      </w:r>
      <w:r>
        <w:rPr>
          <w:rFonts w:eastAsia="Arial" w:cs="Arial" w:ascii="Arial" w:hAnsi="Arial"/>
          <w:sz w:val="22"/>
        </w:rPr>
        <w:t xml:space="preserve"> be submitted</w:t>
      </w:r>
      <w:r>
        <w:rPr>
          <w:rFonts w:eastAsia="Arial" w:cs="Arial" w:ascii="Arial" w:hAnsi="Arial"/>
          <w:sz w:val="24"/>
        </w:rPr>
        <w:t xml:space="preserve"> 4</w:t>
      </w:r>
      <w:r>
        <w:rPr>
          <w:rFonts w:eastAsia="Arial" w:cs="Arial" w:ascii="Arial" w:hAnsi="Arial"/>
          <w:sz w:val="22"/>
        </w:rPr>
        <w:t xml:space="preserve"> to the commission with the appropriate fee no later than the application deadline set by the</w:t>
      </w:r>
    </w:p>
    <w:p>
      <w:pPr>
        <w:pStyle w:val="Normal"/>
        <w:spacing w:lineRule="exact" w:line="1"/>
        <w:rPr>
          <w:rFonts w:ascii="Arial" w:hAnsi="Arial" w:eastAsia="Arial" w:cs="Arial"/>
          <w:sz w:val="24"/>
        </w:rPr>
      </w:pPr>
      <w:r>
        <w:rPr>
          <w:rFonts w:eastAsia="Arial" w:cs="Arial" w:ascii="Arial" w:hAnsi="Arial"/>
          <w:sz w:val="24"/>
        </w:rPr>
      </w:r>
    </w:p>
    <w:p>
      <w:pPr>
        <w:pStyle w:val="Normal"/>
        <w:spacing w:lineRule="auto" w:line="367"/>
        <w:ind w:start="136" w:end="340"/>
        <w:rPr/>
      </w:pPr>
      <w:r>
        <w:rPr>
          <w:rFonts w:eastAsia="Arial" w:cs="Arial" w:ascii="Arial" w:hAnsi="Arial"/>
          <w:sz w:val="24"/>
        </w:rPr>
        <w:t>5</w:t>
      </w:r>
      <w:r>
        <w:rPr>
          <w:rFonts w:eastAsia="Arial" w:cs="Arial" w:ascii="Arial" w:hAnsi="Arial"/>
          <w:sz w:val="22"/>
        </w:rPr>
        <w:t xml:space="preserve"> commission. A licensee </w:t>
      </w:r>
      <w:r>
        <w:rPr>
          <w:rFonts w:eastAsia="Arial" w:cs="Arial" w:ascii="Arial" w:hAnsi="Arial"/>
          <w:strike/>
          <w:sz w:val="22"/>
        </w:rPr>
        <w:t>who</w:t>
      </w:r>
      <w:r>
        <w:rPr>
          <w:rFonts w:eastAsia="Arial" w:cs="Arial" w:ascii="Arial" w:hAnsi="Arial"/>
          <w:sz w:val="22"/>
          <w:u w:val="single"/>
        </w:rPr>
        <w:t>that</w:t>
      </w:r>
      <w:r>
        <w:rPr>
          <w:rFonts w:eastAsia="Arial" w:cs="Arial" w:ascii="Arial" w:hAnsi="Arial"/>
          <w:sz w:val="22"/>
        </w:rPr>
        <w:t xml:space="preserve"> fails to file a timely application for the renewal of any license</w:t>
      </w:r>
      <w:r>
        <w:rPr>
          <w:rFonts w:eastAsia="Arial" w:cs="Arial" w:ascii="Arial" w:hAnsi="Arial"/>
          <w:sz w:val="24"/>
        </w:rPr>
        <w:t xml:space="preserve"> 6</w:t>
      </w:r>
      <w:r>
        <w:rPr>
          <w:rFonts w:eastAsia="Arial" w:cs="Arial" w:ascii="Arial" w:hAnsi="Arial"/>
          <w:sz w:val="22"/>
        </w:rPr>
        <w:t xml:space="preserve"> and pay the renewal fee on or before the application deadline may file a late renewal</w:t>
      </w:r>
    </w:p>
    <w:p>
      <w:pPr>
        <w:pStyle w:val="Normal"/>
        <w:spacing w:lineRule="exact" w:line="1"/>
        <w:rPr>
          <w:rFonts w:ascii="Arial" w:hAnsi="Arial" w:eastAsia="Arial" w:cs="Arial"/>
          <w:sz w:val="24"/>
        </w:rPr>
      </w:pPr>
      <w:r>
        <w:rPr>
          <w:rFonts w:eastAsia="Arial" w:cs="Arial" w:ascii="Arial" w:hAnsi="Arial"/>
          <w:sz w:val="24"/>
        </w:rPr>
      </w:r>
    </w:p>
    <w:p>
      <w:pPr>
        <w:pStyle w:val="Normal"/>
        <w:spacing w:lineRule="atLeast" w:line="0"/>
        <w:ind w:start="136" w:end="0"/>
        <w:rPr/>
      </w:pPr>
      <w:r>
        <w:rPr>
          <w:rFonts w:eastAsia="Arial" w:cs="Arial" w:ascii="Arial" w:hAnsi="Arial"/>
          <w:sz w:val="24"/>
        </w:rPr>
        <w:t>7</w:t>
      </w:r>
      <w:r>
        <w:rPr>
          <w:rFonts w:eastAsia="Arial" w:cs="Arial" w:ascii="Arial" w:hAnsi="Arial"/>
          <w:sz w:val="22"/>
        </w:rPr>
        <w:t xml:space="preserve">   application, together with the required educational certification, before </w:t>
      </w:r>
      <w:r>
        <w:rPr>
          <w:rFonts w:eastAsia="Arial" w:cs="Arial" w:ascii="Arial" w:hAnsi="Arial"/>
          <w:strike/>
          <w:sz w:val="22"/>
        </w:rPr>
        <w:t>March first</w:t>
      </w:r>
      <w:r>
        <w:rPr>
          <w:rFonts w:eastAsia="Arial" w:cs="Arial" w:ascii="Arial" w:hAnsi="Arial"/>
          <w:sz w:val="22"/>
          <w:u w:val="single"/>
        </w:rPr>
        <w:t>January</w:t>
      </w:r>
    </w:p>
    <w:p>
      <w:pPr>
        <w:pStyle w:val="Normal"/>
        <w:spacing w:lineRule="exact" w:line="150"/>
        <w:rPr>
          <w:rFonts w:ascii="Arial" w:hAnsi="Arial" w:eastAsia="Arial" w:cs="Arial"/>
          <w:sz w:val="24"/>
          <w:u w:val="single"/>
        </w:rPr>
      </w:pPr>
      <w:r>
        <w:rPr>
          <w:rFonts w:eastAsia="Arial" w:cs="Arial" w:ascii="Arial" w:hAnsi="Arial"/>
          <w:sz w:val="24"/>
          <w:u w:val="single"/>
        </w:rPr>
      </w:r>
    </w:p>
    <w:p>
      <w:pPr>
        <w:pStyle w:val="Normal"/>
        <w:spacing w:lineRule="auto" w:line="367"/>
        <w:ind w:start="136" w:end="0"/>
        <w:rPr/>
      </w:pPr>
      <w:r>
        <w:rPr>
          <w:rFonts w:eastAsia="Arial" w:cs="Arial" w:ascii="Arial" w:hAnsi="Arial"/>
          <w:sz w:val="24"/>
        </w:rPr>
        <w:t>8</w:t>
      </w:r>
      <w:r>
        <w:rPr>
          <w:rFonts w:eastAsia="Arial" w:cs="Arial" w:ascii="Arial" w:hAnsi="Arial"/>
          <w:sz w:val="22"/>
        </w:rPr>
        <w:t xml:space="preserve"> </w:t>
      </w:r>
      <w:r>
        <w:rPr>
          <w:rFonts w:eastAsia="Arial" w:cs="Arial" w:ascii="Arial" w:hAnsi="Arial"/>
          <w:sz w:val="22"/>
          <w:u w:val="single"/>
        </w:rPr>
        <w:t>fifteenth</w:t>
      </w:r>
      <w:r>
        <w:rPr>
          <w:rFonts w:eastAsia="Arial" w:cs="Arial" w:ascii="Arial" w:hAnsi="Arial"/>
          <w:sz w:val="22"/>
        </w:rPr>
        <w:t xml:space="preserve"> of the subsequent year and shall pay, in addition to the renewal fee, a late fee as set by</w:t>
      </w:r>
      <w:r>
        <w:rPr>
          <w:rFonts w:eastAsia="Arial" w:cs="Arial" w:ascii="Arial" w:hAnsi="Arial"/>
          <w:sz w:val="24"/>
        </w:rPr>
        <w:t xml:space="preserve"> 9</w:t>
      </w:r>
      <w:r>
        <w:rPr>
          <w:rFonts w:eastAsia="Arial" w:cs="Arial" w:ascii="Arial" w:hAnsi="Arial"/>
          <w:sz w:val="22"/>
        </w:rPr>
        <w:t xml:space="preserve"> the commission for each month or fraction </w:t>
      </w:r>
      <w:r>
        <w:rPr>
          <w:rFonts w:eastAsia="Arial" w:cs="Arial" w:ascii="Arial" w:hAnsi="Arial"/>
          <w:strike/>
          <w:sz w:val="22"/>
        </w:rPr>
        <w:t>thereof</w:t>
      </w:r>
      <w:r>
        <w:rPr>
          <w:rFonts w:eastAsia="Arial" w:cs="Arial" w:ascii="Arial" w:hAnsi="Arial"/>
          <w:sz w:val="22"/>
          <w:u w:val="single"/>
        </w:rPr>
        <w:t>of a month</w:t>
      </w:r>
      <w:r>
        <w:rPr>
          <w:rFonts w:eastAsia="Arial" w:cs="Arial" w:ascii="Arial" w:hAnsi="Arial"/>
          <w:sz w:val="22"/>
        </w:rPr>
        <w:t xml:space="preserve"> after the application deadline. Any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
            <wp:simplePos x="0" y="0"/>
            <wp:positionH relativeFrom="column">
              <wp:posOffset>5858510</wp:posOffset>
            </wp:positionH>
            <wp:positionV relativeFrom="paragraph">
              <wp:posOffset>-646430</wp:posOffset>
            </wp:positionV>
            <wp:extent cx="39370" cy="762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472" t="-1887" r="-472" b="-1887"/>
                    <a:stretch>
                      <a:fillRect/>
                    </a:stretch>
                  </pic:blipFill>
                  <pic:spPr bwMode="auto">
                    <a:xfrm>
                      <a:off x="0" y="0"/>
                      <a:ext cx="39370" cy="7620"/>
                    </a:xfrm>
                    <a:prstGeom prst="rect">
                      <a:avLst/>
                    </a:prstGeom>
                  </pic:spPr>
                </pic:pic>
              </a:graphicData>
            </a:graphic>
          </wp:anchor>
        </w:drawing>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license not renewed by </w:t>
      </w:r>
      <w:r>
        <w:rPr>
          <w:rFonts w:eastAsia="Arial" w:cs="Arial" w:ascii="Arial" w:hAnsi="Arial"/>
          <w:strike/>
          <w:sz w:val="22"/>
        </w:rPr>
        <w:t>March first</w:t>
      </w:r>
      <w:r>
        <w:rPr>
          <w:rFonts w:eastAsia="Arial" w:cs="Arial" w:ascii="Arial" w:hAnsi="Arial"/>
          <w:sz w:val="22"/>
          <w:u w:val="single"/>
        </w:rPr>
        <w:t>January fifteenth</w:t>
      </w:r>
      <w:r>
        <w:rPr>
          <w:rFonts w:eastAsia="Arial" w:cs="Arial" w:ascii="Arial" w:hAnsi="Arial"/>
          <w:sz w:val="22"/>
        </w:rPr>
        <w:t xml:space="preserve"> must be canceled. The cancellation must be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58" w:start="576" w:end="0"/>
        <w:rPr>
          <w:rFonts w:ascii="Arial" w:hAnsi="Arial" w:eastAsia="Arial" w:cs="Arial"/>
          <w:sz w:val="24"/>
        </w:rPr>
      </w:pPr>
      <w:r>
        <w:rPr>
          <w:rFonts w:eastAsia="Arial" w:cs="Arial" w:ascii="Arial" w:hAnsi="Arial"/>
          <w:sz w:val="22"/>
        </w:rPr>
        <w:t>performed without any notice or opportunity for hearing. Any person whose license has been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canceled and </w:t>
      </w:r>
      <w:r>
        <w:rPr>
          <w:rFonts w:eastAsia="Arial" w:cs="Arial" w:ascii="Arial" w:hAnsi="Arial"/>
          <w:strike/>
          <w:sz w:val="22"/>
        </w:rPr>
        <w:t>who</w:t>
      </w:r>
      <w:r>
        <w:rPr>
          <w:rFonts w:eastAsia="Arial" w:cs="Arial" w:ascii="Arial" w:hAnsi="Arial"/>
          <w:sz w:val="22"/>
          <w:u w:val="single"/>
        </w:rPr>
        <w:t>which</w:t>
      </w:r>
      <w:r>
        <w:rPr>
          <w:rFonts w:eastAsia="Arial" w:cs="Arial" w:ascii="Arial" w:hAnsi="Arial"/>
          <w:sz w:val="22"/>
        </w:rPr>
        <w:t xml:space="preserve"> desires relicensure must be required to satisfy the application and</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examination requirements for prospective licensees in accordance with this chapter and rules of</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the commission.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976" w:leader="none"/>
        </w:tabs>
        <w:spacing w:lineRule="atLeast" w:line="0"/>
        <w:ind w:hanging="976" w:start="976" w:end="0"/>
        <w:rPr>
          <w:rFonts w:ascii="Arial" w:hAnsi="Arial" w:eastAsia="Arial" w:cs="Arial"/>
          <w:sz w:val="23"/>
        </w:rPr>
      </w:pPr>
      <w:r>
        <w:rPr>
          <w:rFonts w:eastAsia="Arial" w:cs="Arial" w:ascii="Arial" w:hAnsi="Arial"/>
          <w:strike/>
          <w:sz w:val="21"/>
        </w:rPr>
        <w:t>No</w:t>
      </w:r>
      <w:r>
        <w:rPr>
          <w:rFonts w:eastAsia="Arial" w:cs="Arial" w:ascii="Arial" w:hAnsi="Arial"/>
          <w:sz w:val="21"/>
          <w:u w:val="single"/>
        </w:rPr>
        <w:t>A</w:t>
      </w:r>
      <w:r>
        <w:rPr>
          <w:rFonts w:eastAsia="Arial" w:cs="Arial" w:ascii="Arial" w:hAnsi="Arial"/>
          <w:sz w:val="21"/>
        </w:rPr>
        <w:t xml:space="preserve"> licensee may </w:t>
      </w:r>
      <w:r>
        <w:rPr>
          <w:rFonts w:eastAsia="Arial" w:cs="Arial" w:ascii="Arial" w:hAnsi="Arial"/>
          <w:sz w:val="21"/>
          <w:u w:val="single"/>
        </w:rPr>
        <w:t>not</w:t>
      </w:r>
      <w:r>
        <w:rPr>
          <w:rFonts w:eastAsia="Arial" w:cs="Arial" w:ascii="Arial" w:hAnsi="Arial"/>
          <w:sz w:val="21"/>
        </w:rPr>
        <w:t xml:space="preserve"> engage in any activity after December thirty-first of any year for which</w:t>
      </w:r>
    </w:p>
    <w:p>
      <w:pPr>
        <w:pStyle w:val="Normal"/>
        <w:spacing w:lineRule="exact" w:line="161"/>
        <w:rPr>
          <w:rFonts w:ascii="Arial" w:hAnsi="Arial" w:eastAsia="Arial" w:cs="Arial"/>
          <w:sz w:val="23"/>
        </w:rPr>
      </w:pPr>
      <w:r>
        <w:rPr>
          <w:rFonts w:eastAsia="Arial" w:cs="Arial" w:ascii="Arial" w:hAnsi="Arial"/>
          <w:sz w:val="23"/>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 license is required under this chapter unless that person's license has been renewed by the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commission.</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SECTION 12. AMENDMENT.</w:t>
      </w:r>
      <w:r>
        <w:rPr>
          <w:rFonts w:eastAsia="Arial" w:cs="Arial" w:ascii="Arial" w:hAnsi="Arial"/>
          <w:sz w:val="22"/>
        </w:rPr>
        <w:t xml:space="preserve"> Section 43-23-14.1 of the North Dakota Century Code is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amended and reenacted as follows:</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b/>
          <w:sz w:val="22"/>
        </w:rPr>
        <w:t>43-23-14.1. Handling of funds by brokers.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976" w:leader="none"/>
        </w:tabs>
        <w:spacing w:lineRule="atLeast" w:line="0"/>
        <w:ind w:hanging="976" w:start="976" w:end="0"/>
        <w:rPr>
          <w:rFonts w:ascii="Arial" w:hAnsi="Arial" w:eastAsia="Arial" w:cs="Arial"/>
          <w:sz w:val="24"/>
        </w:rPr>
      </w:pPr>
      <w:r>
        <w:rPr>
          <w:rFonts w:eastAsia="Arial" w:cs="Arial" w:ascii="Arial" w:hAnsi="Arial"/>
          <w:sz w:val="22"/>
        </w:rPr>
        <w:t xml:space="preserve">Except as otherwise provided in this section, every broker </w:t>
      </w:r>
      <w:r>
        <w:rPr>
          <w:rFonts w:eastAsia="Arial" w:cs="Arial" w:ascii="Arial" w:hAnsi="Arial"/>
          <w:strike/>
          <w:sz w:val="22"/>
        </w:rPr>
        <w:t>shall</w:t>
      </w:r>
      <w:r>
        <w:rPr>
          <w:rFonts w:eastAsia="Arial" w:cs="Arial" w:ascii="Arial" w:hAnsi="Arial"/>
          <w:sz w:val="22"/>
        </w:rPr>
        <w:t xml:space="preserve">, at all times, </w:t>
      </w:r>
      <w:r>
        <w:rPr>
          <w:rFonts w:eastAsia="Arial" w:cs="Arial" w:ascii="Arial" w:hAnsi="Arial"/>
          <w:sz w:val="22"/>
          <w:u w:val="single"/>
        </w:rPr>
        <w:t>shall</w:t>
      </w:r>
      <w:r>
        <w:rPr>
          <w:rFonts w:eastAsia="Arial" w:cs="Arial" w:ascii="Arial" w:hAnsi="Arial"/>
          <w:sz w:val="22"/>
        </w:rPr>
        <w:t xml:space="preserve"> maintain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in the broker's name or firm name, a separate, noninterest- bearing trust account designated as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such in a federally insured financial institution in this state in which the broker </w:t>
      </w:r>
      <w:r>
        <w:rPr>
          <w:rFonts w:eastAsia="Arial" w:cs="Arial" w:ascii="Arial" w:hAnsi="Arial"/>
          <w:strike/>
          <w:sz w:val="22"/>
        </w:rPr>
        <w:t>shall</w:t>
      </w:r>
      <w:r>
        <w:rPr>
          <w:rFonts w:eastAsia="Arial" w:cs="Arial" w:ascii="Arial" w:hAnsi="Arial"/>
          <w:sz w:val="22"/>
        </w:rPr>
        <w:t xml:space="preserve"> immediately</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u w:val="single"/>
        </w:rPr>
        <w:t>shall</w:t>
      </w:r>
      <w:r>
        <w:rPr>
          <w:rFonts w:eastAsia="Arial" w:cs="Arial" w:ascii="Arial" w:hAnsi="Arial"/>
          <w:sz w:val="22"/>
        </w:rPr>
        <w:t xml:space="preserve"> place as a demand deposit all funds not the broker's own coming into the broker's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possession, in accordance with rules adopted by the commission. This requirement extends to</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funds in which the broker may have some future interest or claim and includes earnest money</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deposits. </w:t>
      </w:r>
      <w:r>
        <w:rPr>
          <w:rFonts w:eastAsia="Arial" w:cs="Arial" w:ascii="Arial" w:hAnsi="Arial"/>
          <w:strike/>
          <w:sz w:val="22"/>
        </w:rPr>
        <w:t>Provided, the deposit of funds may be made in an interest-bearing account in a</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trike/>
          <w:sz w:val="22"/>
        </w:rPr>
        <w:t>federally insured bank, trust company, savings and loan association, or credit union if all parties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trike/>
          <w:sz w:val="22"/>
        </w:rPr>
        <w:t>having an interest in the funds have agreed in writing and if a copy of the agreement is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trike/>
          <w:sz w:val="22"/>
        </w:rPr>
        <w:t>maintained on file by the broker.</w:t>
      </w:r>
      <w:r>
        <w:rPr>
          <w:rFonts w:eastAsia="Arial" w:cs="Arial" w:ascii="Arial" w:hAnsi="Arial"/>
          <w:sz w:val="22"/>
        </w:rPr>
        <w:t xml:space="preserve"> A broker may not commingle the broker's personal funds or</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73"/>
        </w:numPr>
        <w:tabs>
          <w:tab w:val="clear" w:pos="720"/>
          <w:tab w:val="left" w:pos="576" w:leader="none"/>
        </w:tabs>
        <w:spacing w:lineRule="atLeast" w:line="0"/>
        <w:ind w:hanging="576" w:start="576" w:end="0"/>
        <w:rPr>
          <w:rFonts w:ascii="Arial" w:hAnsi="Arial" w:eastAsia="Arial" w:cs="Arial"/>
          <w:sz w:val="24"/>
        </w:rPr>
      </w:pPr>
      <w:r>
        <w:rPr>
          <w:rFonts w:eastAsia="Arial" w:cs="Arial" w:ascii="Arial" w:hAnsi="Arial"/>
          <w:sz w:val="22"/>
        </w:rPr>
        <w:t xml:space="preserve">other funds in a trust account, except </w:t>
      </w:r>
      <w:r>
        <w:rPr>
          <w:rFonts w:eastAsia="Arial" w:cs="Arial" w:ascii="Arial" w:hAnsi="Arial"/>
          <w:strike/>
          <w:sz w:val="22"/>
        </w:rPr>
        <w:t>that</w:t>
      </w:r>
      <w:r>
        <w:rPr>
          <w:rFonts w:eastAsia="Arial" w:cs="Arial" w:ascii="Arial" w:hAnsi="Arial"/>
          <w:sz w:val="22"/>
        </w:rPr>
        <w:t xml:space="preserve"> a broker may deposit and keep a sum not to exceed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
            <wp:simplePos x="0" y="0"/>
            <wp:positionH relativeFrom="column">
              <wp:posOffset>3188970</wp:posOffset>
            </wp:positionH>
            <wp:positionV relativeFrom="paragraph">
              <wp:posOffset>-2453640</wp:posOffset>
            </wp:positionV>
            <wp:extent cx="1281430" cy="762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14" t="-1887" r="-14" b="-1887"/>
                    <a:stretch>
                      <a:fillRect/>
                    </a:stretch>
                  </pic:blipFill>
                  <pic:spPr bwMode="auto">
                    <a:xfrm>
                      <a:off x="0" y="0"/>
                      <a:ext cx="1281430" cy="7620"/>
                    </a:xfrm>
                    <a:prstGeom prst="rect">
                      <a:avLst/>
                    </a:prstGeom>
                  </pic:spPr>
                </pic:pic>
              </a:graphicData>
            </a:graphic>
          </wp:anchor>
        </w:drawing>
      </w:r>
    </w:p>
    <w:p>
      <w:pPr>
        <w:sectPr>
          <w:type w:val="nextPage"/>
          <w:pgSz w:w="12240" w:h="15840"/>
          <w:pgMar w:left="1164" w:right="116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56" w:leader="none"/>
        </w:tabs>
        <w:spacing w:lineRule="atLeast" w:line="0"/>
        <w:ind w:start="4536" w:end="0"/>
        <w:rPr/>
      </w:pPr>
      <w:r>
        <w:rPr>
          <w:rFonts w:eastAsia="Arial" w:cs="Arial" w:ascii="Arial" w:hAnsi="Arial"/>
          <w:sz w:val="22"/>
        </w:rPr>
        <w:t>Page No. 12</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4" w:right="1160" w:gutter="0" w:header="0" w:top="657" w:footer="0" w:bottom="48"/>
          <w:formProt w:val="false"/>
          <w:textDirection w:val="lrTb"/>
          <w:docGrid w:type="default" w:linePitch="360" w:charSpace="0"/>
        </w:sectPr>
      </w:pPr>
    </w:p>
    <w:p>
      <w:pPr>
        <w:pStyle w:val="Normal"/>
        <w:spacing w:lineRule="atLeast" w:line="0"/>
        <w:ind w:start="580" w:end="0"/>
        <w:rPr>
          <w:rFonts w:ascii="Arial" w:hAnsi="Arial" w:eastAsia="Arial" w:cs="Arial"/>
          <w:sz w:val="22"/>
        </w:rPr>
      </w:pPr>
      <w:bookmarkStart w:id="15" w:name="page13"/>
      <w:bookmarkEnd w:id="15"/>
      <w:r>
        <w:rPr>
          <w:rFonts w:eastAsia="Arial" w:cs="Arial" w:ascii="Arial" w:hAnsi="Arial"/>
          <w:sz w:val="22"/>
        </w:rPr>
        <w:t>Sixty-seventh</w:t>
      </w:r>
    </w:p>
    <w:p>
      <w:pPr>
        <w:pStyle w:val="Normal"/>
        <w:spacing w:lineRule="atLeast" w:line="0"/>
        <w:ind w:start="580"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4"/>
        </w:numPr>
        <w:tabs>
          <w:tab w:val="clear" w:pos="720"/>
          <w:tab w:val="left" w:pos="580" w:leader="none"/>
        </w:tabs>
        <w:spacing w:lineRule="atLeast" w:line="0"/>
        <w:ind w:hanging="444" w:start="580" w:end="0"/>
        <w:rPr>
          <w:rFonts w:ascii="Arial" w:hAnsi="Arial" w:eastAsia="Arial" w:cs="Arial"/>
          <w:sz w:val="24"/>
        </w:rPr>
      </w:pPr>
      <w:r>
        <w:rPr>
          <w:rFonts w:eastAsia="Arial" w:cs="Arial" w:ascii="Arial" w:hAnsi="Arial"/>
          <w:sz w:val="22"/>
        </w:rPr>
        <w:t>five hundred dollars in the account from the broker's personal funds, which sum must be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580" w:leader="none"/>
        </w:tabs>
        <w:spacing w:lineRule="atLeast" w:line="0"/>
        <w:ind w:hanging="444" w:start="580" w:end="0"/>
        <w:rPr>
          <w:rFonts w:ascii="Arial" w:hAnsi="Arial" w:eastAsia="Arial" w:cs="Arial"/>
          <w:sz w:val="24"/>
        </w:rPr>
      </w:pPr>
      <w:r>
        <w:rPr>
          <w:rFonts w:eastAsia="Arial" w:cs="Arial" w:ascii="Arial" w:hAnsi="Arial"/>
          <w:sz w:val="22"/>
        </w:rPr>
        <w:t>specifically identified and deposited to cover service charges related to the trust account. In</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6"/>
        </w:numPr>
        <w:tabs>
          <w:tab w:val="clear" w:pos="720"/>
          <w:tab w:val="left" w:pos="580" w:leader="none"/>
        </w:tabs>
        <w:spacing w:lineRule="atLeast" w:line="0"/>
        <w:ind w:hanging="444" w:start="580" w:end="0"/>
        <w:rPr>
          <w:rFonts w:ascii="Arial" w:hAnsi="Arial" w:eastAsia="Arial" w:cs="Arial"/>
          <w:sz w:val="24"/>
        </w:rPr>
      </w:pPr>
      <w:r>
        <w:rPr>
          <w:rFonts w:eastAsia="Arial" w:cs="Arial" w:ascii="Arial" w:hAnsi="Arial"/>
          <w:sz w:val="22"/>
        </w:rPr>
        <w:t>conjunction with the account, the broker shall maintain at the broker's usual place of business,</w:t>
      </w:r>
    </w:p>
    <w:p>
      <w:pPr>
        <w:pStyle w:val="Normal"/>
        <w:spacing w:lineRule="exact" w:line="129"/>
        <w:rPr>
          <w:rFonts w:ascii="Arial" w:hAnsi="Arial" w:eastAsia="Arial" w:cs="Arial"/>
          <w:sz w:val="24"/>
        </w:rPr>
      </w:pPr>
      <w:r>
        <w:rPr>
          <w:rFonts w:eastAsia="Arial" w:cs="Arial" w:ascii="Arial" w:hAnsi="Arial"/>
          <w:sz w:val="24"/>
        </w:rPr>
      </w:r>
    </w:p>
    <w:p>
      <w:pPr>
        <w:pStyle w:val="Normal"/>
        <w:spacing w:lineRule="auto" w:line="367"/>
        <w:ind w:start="140" w:end="40"/>
        <w:rPr/>
      </w:pPr>
      <w:r>
        <w:rPr>
          <w:rFonts w:eastAsia="Arial" w:cs="Arial" w:ascii="Arial" w:hAnsi="Arial"/>
          <w:sz w:val="24"/>
        </w:rPr>
        <w:t>4</w:t>
      </w:r>
      <w:r>
        <w:rPr>
          <w:rFonts w:eastAsia="Arial" w:cs="Arial" w:ascii="Arial" w:hAnsi="Arial"/>
          <w:sz w:val="22"/>
        </w:rPr>
        <w:t xml:space="preserve"> books, records, contracts, and other necessary documents so </w:t>
      </w:r>
      <w:r>
        <w:rPr>
          <w:rFonts w:eastAsia="Arial" w:cs="Arial" w:ascii="Arial" w:hAnsi="Arial"/>
          <w:strike/>
          <w:sz w:val="22"/>
        </w:rPr>
        <w:t>that</w:t>
      </w:r>
      <w:r>
        <w:rPr>
          <w:rFonts w:eastAsia="Arial" w:cs="Arial" w:ascii="Arial" w:hAnsi="Arial"/>
          <w:sz w:val="22"/>
        </w:rPr>
        <w:t xml:space="preserve"> the adequacy of the account</w:t>
      </w:r>
      <w:r>
        <w:rPr>
          <w:rFonts w:eastAsia="Arial" w:cs="Arial" w:ascii="Arial" w:hAnsi="Arial"/>
          <w:sz w:val="24"/>
        </w:rPr>
        <w:t xml:space="preserve"> 5</w:t>
      </w:r>
      <w:r>
        <w:rPr>
          <w:rFonts w:eastAsia="Arial" w:cs="Arial" w:ascii="Arial" w:hAnsi="Arial"/>
          <w:sz w:val="22"/>
        </w:rPr>
        <w:t xml:space="preserve"> may be determined at any time. Trust accounts and other records must be open to inspection</w:t>
      </w:r>
      <w:r>
        <w:rPr>
          <w:rFonts w:eastAsia="Arial" w:cs="Arial" w:ascii="Arial" w:hAnsi="Arial"/>
          <w:sz w:val="24"/>
        </w:rPr>
        <w:t xml:space="preserve"> 6</w:t>
      </w:r>
      <w:r>
        <w:rPr>
          <w:rFonts w:eastAsia="Arial" w:cs="Arial" w:ascii="Arial" w:hAnsi="Arial"/>
          <w:sz w:val="22"/>
        </w:rPr>
        <w:t xml:space="preserve"> by the commission and </w:t>
      </w:r>
      <w:r>
        <w:rPr>
          <w:rFonts w:eastAsia="Arial" w:cs="Arial" w:ascii="Arial" w:hAnsi="Arial"/>
          <w:strike/>
          <w:sz w:val="22"/>
        </w:rPr>
        <w:t>its</w:t>
      </w:r>
      <w:r>
        <w:rPr>
          <w:rFonts w:eastAsia="Arial" w:cs="Arial" w:ascii="Arial" w:hAnsi="Arial"/>
          <w:sz w:val="22"/>
          <w:u w:val="single"/>
        </w:rPr>
        <w:t>the commission's</w:t>
      </w:r>
      <w:r>
        <w:rPr>
          <w:rFonts w:eastAsia="Arial" w:cs="Arial" w:ascii="Arial" w:hAnsi="Arial"/>
          <w:sz w:val="22"/>
        </w:rPr>
        <w:t xml:space="preserve"> duly authorized agents at all times during regular</w:t>
      </w:r>
      <w:r>
        <w:rPr>
          <w:rFonts w:eastAsia="Arial" w:cs="Arial" w:ascii="Arial" w:hAnsi="Arial"/>
          <w:sz w:val="24"/>
        </w:rPr>
        <w:t xml:space="preserve"> 7</w:t>
      </w:r>
      <w:r>
        <w:rPr>
          <w:rFonts w:eastAsia="Arial" w:cs="Arial" w:ascii="Arial" w:hAnsi="Arial"/>
          <w:sz w:val="22"/>
        </w:rPr>
        <w:t xml:space="preserve"> business hours at the broker's usual place of business.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7"/>
        </w:numPr>
        <w:tabs>
          <w:tab w:val="clear" w:pos="720"/>
          <w:tab w:val="left" w:pos="980" w:leader="none"/>
        </w:tabs>
        <w:spacing w:lineRule="atLeast" w:line="0"/>
        <w:ind w:hanging="844" w:start="980" w:end="0"/>
        <w:rPr>
          <w:rFonts w:ascii="Arial" w:hAnsi="Arial" w:eastAsia="Arial" w:cs="Arial"/>
          <w:sz w:val="24"/>
        </w:rPr>
      </w:pPr>
      <w:r>
        <w:rPr>
          <w:rFonts w:eastAsia="Arial" w:cs="Arial" w:ascii="Arial" w:hAnsi="Arial"/>
          <w:sz w:val="22"/>
        </w:rPr>
        <w:t xml:space="preserve">A broker </w:t>
      </w:r>
      <w:r>
        <w:rPr>
          <w:rFonts w:eastAsia="Arial" w:cs="Arial" w:ascii="Arial" w:hAnsi="Arial"/>
          <w:strike/>
          <w:sz w:val="22"/>
        </w:rPr>
        <w:t>who</w:t>
      </w:r>
      <w:r>
        <w:rPr>
          <w:rFonts w:eastAsia="Arial" w:cs="Arial" w:ascii="Arial" w:hAnsi="Arial"/>
          <w:sz w:val="22"/>
          <w:u w:val="single"/>
        </w:rPr>
        <w:t>that</w:t>
      </w:r>
      <w:r>
        <w:rPr>
          <w:rFonts w:eastAsia="Arial" w:cs="Arial" w:ascii="Arial" w:hAnsi="Arial"/>
          <w:sz w:val="22"/>
        </w:rPr>
        <w:t xml:space="preserve"> does not accept trust funds in real estate brokerage transactions and</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8"/>
        </w:numPr>
        <w:tabs>
          <w:tab w:val="clear" w:pos="720"/>
          <w:tab w:val="left" w:pos="580" w:leader="none"/>
        </w:tabs>
        <w:spacing w:lineRule="atLeast" w:line="0"/>
        <w:ind w:hanging="444" w:start="580" w:end="0"/>
        <w:rPr>
          <w:rFonts w:ascii="Arial" w:hAnsi="Arial" w:eastAsia="Arial" w:cs="Arial"/>
          <w:sz w:val="23"/>
        </w:rPr>
      </w:pPr>
      <w:r>
        <w:rPr>
          <w:rFonts w:eastAsia="Arial" w:cs="Arial" w:ascii="Arial" w:hAnsi="Arial"/>
          <w:strike/>
          <w:sz w:val="21"/>
        </w:rPr>
        <w:t>who</w:t>
      </w:r>
      <w:r>
        <w:rPr>
          <w:rFonts w:eastAsia="Arial" w:cs="Arial" w:ascii="Arial" w:hAnsi="Arial"/>
          <w:sz w:val="21"/>
          <w:u w:val="single"/>
        </w:rPr>
        <w:t>which</w:t>
      </w:r>
      <w:r>
        <w:rPr>
          <w:rFonts w:eastAsia="Arial" w:cs="Arial" w:ascii="Arial" w:hAnsi="Arial"/>
          <w:sz w:val="21"/>
        </w:rPr>
        <w:t xml:space="preserve"> has applied for and received a waiver from the real estate commission is not required</w:t>
      </w:r>
    </w:p>
    <w:p>
      <w:pPr>
        <w:pStyle w:val="Normal"/>
        <w:spacing w:lineRule="exact" w:line="141"/>
        <w:rPr>
          <w:rFonts w:ascii="Arial" w:hAnsi="Arial" w:eastAsia="Arial" w:cs="Arial"/>
          <w:sz w:val="23"/>
        </w:rPr>
      </w:pPr>
      <w:r>
        <w:rPr>
          <w:rFonts w:eastAsia="Arial" w:cs="Arial" w:ascii="Arial" w:hAnsi="Arial"/>
          <w:sz w:val="23"/>
        </w:rPr>
      </w:r>
    </w:p>
    <w:p>
      <w:pPr>
        <w:pStyle w:val="Normal"/>
        <w:spacing w:lineRule="auto" w:line="367"/>
        <w:ind w:hanging="18" w:start="20" w:end="200"/>
        <w:rPr/>
      </w:pPr>
      <w:r>
        <w:rPr>
          <w:rFonts w:eastAsia="Arial" w:cs="Arial" w:ascii="Arial" w:hAnsi="Arial"/>
          <w:sz w:val="24"/>
        </w:rPr>
        <w:t>10</w:t>
      </w:r>
      <w:r>
        <w:rPr>
          <w:rFonts w:eastAsia="Arial" w:cs="Arial" w:ascii="Arial" w:hAnsi="Arial"/>
          <w:sz w:val="22"/>
        </w:rPr>
        <w:t xml:space="preserve"> to maintain a designated trust account. However, if a broker does not maintain a trust account</w:t>
      </w:r>
      <w:r>
        <w:rPr>
          <w:rFonts w:eastAsia="Arial" w:cs="Arial" w:ascii="Arial" w:hAnsi="Arial"/>
          <w:sz w:val="24"/>
        </w:rPr>
        <w:t xml:space="preserve"> 11</w:t>
      </w:r>
      <w:r>
        <w:rPr>
          <w:rFonts w:eastAsia="Arial" w:cs="Arial" w:ascii="Arial" w:hAnsi="Arial"/>
          <w:sz w:val="22"/>
        </w:rPr>
        <w:t xml:space="preserve"> and later receives trust funds in a real estate brokerage transaction, the broker shall open a</w:t>
      </w:r>
    </w:p>
    <w:p>
      <w:pPr>
        <w:pStyle w:val="Normal"/>
        <w:spacing w:lineRule="exact" w:line="1"/>
        <w:rPr>
          <w:rFonts w:ascii="Arial" w:hAnsi="Arial" w:eastAsia="Arial" w:cs="Arial"/>
          <w:sz w:val="23"/>
        </w:rPr>
      </w:pPr>
      <w:r>
        <w:rPr>
          <w:rFonts w:eastAsia="Arial" w:cs="Arial" w:ascii="Arial" w:hAnsi="Arial"/>
          <w:sz w:val="23"/>
        </w:rPr>
      </w:r>
    </w:p>
    <w:p>
      <w:pPr>
        <w:pStyle w:val="Normal"/>
        <w:spacing w:lineRule="auto" w:line="367"/>
        <w:ind w:end="140"/>
        <w:rPr/>
      </w:pPr>
      <w:r>
        <w:rPr>
          <w:rFonts w:eastAsia="Arial" w:cs="Arial" w:ascii="Arial" w:hAnsi="Arial"/>
          <w:sz w:val="24"/>
        </w:rPr>
        <w:t>12</w:t>
      </w:r>
      <w:r>
        <w:rPr>
          <w:rFonts w:eastAsia="Arial" w:cs="Arial" w:ascii="Arial" w:hAnsi="Arial"/>
          <w:sz w:val="22"/>
        </w:rPr>
        <w:t xml:space="preserve"> designated trust account as required by this section and deposit any trust funds in accordance</w:t>
      </w:r>
      <w:r>
        <w:rPr>
          <w:rFonts w:eastAsia="Arial" w:cs="Arial" w:ascii="Arial" w:hAnsi="Arial"/>
          <w:sz w:val="24"/>
        </w:rPr>
        <w:t xml:space="preserve"> 13</w:t>
      </w:r>
      <w:r>
        <w:rPr>
          <w:rFonts w:eastAsia="Arial" w:cs="Arial" w:ascii="Arial" w:hAnsi="Arial"/>
          <w:sz w:val="22"/>
        </w:rPr>
        <w:t xml:space="preserve"> with rules adopted by the commission. </w:t>
      </w:r>
      <w:r>
        <w:rPr>
          <w:rFonts w:eastAsia="Arial" w:cs="Arial" w:ascii="Arial" w:hAnsi="Arial"/>
          <w:sz w:val="22"/>
          <w:u w:val="single"/>
        </w:rPr>
        <w:t>A broker shall maintain a record tracking the earnest</w:t>
      </w:r>
      <w:r>
        <w:rPr>
          <w:rFonts w:eastAsia="Arial" w:cs="Arial" w:ascii="Arial" w:hAnsi="Arial"/>
          <w:sz w:val="24"/>
        </w:rPr>
        <w:t xml:space="preserve"> 14</w:t>
      </w:r>
      <w:r>
        <w:rPr>
          <w:rFonts w:eastAsia="Arial" w:cs="Arial" w:ascii="Arial" w:hAnsi="Arial"/>
          <w:sz w:val="22"/>
        </w:rPr>
        <w:t xml:space="preserve"> </w:t>
      </w:r>
      <w:r>
        <w:rPr>
          <w:rFonts w:eastAsia="Arial" w:cs="Arial" w:ascii="Arial" w:hAnsi="Arial"/>
          <w:sz w:val="22"/>
          <w:u w:val="single"/>
        </w:rPr>
        <w:t>money associated with all transactions even if the funds are deposited directly with the title</w:t>
      </w:r>
      <w:r>
        <w:rPr>
          <w:rFonts w:eastAsia="Arial" w:cs="Arial" w:ascii="Arial" w:hAnsi="Arial"/>
          <w:sz w:val="24"/>
        </w:rPr>
        <w:t xml:space="preserve"> 15</w:t>
      </w:r>
      <w:r>
        <w:rPr>
          <w:rFonts w:eastAsia="Arial" w:cs="Arial" w:ascii="Arial" w:hAnsi="Arial"/>
          <w:sz w:val="22"/>
        </w:rPr>
        <w:t xml:space="preserve"> </w:t>
      </w:r>
      <w:r>
        <w:rPr>
          <w:rFonts w:eastAsia="Arial" w:cs="Arial" w:ascii="Arial" w:hAnsi="Arial"/>
          <w:sz w:val="22"/>
          <w:u w:val="single"/>
        </w:rPr>
        <w:t>company and the broker does not take possession of the funds.</w:t>
      </w:r>
    </w:p>
    <w:p>
      <w:pPr>
        <w:pStyle w:val="Normal"/>
        <w:spacing w:lineRule="exact" w:line="2"/>
        <w:rPr>
          <w:rFonts w:ascii="Arial" w:hAnsi="Arial" w:eastAsia="Arial" w:cs="Arial"/>
          <w:sz w:val="23"/>
          <w:u w:val="single"/>
        </w:rPr>
      </w:pPr>
      <w:r>
        <w:rPr>
          <w:rFonts w:eastAsia="Arial" w:cs="Arial" w:ascii="Arial" w:hAnsi="Arial"/>
          <w:sz w:val="23"/>
          <w:u w:val="single"/>
        </w:rPr>
      </w:r>
    </w:p>
    <w:p>
      <w:pPr>
        <w:pStyle w:val="Normal"/>
        <w:spacing w:lineRule="atLeast" w:line="0"/>
        <w:rPr/>
      </w:pPr>
      <w:r>
        <w:rPr>
          <w:rFonts w:eastAsia="Arial" w:cs="Arial" w:ascii="Arial" w:hAnsi="Arial"/>
          <w:sz w:val="24"/>
        </w:rPr>
        <w:t>16</w:t>
      </w:r>
      <w:r>
        <w:rPr>
          <w:rFonts w:eastAsia="Arial" w:cs="Arial" w:ascii="Arial" w:hAnsi="Arial"/>
          <w:b/>
          <w:sz w:val="21"/>
        </w:rPr>
        <w:t>SECTION 13. AMENDMENT.</w:t>
      </w:r>
      <w:r>
        <w:rPr>
          <w:rFonts w:eastAsia="Arial" w:cs="Arial" w:ascii="Arial" w:hAnsi="Arial"/>
          <w:sz w:val="21"/>
        </w:rPr>
        <w:t xml:space="preserve"> Section 43-23-16 of the North Dakota Century Code is</w:t>
      </w:r>
    </w:p>
    <w:p>
      <w:pPr>
        <w:pStyle w:val="Normal"/>
        <w:spacing w:lineRule="exact" w:line="148"/>
        <w:rPr>
          <w:rFonts w:ascii="Arial" w:hAnsi="Arial" w:eastAsia="Arial" w:cs="Arial"/>
          <w:sz w:val="23"/>
        </w:rPr>
      </w:pPr>
      <w:r>
        <w:rPr>
          <w:rFonts w:eastAsia="Arial" w:cs="Arial" w:ascii="Arial" w:hAnsi="Arial"/>
          <w:sz w:val="23"/>
        </w:rPr>
      </w:r>
    </w:p>
    <w:p>
      <w:pPr>
        <w:pStyle w:val="Normal"/>
        <w:spacing w:lineRule="atLeast" w:line="0"/>
        <w:rPr/>
      </w:pPr>
      <w:r>
        <w:rPr>
          <w:rFonts w:eastAsia="Arial" w:cs="Arial" w:ascii="Arial" w:hAnsi="Arial"/>
          <w:sz w:val="24"/>
        </w:rPr>
        <w:t>17</w:t>
      </w:r>
      <w:r>
        <w:rPr>
          <w:rFonts w:eastAsia="Arial" w:cs="Arial" w:ascii="Arial" w:hAnsi="Arial"/>
          <w:sz w:val="22"/>
        </w:rPr>
        <w:t xml:space="preserve">   amended and reenacted as follows:</w:t>
      </w:r>
    </w:p>
    <w:p>
      <w:pPr>
        <w:pStyle w:val="Normal"/>
        <w:spacing w:lineRule="exact" w:line="150"/>
        <w:rPr>
          <w:rFonts w:ascii="Arial" w:hAnsi="Arial" w:eastAsia="Arial" w:cs="Arial"/>
          <w:sz w:val="23"/>
        </w:rPr>
      </w:pPr>
      <w:r>
        <w:rPr>
          <w:rFonts w:eastAsia="Arial" w:cs="Arial" w:ascii="Arial" w:hAnsi="Arial"/>
          <w:sz w:val="23"/>
        </w:rPr>
      </w:r>
    </w:p>
    <w:p>
      <w:pPr>
        <w:pStyle w:val="Normal"/>
        <w:spacing w:lineRule="atLeast" w:line="0"/>
        <w:rPr/>
      </w:pPr>
      <w:r>
        <w:rPr>
          <w:rFonts w:eastAsia="Arial" w:cs="Arial" w:ascii="Arial" w:hAnsi="Arial"/>
          <w:sz w:val="24"/>
        </w:rPr>
        <w:t>18</w:t>
      </w:r>
      <w:r>
        <w:rPr>
          <w:rFonts w:eastAsia="Arial" w:cs="Arial" w:ascii="Arial" w:hAnsi="Arial"/>
          <w:b/>
          <w:sz w:val="21"/>
        </w:rPr>
        <w:t>43-23-16. Licensee list.</w:t>
      </w:r>
    </w:p>
    <w:p>
      <w:pPr>
        <w:pStyle w:val="Normal"/>
        <w:spacing w:lineRule="exact" w:line="148"/>
        <w:rPr>
          <w:rFonts w:ascii="Arial" w:hAnsi="Arial" w:eastAsia="Arial" w:cs="Arial"/>
          <w:b/>
          <w:sz w:val="23"/>
        </w:rPr>
      </w:pPr>
      <w:r>
        <w:rPr>
          <w:rFonts w:eastAsia="Arial" w:cs="Arial" w:ascii="Arial" w:hAnsi="Arial"/>
          <w:b/>
          <w:sz w:val="23"/>
        </w:rPr>
      </w:r>
    </w:p>
    <w:p>
      <w:pPr>
        <w:pStyle w:val="Normal"/>
        <w:spacing w:lineRule="auto" w:line="367"/>
        <w:ind w:end="380"/>
        <w:rPr/>
      </w:pPr>
      <w:r>
        <w:rPr>
          <w:rFonts w:eastAsia="Arial" w:cs="Arial" w:ascii="Arial" w:hAnsi="Arial"/>
          <w:sz w:val="24"/>
        </w:rPr>
        <w:t>19</w:t>
      </w:r>
      <w:r>
        <w:rPr>
          <w:rFonts w:eastAsia="Arial" w:cs="Arial" w:ascii="Arial" w:hAnsi="Arial"/>
          <w:sz w:val="22"/>
        </w:rPr>
        <w:t xml:space="preserve"> The executive director shall </w:t>
      </w:r>
      <w:r>
        <w:rPr>
          <w:rFonts w:eastAsia="Arial" w:cs="Arial" w:ascii="Arial" w:hAnsi="Arial"/>
          <w:strike/>
          <w:sz w:val="22"/>
        </w:rPr>
        <w:t>publish, at least annually,</w:t>
      </w:r>
      <w:r>
        <w:rPr>
          <w:rFonts w:eastAsia="Arial" w:cs="Arial" w:ascii="Arial" w:hAnsi="Arial"/>
          <w:sz w:val="22"/>
          <w:u w:val="single"/>
        </w:rPr>
        <w:t>maintain</w:t>
      </w:r>
      <w:r>
        <w:rPr>
          <w:rFonts w:eastAsia="Arial" w:cs="Arial" w:ascii="Arial" w:hAnsi="Arial"/>
          <w:sz w:val="22"/>
        </w:rPr>
        <w:t xml:space="preserve"> a list </w:t>
      </w:r>
      <w:r>
        <w:rPr>
          <w:rFonts w:eastAsia="Arial" w:cs="Arial" w:ascii="Arial" w:hAnsi="Arial"/>
          <w:sz w:val="22"/>
          <w:u w:val="single"/>
        </w:rPr>
        <w:t>online</w:t>
      </w:r>
      <w:r>
        <w:rPr>
          <w:rFonts w:eastAsia="Arial" w:cs="Arial" w:ascii="Arial" w:hAnsi="Arial"/>
          <w:sz w:val="22"/>
        </w:rPr>
        <w:t xml:space="preserve"> of the names</w:t>
      </w:r>
      <w:r>
        <w:rPr>
          <w:rFonts w:eastAsia="Arial" w:cs="Arial" w:ascii="Arial" w:hAnsi="Arial"/>
          <w:sz w:val="24"/>
        </w:rPr>
        <w:t xml:space="preserve"> 20</w:t>
      </w:r>
      <w:r>
        <w:rPr>
          <w:rFonts w:eastAsia="Arial" w:cs="Arial" w:ascii="Arial" w:hAnsi="Arial"/>
          <w:sz w:val="22"/>
        </w:rPr>
        <w:t xml:space="preserve"> and addresses of all licensees licensed by the board under the provisions of this chapter,</w:t>
      </w:r>
    </w:p>
    <w:p>
      <w:pPr>
        <w:pStyle w:val="Normal"/>
        <w:spacing w:lineRule="exact" w:line="1"/>
        <w:rPr>
          <w:rFonts w:ascii="Arial" w:hAnsi="Arial" w:eastAsia="Arial" w:cs="Arial"/>
          <w:sz w:val="23"/>
        </w:rPr>
      </w:pPr>
      <w:r>
        <w:rPr>
          <w:rFonts w:eastAsia="Arial" w:cs="Arial" w:ascii="Arial" w:hAnsi="Arial"/>
          <w:sz w:val="23"/>
        </w:rPr>
      </w:r>
    </w:p>
    <w:p>
      <w:pPr>
        <w:pStyle w:val="Normal"/>
        <w:spacing w:lineRule="auto" w:line="367"/>
        <w:ind w:end="20"/>
        <w:rPr/>
      </w:pPr>
      <w:r>
        <w:rPr>
          <w:rFonts w:eastAsia="Arial" w:cs="Arial" w:ascii="Arial" w:hAnsi="Arial"/>
          <w:sz w:val="24"/>
        </w:rPr>
        <w:t>21</w:t>
      </w:r>
      <w:r>
        <w:rPr>
          <w:rFonts w:eastAsia="Arial" w:cs="Arial" w:ascii="Arial" w:hAnsi="Arial"/>
          <w:sz w:val="22"/>
        </w:rPr>
        <w:t xml:space="preserve"> together with such other information relative to the enforcement of the provisions of this chapter</w:t>
      </w:r>
      <w:r>
        <w:rPr>
          <w:rFonts w:eastAsia="Arial" w:cs="Arial" w:ascii="Arial" w:hAnsi="Arial"/>
          <w:sz w:val="24"/>
        </w:rPr>
        <w:t xml:space="preserve"> 22</w:t>
      </w:r>
      <w:r>
        <w:rPr>
          <w:rFonts w:eastAsia="Arial" w:cs="Arial" w:ascii="Arial" w:hAnsi="Arial"/>
          <w:sz w:val="22"/>
        </w:rPr>
        <w:t xml:space="preserve"> as the board may deem of interest to the public. </w:t>
      </w:r>
      <w:r>
        <w:rPr>
          <w:rFonts w:eastAsia="Arial" w:cs="Arial" w:ascii="Arial" w:hAnsi="Arial"/>
          <w:strike/>
          <w:sz w:val="22"/>
        </w:rPr>
        <w:t>One of such lists must be mailed to the</w:t>
      </w:r>
    </w:p>
    <w:p>
      <w:pPr>
        <w:pStyle w:val="Normal"/>
        <w:spacing w:lineRule="exact" w:line="1"/>
        <w:rPr>
          <w:rFonts w:ascii="Arial" w:hAnsi="Arial" w:eastAsia="Arial" w:cs="Arial"/>
          <w:strike/>
          <w:sz w:val="23"/>
        </w:rPr>
      </w:pPr>
      <w:r>
        <w:rPr>
          <w:rFonts w:eastAsia="Arial" w:cs="Arial" w:ascii="Arial" w:hAnsi="Arial"/>
          <w:strike/>
          <w:sz w:val="23"/>
        </w:rPr>
      </w:r>
    </w:p>
    <w:p>
      <w:pPr>
        <w:pStyle w:val="Normal"/>
        <w:spacing w:lineRule="atLeast" w:line="0"/>
        <w:rPr/>
      </w:pPr>
      <w:r>
        <w:rPr>
          <w:rFonts w:eastAsia="Arial" w:cs="Arial" w:ascii="Arial" w:hAnsi="Arial"/>
          <w:sz w:val="24"/>
        </w:rPr>
        <w:t>23</w:t>
      </w:r>
      <w:r>
        <w:rPr>
          <w:rFonts w:eastAsia="Arial" w:cs="Arial" w:ascii="Arial" w:hAnsi="Arial"/>
          <w:sz w:val="22"/>
        </w:rPr>
        <w:t xml:space="preserve">   </w:t>
      </w:r>
      <w:r>
        <w:rPr>
          <w:rFonts w:eastAsia="Arial" w:cs="Arial" w:ascii="Arial" w:hAnsi="Arial"/>
          <w:strike/>
          <w:sz w:val="22"/>
        </w:rPr>
        <w:t>recorder in each county, unless the board of county commissioners designates a different</w:t>
      </w:r>
    </w:p>
    <w:p>
      <w:pPr>
        <w:pStyle w:val="Normal"/>
        <w:spacing w:lineRule="exact" w:line="150"/>
        <w:rPr>
          <w:rFonts w:ascii="Arial" w:hAnsi="Arial" w:eastAsia="Arial" w:cs="Arial"/>
          <w:strike/>
          <w:sz w:val="23"/>
        </w:rPr>
      </w:pPr>
      <w:r>
        <w:rPr>
          <w:rFonts w:eastAsia="Arial" w:cs="Arial" w:ascii="Arial" w:hAnsi="Arial"/>
          <w:strike/>
          <w:sz w:val="23"/>
        </w:rPr>
      </w:r>
    </w:p>
    <w:p>
      <w:pPr>
        <w:pStyle w:val="Normal"/>
        <w:spacing w:lineRule="auto" w:line="367"/>
        <w:ind w:end="140"/>
        <w:rPr/>
      </w:pPr>
      <w:r>
        <w:rPr>
          <w:rFonts w:eastAsia="Arial" w:cs="Arial" w:ascii="Arial" w:hAnsi="Arial"/>
          <w:sz w:val="24"/>
        </w:rPr>
        <w:t>24</w:t>
      </w:r>
      <w:r>
        <w:rPr>
          <w:rFonts w:eastAsia="Arial" w:cs="Arial" w:ascii="Arial" w:hAnsi="Arial"/>
          <w:sz w:val="22"/>
        </w:rPr>
        <w:t xml:space="preserve"> </w:t>
      </w:r>
      <w:r>
        <w:rPr>
          <w:rFonts w:eastAsia="Arial" w:cs="Arial" w:ascii="Arial" w:hAnsi="Arial"/>
          <w:strike/>
          <w:sz w:val="22"/>
        </w:rPr>
        <w:t>official, and must be held as a public record. Such lists must also be provided by the executive</w:t>
      </w:r>
      <w:r>
        <w:rPr>
          <w:rFonts w:eastAsia="Arial" w:cs="Arial" w:ascii="Arial" w:hAnsi="Arial"/>
          <w:sz w:val="24"/>
        </w:rPr>
        <w:t xml:space="preserve"> 25</w:t>
      </w:r>
      <w:r>
        <w:rPr>
          <w:rFonts w:eastAsia="Arial" w:cs="Arial" w:ascii="Arial" w:hAnsi="Arial"/>
          <w:sz w:val="22"/>
        </w:rPr>
        <w:t xml:space="preserve"> </w:t>
      </w:r>
      <w:r>
        <w:rPr>
          <w:rFonts w:eastAsia="Arial" w:cs="Arial" w:ascii="Arial" w:hAnsi="Arial"/>
          <w:strike/>
          <w:sz w:val="22"/>
        </w:rPr>
        <w:t>director to any person in this state upon request, and to all licensed brokers without charge.</w:t>
      </w:r>
    </w:p>
    <w:p>
      <w:pPr>
        <w:pStyle w:val="Normal"/>
        <w:spacing w:lineRule="exact" w:line="1"/>
        <w:rPr>
          <w:rFonts w:ascii="Arial" w:hAnsi="Arial" w:eastAsia="Arial" w:cs="Arial"/>
          <w:strike/>
          <w:sz w:val="23"/>
        </w:rPr>
      </w:pPr>
      <w:r>
        <w:rPr>
          <w:rFonts w:eastAsia="Arial" w:cs="Arial" w:ascii="Arial" w:hAnsi="Arial"/>
          <w:strike/>
          <w:sz w:val="23"/>
        </w:rPr>
      </w:r>
    </w:p>
    <w:p>
      <w:pPr>
        <w:pStyle w:val="Normal"/>
        <w:spacing w:lineRule="atLeast" w:line="0"/>
        <w:rPr/>
      </w:pPr>
      <w:r>
        <w:rPr>
          <w:rFonts w:eastAsia="Arial" w:cs="Arial" w:ascii="Arial" w:hAnsi="Arial"/>
          <w:sz w:val="24"/>
        </w:rPr>
        <w:t>26</w:t>
      </w:r>
      <w:r>
        <w:rPr>
          <w:rFonts w:eastAsia="Arial" w:cs="Arial" w:ascii="Arial" w:hAnsi="Arial"/>
          <w:b/>
          <w:sz w:val="21"/>
        </w:rPr>
        <w:t>SECTION 14. AMENDMENT.</w:t>
      </w:r>
      <w:r>
        <w:rPr>
          <w:rFonts w:eastAsia="Arial" w:cs="Arial" w:ascii="Arial" w:hAnsi="Arial"/>
          <w:sz w:val="21"/>
        </w:rPr>
        <w:t xml:space="preserve"> Section 43-23-19 of the North Dakota Century Code is</w:t>
      </w:r>
    </w:p>
    <w:p>
      <w:pPr>
        <w:pStyle w:val="Normal"/>
        <w:spacing w:lineRule="exact" w:line="148"/>
        <w:rPr>
          <w:rFonts w:ascii="Arial" w:hAnsi="Arial" w:eastAsia="Arial" w:cs="Arial"/>
          <w:sz w:val="23"/>
        </w:rPr>
      </w:pPr>
      <w:r>
        <w:rPr>
          <w:rFonts w:eastAsia="Arial" w:cs="Arial" w:ascii="Arial" w:hAnsi="Arial"/>
          <w:sz w:val="23"/>
        </w:rPr>
      </w:r>
    </w:p>
    <w:p>
      <w:pPr>
        <w:pStyle w:val="Normal"/>
        <w:spacing w:lineRule="atLeast" w:line="0"/>
        <w:rPr/>
      </w:pPr>
      <w:r>
        <w:rPr>
          <w:rFonts w:eastAsia="Arial" w:cs="Arial" w:ascii="Arial" w:hAnsi="Arial"/>
          <w:sz w:val="24"/>
        </w:rPr>
        <w:t>27</w:t>
      </w:r>
      <w:r>
        <w:rPr>
          <w:rFonts w:eastAsia="Arial" w:cs="Arial" w:ascii="Arial" w:hAnsi="Arial"/>
          <w:sz w:val="22"/>
        </w:rPr>
        <w:t xml:space="preserve">   amended and reenacted as follows:</w:t>
      </w:r>
    </w:p>
    <w:p>
      <w:pPr>
        <w:pStyle w:val="Normal"/>
        <w:spacing w:lineRule="exact" w:line="150"/>
        <w:rPr>
          <w:rFonts w:ascii="Arial" w:hAnsi="Arial" w:eastAsia="Arial" w:cs="Arial"/>
          <w:sz w:val="23"/>
        </w:rPr>
      </w:pPr>
      <w:r>
        <w:rPr>
          <w:rFonts w:eastAsia="Arial" w:cs="Arial" w:ascii="Arial" w:hAnsi="Arial"/>
          <w:sz w:val="23"/>
        </w:rPr>
      </w:r>
    </w:p>
    <w:p>
      <w:pPr>
        <w:pStyle w:val="Normal"/>
        <w:spacing w:lineRule="auto" w:line="367"/>
        <w:ind w:end="400"/>
        <w:rPr/>
      </w:pPr>
      <w:r>
        <w:rPr>
          <w:rFonts w:eastAsia="Arial" w:cs="Arial" w:ascii="Arial" w:hAnsi="Arial"/>
          <w:sz w:val="24"/>
        </w:rPr>
        <w:t>28</w:t>
      </w:r>
      <w:r>
        <w:rPr>
          <w:rFonts w:eastAsia="Arial" w:cs="Arial" w:ascii="Arial" w:hAnsi="Arial"/>
          <w:sz w:val="22"/>
        </w:rPr>
        <w:t xml:space="preserve"> </w:t>
      </w:r>
      <w:r>
        <w:rPr>
          <w:rFonts w:eastAsia="Arial" w:cs="Arial" w:ascii="Arial" w:hAnsi="Arial"/>
          <w:b/>
          <w:sz w:val="22"/>
        </w:rPr>
        <w:t>43-23-19. Errors and omissions insurance required of salespersons and brokers -</w:t>
      </w:r>
      <w:r>
        <w:rPr>
          <w:rFonts w:eastAsia="Arial" w:cs="Arial" w:ascii="Arial" w:hAnsi="Arial"/>
          <w:sz w:val="24"/>
        </w:rPr>
        <w:t xml:space="preserve"> 29</w:t>
      </w:r>
      <w:r>
        <w:rPr>
          <w:rFonts w:eastAsia="Arial" w:cs="Arial" w:ascii="Arial" w:hAnsi="Arial"/>
          <w:sz w:val="22"/>
        </w:rPr>
        <w:t xml:space="preserve"> </w:t>
      </w:r>
      <w:r>
        <w:rPr>
          <w:rFonts w:eastAsia="Arial" w:cs="Arial" w:ascii="Arial" w:hAnsi="Arial"/>
          <w:b/>
          <w:sz w:val="22"/>
        </w:rPr>
        <w:t>Rules.</w:t>
      </w:r>
    </w:p>
    <w:p>
      <w:pPr>
        <w:pStyle w:val="Normal"/>
        <w:spacing w:lineRule="exact" w:line="1"/>
        <w:rPr>
          <w:rFonts w:ascii="Arial" w:hAnsi="Arial" w:eastAsia="Arial" w:cs="Arial"/>
          <w:b/>
          <w:sz w:val="23"/>
        </w:rPr>
      </w:pPr>
      <w:r>
        <w:rPr>
          <w:rFonts w:eastAsia="Arial" w:cs="Arial" w:ascii="Arial" w:hAnsi="Arial"/>
          <w:b/>
          <w:sz w:val="23"/>
        </w:rPr>
      </w:r>
    </w:p>
    <w:p>
      <w:pPr>
        <w:pStyle w:val="Normal"/>
        <w:spacing w:lineRule="auto" w:line="403"/>
        <w:ind w:end="580"/>
        <w:rPr/>
      </w:pPr>
      <w:r>
        <w:rPr>
          <w:rFonts w:eastAsia="Arial" w:cs="Arial" w:ascii="Arial" w:hAnsi="Arial"/>
          <w:sz w:val="24"/>
        </w:rPr>
        <w:t>30</w:t>
      </w:r>
      <w:r>
        <w:rPr>
          <w:rFonts w:eastAsia="Arial" w:cs="Arial" w:ascii="Arial" w:hAnsi="Arial"/>
          <w:sz w:val="22"/>
        </w:rPr>
        <w:t xml:space="preserve"> The real estate commission shall adopt rules pursuant to chapter 28-32 requiring as a</w:t>
      </w:r>
      <w:r>
        <w:rPr>
          <w:rFonts w:eastAsia="Arial" w:cs="Arial" w:ascii="Arial" w:hAnsi="Arial"/>
          <w:sz w:val="24"/>
        </w:rPr>
        <w:t xml:space="preserve"> 31</w:t>
      </w:r>
      <w:r>
        <w:rPr>
          <w:rFonts w:eastAsia="Arial" w:cs="Arial" w:ascii="Arial" w:hAnsi="Arial"/>
          <w:sz w:val="22"/>
        </w:rPr>
        <w:t xml:space="preserve"> condition of licensure that</w:t>
      </w:r>
      <w:r>
        <w:rPr>
          <w:rFonts w:eastAsia="Arial" w:cs="Arial" w:ascii="Arial" w:hAnsi="Arial"/>
          <w:strike/>
          <w:sz w:val="22"/>
        </w:rPr>
        <w:t>, effective January 1, 2002, and thereafter,</w:t>
      </w:r>
      <w:r>
        <w:rPr>
          <w:rFonts w:eastAsia="Arial" w:cs="Arial" w:ascii="Arial" w:hAnsi="Arial"/>
          <w:sz w:val="22"/>
        </w:rPr>
        <w:t xml:space="preserve"> all real estate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6">
            <wp:simplePos x="0" y="0"/>
            <wp:positionH relativeFrom="column">
              <wp:posOffset>5878830</wp:posOffset>
            </wp:positionH>
            <wp:positionV relativeFrom="paragraph">
              <wp:posOffset>-2369185</wp:posOffset>
            </wp:positionV>
            <wp:extent cx="39370" cy="762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472" t="-1887" r="-472" b="-1887"/>
                    <a:stretch>
                      <a:fillRect/>
                    </a:stretch>
                  </pic:blipFill>
                  <pic:spPr bwMode="auto">
                    <a:xfrm>
                      <a:off x="0" y="0"/>
                      <a:ext cx="39370" cy="7620"/>
                    </a:xfrm>
                    <a:prstGeom prst="rect">
                      <a:avLst/>
                    </a:prstGeom>
                  </pic:spPr>
                </pic:pic>
              </a:graphicData>
            </a:graphic>
          </wp:anchor>
        </w:drawing>
      </w:r>
    </w:p>
    <w:p>
      <w:pPr>
        <w:sectPr>
          <w:type w:val="nextPage"/>
          <w:pgSz w:w="12240" w:h="15840"/>
          <w:pgMar w:left="1160" w:right="1200" w:gutter="0" w:header="0" w:top="657" w:footer="0" w:bottom="48"/>
          <w:pgNumType w:fmt="decimal"/>
          <w:formProt w:val="false"/>
          <w:textDirection w:val="lrTb"/>
          <w:docGrid w:type="default" w:linePitch="360" w:charSpace="0"/>
        </w:sectPr>
      </w:pP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60" w:leader="none"/>
        </w:tabs>
        <w:spacing w:lineRule="atLeast" w:line="0"/>
        <w:ind w:start="4540" w:end="0"/>
        <w:rPr/>
      </w:pPr>
      <w:r>
        <w:rPr>
          <w:rFonts w:eastAsia="Arial" w:cs="Arial" w:ascii="Arial" w:hAnsi="Arial"/>
          <w:sz w:val="22"/>
        </w:rPr>
        <w:t>Page No. 13</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0" w:right="1200" w:gutter="0" w:header="0" w:top="657" w:footer="0" w:bottom="48"/>
          <w:formProt w:val="false"/>
          <w:textDirection w:val="lrTb"/>
          <w:docGrid w:type="default" w:linePitch="360" w:charSpace="0"/>
        </w:sectPr>
      </w:pPr>
    </w:p>
    <w:p>
      <w:pPr>
        <w:pStyle w:val="Normal"/>
        <w:spacing w:lineRule="atLeast" w:line="0"/>
        <w:ind w:start="580" w:end="0"/>
        <w:rPr>
          <w:rFonts w:ascii="Arial" w:hAnsi="Arial" w:eastAsia="Arial" w:cs="Arial"/>
          <w:sz w:val="22"/>
        </w:rPr>
      </w:pPr>
      <w:bookmarkStart w:id="16" w:name="page14"/>
      <w:bookmarkEnd w:id="16"/>
      <w:r>
        <w:rPr>
          <w:rFonts w:eastAsia="Arial" w:cs="Arial" w:ascii="Arial" w:hAnsi="Arial"/>
          <w:sz w:val="22"/>
        </w:rPr>
        <w:t>Sixty-seventh</w:t>
      </w:r>
    </w:p>
    <w:p>
      <w:pPr>
        <w:pStyle w:val="Normal"/>
        <w:spacing w:lineRule="atLeast" w:line="0"/>
        <w:ind w:start="580"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9"/>
        </w:numPr>
        <w:tabs>
          <w:tab w:val="clear" w:pos="720"/>
          <w:tab w:val="left" w:pos="580" w:leader="none"/>
        </w:tabs>
        <w:spacing w:lineRule="atLeast" w:line="0"/>
        <w:ind w:hanging="444" w:start="580" w:end="0"/>
        <w:rPr>
          <w:rFonts w:ascii="Arial" w:hAnsi="Arial" w:eastAsia="Arial" w:cs="Arial"/>
          <w:sz w:val="24"/>
        </w:rPr>
      </w:pPr>
      <w:r>
        <w:rPr>
          <w:rFonts w:eastAsia="Arial" w:cs="Arial" w:ascii="Arial" w:hAnsi="Arial"/>
          <w:sz w:val="22"/>
        </w:rPr>
        <w:t xml:space="preserve">salespersons and brokers, except those </w:t>
      </w:r>
      <w:r>
        <w:rPr>
          <w:rFonts w:eastAsia="Arial" w:cs="Arial" w:ascii="Arial" w:hAnsi="Arial"/>
          <w:strike/>
          <w:sz w:val="22"/>
        </w:rPr>
        <w:t>who</w:t>
      </w:r>
      <w:r>
        <w:rPr>
          <w:rFonts w:eastAsia="Arial" w:cs="Arial" w:ascii="Arial" w:hAnsi="Arial"/>
          <w:sz w:val="22"/>
          <w:u w:val="single"/>
        </w:rPr>
        <w:t>which</w:t>
      </w:r>
      <w:r>
        <w:rPr>
          <w:rFonts w:eastAsia="Arial" w:cs="Arial" w:ascii="Arial" w:hAnsi="Arial"/>
          <w:sz w:val="22"/>
        </w:rPr>
        <w:t xml:space="preserve"> hold inactive licenses, carry errors and</w:t>
      </w:r>
    </w:p>
    <w:p>
      <w:pPr>
        <w:pStyle w:val="Normal"/>
        <w:spacing w:lineRule="exact" w:line="129"/>
        <w:rPr>
          <w:rFonts w:ascii="Arial" w:hAnsi="Arial" w:eastAsia="Arial" w:cs="Arial"/>
          <w:sz w:val="24"/>
        </w:rPr>
      </w:pPr>
      <w:r>
        <w:rPr>
          <w:rFonts w:eastAsia="Arial" w:cs="Arial" w:ascii="Arial" w:hAnsi="Arial"/>
          <w:sz w:val="24"/>
        </w:rPr>
      </w:r>
    </w:p>
    <w:p>
      <w:pPr>
        <w:pStyle w:val="Normal"/>
        <w:spacing w:lineRule="atLeast" w:line="0"/>
        <w:ind w:start="140" w:end="0"/>
        <w:rPr/>
      </w:pPr>
      <w:r>
        <w:rPr>
          <w:rFonts w:eastAsia="Arial" w:cs="Arial" w:ascii="Arial" w:hAnsi="Arial"/>
          <w:sz w:val="24"/>
        </w:rPr>
        <w:t>2</w:t>
      </w:r>
      <w:r>
        <w:rPr>
          <w:rFonts w:eastAsia="Arial" w:cs="Arial" w:ascii="Arial" w:hAnsi="Arial"/>
          <w:sz w:val="22"/>
        </w:rPr>
        <w:t xml:space="preserve">   omissions insurance covering all activities contemplated under this chapter.</w:t>
      </w:r>
    </w:p>
    <w:p>
      <w:pPr>
        <w:pStyle w:val="Normal"/>
        <w:spacing w:lineRule="exact" w:line="148"/>
        <w:rPr>
          <w:rFonts w:ascii="Arial" w:hAnsi="Arial" w:eastAsia="Arial" w:cs="Arial"/>
          <w:sz w:val="24"/>
        </w:rPr>
      </w:pPr>
      <w:r>
        <w:rPr>
          <w:rFonts w:eastAsia="Arial" w:cs="Arial" w:ascii="Arial" w:hAnsi="Arial"/>
          <w:sz w:val="24"/>
        </w:rPr>
      </w:r>
    </w:p>
    <w:p>
      <w:pPr>
        <w:pStyle w:val="Normal"/>
        <w:spacing w:lineRule="atLeast" w:line="0"/>
        <w:ind w:start="140" w:end="0"/>
        <w:rPr/>
      </w:pPr>
      <w:r>
        <w:rPr>
          <w:rFonts w:eastAsia="Arial" w:cs="Arial" w:ascii="Arial" w:hAnsi="Arial"/>
          <w:sz w:val="24"/>
        </w:rPr>
        <w:t>3</w:t>
      </w:r>
      <w:r>
        <w:rPr>
          <w:rFonts w:eastAsia="Arial" w:cs="Arial" w:ascii="Arial" w:hAnsi="Arial"/>
          <w:b/>
          <w:sz w:val="21"/>
        </w:rPr>
        <w:t>SECTION 15. AMENDMENT.</w:t>
      </w:r>
      <w:r>
        <w:rPr>
          <w:rFonts w:eastAsia="Arial" w:cs="Arial" w:ascii="Arial" w:hAnsi="Arial"/>
          <w:sz w:val="21"/>
        </w:rPr>
        <w:t xml:space="preserve"> Section 43-23.1-14 of the North Dakota Century Code is</w:t>
      </w:r>
    </w:p>
    <w:p>
      <w:pPr>
        <w:pStyle w:val="Normal"/>
        <w:spacing w:lineRule="exact" w:line="150"/>
        <w:rPr>
          <w:rFonts w:ascii="Arial" w:hAnsi="Arial" w:eastAsia="Arial" w:cs="Arial"/>
          <w:sz w:val="24"/>
        </w:rPr>
      </w:pPr>
      <w:r>
        <w:rPr>
          <w:rFonts w:eastAsia="Arial" w:cs="Arial" w:ascii="Arial" w:hAnsi="Arial"/>
          <w:sz w:val="24"/>
        </w:rPr>
      </w:r>
    </w:p>
    <w:p>
      <w:pPr>
        <w:pStyle w:val="Normal"/>
        <w:spacing w:lineRule="atLeast" w:line="0"/>
        <w:ind w:start="140" w:end="0"/>
        <w:rPr/>
      </w:pPr>
      <w:r>
        <w:rPr>
          <w:rFonts w:eastAsia="Arial" w:cs="Arial" w:ascii="Arial" w:hAnsi="Arial"/>
          <w:sz w:val="24"/>
        </w:rPr>
        <w:t>4</w:t>
      </w:r>
      <w:r>
        <w:rPr>
          <w:rFonts w:eastAsia="Arial" w:cs="Arial" w:ascii="Arial" w:hAnsi="Arial"/>
          <w:sz w:val="22"/>
        </w:rPr>
        <w:t xml:space="preserve">   amended and reenacted as follows:</w:t>
      </w:r>
    </w:p>
    <w:p>
      <w:pPr>
        <w:pStyle w:val="Normal"/>
        <w:spacing w:lineRule="exact" w:line="148"/>
        <w:rPr>
          <w:rFonts w:ascii="Arial" w:hAnsi="Arial" w:eastAsia="Arial" w:cs="Arial"/>
          <w:sz w:val="24"/>
        </w:rPr>
      </w:pPr>
      <w:r>
        <w:rPr>
          <w:rFonts w:eastAsia="Arial" w:cs="Arial" w:ascii="Arial" w:hAnsi="Arial"/>
          <w:sz w:val="24"/>
        </w:rPr>
      </w:r>
    </w:p>
    <w:p>
      <w:pPr>
        <w:pStyle w:val="Normal"/>
        <w:spacing w:lineRule="atLeast" w:line="0"/>
        <w:ind w:start="140" w:end="0"/>
        <w:rPr/>
      </w:pPr>
      <w:r>
        <w:rPr>
          <w:rFonts w:eastAsia="Arial" w:cs="Arial" w:ascii="Arial" w:hAnsi="Arial"/>
          <w:sz w:val="24"/>
        </w:rPr>
        <w:t>5</w:t>
      </w:r>
      <w:r>
        <w:rPr>
          <w:rFonts w:eastAsia="Arial" w:cs="Arial" w:ascii="Arial" w:hAnsi="Arial"/>
          <w:b/>
          <w:sz w:val="22"/>
        </w:rPr>
        <w:t xml:space="preserve">43-23.1-14. </w:t>
      </w:r>
      <w:r>
        <w:rPr>
          <w:rFonts w:eastAsia="Arial" w:cs="Arial" w:ascii="Arial" w:hAnsi="Arial"/>
          <w:b/>
          <w:strike/>
          <w:sz w:val="22"/>
        </w:rPr>
        <w:t>Cease and desist orders</w:t>
      </w:r>
      <w:r>
        <w:rPr>
          <w:rFonts w:eastAsia="Arial" w:cs="Arial" w:ascii="Arial" w:hAnsi="Arial"/>
          <w:b/>
          <w:sz w:val="22"/>
          <w:u w:val="single"/>
        </w:rPr>
        <w:t>Orders</w:t>
      </w:r>
      <w:r>
        <w:rPr>
          <w:rFonts w:eastAsia="Arial" w:cs="Arial" w:ascii="Arial" w:hAnsi="Arial"/>
          <w:b/>
          <w:sz w:val="22"/>
        </w:rPr>
        <w:t>.</w:t>
      </w:r>
    </w:p>
    <w:p>
      <w:pPr>
        <w:pStyle w:val="Normal"/>
        <w:spacing w:lineRule="exact" w:line="150"/>
        <w:rPr>
          <w:rFonts w:ascii="Arial" w:hAnsi="Arial" w:eastAsia="Arial" w:cs="Arial"/>
          <w:b/>
          <w:sz w:val="24"/>
        </w:rPr>
      </w:pPr>
      <w:r>
        <w:rPr>
          <w:rFonts w:eastAsia="Arial" w:cs="Arial" w:ascii="Arial" w:hAnsi="Arial"/>
          <w:b/>
          <w:sz w:val="24"/>
        </w:rPr>
      </w:r>
    </w:p>
    <w:p>
      <w:pPr>
        <w:pStyle w:val="Normal"/>
        <w:spacing w:lineRule="atLeast" w:line="0"/>
        <w:ind w:start="140" w:end="0"/>
        <w:rPr/>
      </w:pPr>
      <w:r>
        <w:rPr>
          <w:rFonts w:eastAsia="Arial" w:cs="Arial" w:ascii="Arial" w:hAnsi="Arial"/>
          <w:sz w:val="24"/>
        </w:rPr>
        <w:t>6</w:t>
      </w:r>
      <w:r>
        <w:rPr>
          <w:rFonts w:eastAsia="Arial" w:cs="Arial" w:ascii="Arial" w:hAnsi="Arial"/>
          <w:sz w:val="22"/>
        </w:rPr>
        <w:t xml:space="preserve">1.   </w:t>
      </w:r>
      <w:r>
        <w:rPr>
          <w:rFonts w:eastAsia="Arial" w:cs="Arial" w:ascii="Arial" w:hAnsi="Arial"/>
          <w:strike/>
          <w:sz w:val="22"/>
        </w:rPr>
        <w:t>If</w:t>
      </w:r>
      <w:r>
        <w:rPr>
          <w:rFonts w:eastAsia="Arial" w:cs="Arial" w:ascii="Arial" w:hAnsi="Arial"/>
          <w:sz w:val="22"/>
          <w:u w:val="single"/>
        </w:rPr>
        <w:t>The commission may issue an order requiring a person to cease and desist from the</w:t>
      </w:r>
    </w:p>
    <w:p>
      <w:pPr>
        <w:pStyle w:val="Normal"/>
        <w:spacing w:lineRule="exact" w:line="16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numPr>
          <w:ilvl w:val="0"/>
          <w:numId w:val="80"/>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u w:val="single"/>
        </w:rPr>
        <w:t>unlawful practice and to take such affirmative action as in the judgment of the</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1"/>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u w:val="single"/>
        </w:rPr>
        <w:t>commission will carry out the purposes of this chapter if</w:t>
      </w:r>
      <w:r>
        <w:rPr>
          <w:rFonts w:eastAsia="Arial" w:cs="Arial" w:ascii="Arial" w:hAnsi="Arial"/>
          <w:sz w:val="22"/>
        </w:rPr>
        <w:t xml:space="preserve"> the commission determines</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2"/>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after notice and hearing that a person has:</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3"/>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a.   Violated any provision of this chapter;</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83"/>
        </w:numPr>
        <w:tabs>
          <w:tab w:val="clear" w:pos="720"/>
          <w:tab w:val="left" w:pos="1500" w:leader="none"/>
        </w:tabs>
        <w:spacing w:lineRule="atLeast" w:line="0"/>
        <w:ind w:hanging="1478" w:start="1500" w:end="0"/>
        <w:rPr>
          <w:rFonts w:ascii="Arial" w:hAnsi="Arial" w:eastAsia="Arial" w:cs="Arial"/>
          <w:sz w:val="24"/>
        </w:rPr>
      </w:pPr>
      <w:r>
        <w:rPr>
          <w:rFonts w:eastAsia="Arial" w:cs="Arial" w:ascii="Arial" w:hAnsi="Arial"/>
          <w:sz w:val="22"/>
        </w:rPr>
        <w:t>b.   Directly or through an agent or employee knowingly engaged in any false,</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9560" w:type="dxa"/>
        <w:jc w:val="start"/>
        <w:tblInd w:w="0" w:type="dxa"/>
        <w:tblLayout w:type="fixed"/>
        <w:tblCellMar>
          <w:top w:w="0" w:type="dxa"/>
          <w:start w:w="0" w:type="dxa"/>
          <w:bottom w:w="0" w:type="dxa"/>
          <w:end w:w="0" w:type="dxa"/>
        </w:tblCellMar>
      </w:tblPr>
      <w:tblGrid>
        <w:gridCol w:w="1120"/>
        <w:gridCol w:w="844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12</w:t>
            </w:r>
          </w:p>
        </w:tc>
        <w:tc>
          <w:tcPr>
            <w:tcW w:w="844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deceptive, or misleading advertising, promotional, or sales methods to offer or</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13</w:t>
            </w:r>
          </w:p>
        </w:tc>
        <w:tc>
          <w:tcPr>
            <w:tcW w:w="8440" w:type="dxa"/>
            <w:tcBorders/>
          </w:tcPr>
          <w:p>
            <w:pPr>
              <w:pStyle w:val="Normal"/>
              <w:spacing w:lineRule="atLeast" w:line="0"/>
              <w:ind w:start="860" w:end="0"/>
              <w:rPr>
                <w:rFonts w:ascii="Arial" w:hAnsi="Arial" w:eastAsia="Arial" w:cs="Arial"/>
                <w:sz w:val="22"/>
              </w:rPr>
            </w:pPr>
            <w:r>
              <w:rPr>
                <w:rFonts w:eastAsia="Arial" w:cs="Arial" w:ascii="Arial" w:hAnsi="Arial"/>
                <w:sz w:val="22"/>
              </w:rPr>
              <w:t>dispose of an interest in subdivided lands;</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4"/>
        </w:numPr>
        <w:tabs>
          <w:tab w:val="clear" w:pos="720"/>
          <w:tab w:val="left" w:pos="1520" w:leader="none"/>
        </w:tabs>
        <w:spacing w:lineRule="atLeast" w:line="0"/>
        <w:ind w:hanging="1516" w:start="1520" w:end="0"/>
        <w:rPr>
          <w:rFonts w:ascii="Arial" w:hAnsi="Arial" w:eastAsia="Arial" w:cs="Arial"/>
          <w:sz w:val="24"/>
        </w:rPr>
      </w:pPr>
      <w:r>
        <w:rPr>
          <w:rFonts w:eastAsia="Arial" w:cs="Arial" w:ascii="Arial" w:hAnsi="Arial"/>
          <w:sz w:val="22"/>
        </w:rPr>
        <w:t>c.   Made any substantial change in the plan of disposition and development of the</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tbl>
      <w:tblPr>
        <w:tblW w:w="9560" w:type="dxa"/>
        <w:jc w:val="start"/>
        <w:tblInd w:w="0" w:type="dxa"/>
        <w:tblLayout w:type="fixed"/>
        <w:tblCellMar>
          <w:top w:w="0" w:type="dxa"/>
          <w:start w:w="0" w:type="dxa"/>
          <w:bottom w:w="0" w:type="dxa"/>
          <w:end w:w="0" w:type="dxa"/>
        </w:tblCellMar>
      </w:tblPr>
      <w:tblGrid>
        <w:gridCol w:w="1120"/>
        <w:gridCol w:w="2560"/>
        <w:gridCol w:w="1400"/>
        <w:gridCol w:w="440"/>
        <w:gridCol w:w="4040"/>
      </w:tblGrid>
      <w:tr>
        <w:trPr>
          <w:trHeight w:val="276"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15</w:t>
            </w:r>
          </w:p>
        </w:tc>
        <w:tc>
          <w:tcPr>
            <w:tcW w:w="2560" w:type="dxa"/>
            <w:tcBorders/>
          </w:tcPr>
          <w:p>
            <w:pPr>
              <w:pStyle w:val="Normal"/>
              <w:spacing w:lineRule="atLeast" w:line="0"/>
              <w:ind w:start="860" w:end="0"/>
              <w:rPr>
                <w:rFonts w:ascii="Arial" w:hAnsi="Arial" w:eastAsia="Arial" w:cs="Arial"/>
                <w:sz w:val="22"/>
              </w:rPr>
            </w:pPr>
            <w:r>
              <w:rPr>
                <w:rFonts w:eastAsia="Arial" w:cs="Arial" w:ascii="Arial" w:hAnsi="Arial"/>
                <w:sz w:val="22"/>
              </w:rPr>
              <w:t>subdivided lands</w:t>
            </w:r>
          </w:p>
        </w:tc>
        <w:tc>
          <w:tcPr>
            <w:tcW w:w="1400" w:type="dxa"/>
            <w:tcBorders/>
          </w:tcPr>
          <w:p>
            <w:pPr>
              <w:pStyle w:val="Normal"/>
              <w:spacing w:lineRule="atLeast" w:line="0"/>
              <w:rPr>
                <w:rFonts w:ascii="Arial" w:hAnsi="Arial" w:eastAsia="Arial" w:cs="Arial"/>
                <w:strike/>
                <w:w w:val="99"/>
                <w:sz w:val="22"/>
              </w:rPr>
            </w:pPr>
            <w:r>
              <w:rPr>
                <w:rFonts w:eastAsia="Arial" w:cs="Arial" w:ascii="Arial" w:hAnsi="Arial"/>
                <w:strike/>
                <w:w w:val="99"/>
                <w:sz w:val="22"/>
              </w:rPr>
              <w:t>subsequent to</w:t>
            </w:r>
          </w:p>
        </w:tc>
        <w:tc>
          <w:tcPr>
            <w:tcW w:w="4480" w:type="dxa"/>
            <w:gridSpan w:val="2"/>
            <w:tcBorders/>
          </w:tcPr>
          <w:p>
            <w:pPr>
              <w:pStyle w:val="Normal"/>
              <w:spacing w:lineRule="atLeast" w:line="0"/>
              <w:rPr/>
            </w:pPr>
            <w:r>
              <w:rPr>
                <w:rFonts w:eastAsia="Arial" w:cs="Arial" w:ascii="Arial" w:hAnsi="Arial"/>
                <w:w w:val="99"/>
                <w:sz w:val="22"/>
              </w:rPr>
              <w:t>after the order of registration without obtaining</w:t>
            </w:r>
          </w:p>
        </w:tc>
      </w:tr>
      <w:tr>
        <w:trPr>
          <w:trHeight w:val="23" w:hRule="atLeast"/>
        </w:trPr>
        <w:tc>
          <w:tcPr>
            <w:tcW w:w="1120" w:type="dxa"/>
            <w:vMerge w:val="restart"/>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16</w:t>
            </w:r>
          </w:p>
        </w:tc>
        <w:tc>
          <w:tcPr>
            <w:tcW w:w="3960" w:type="dxa"/>
            <w:gridSpan w:val="2"/>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8" w:hRule="atLeast"/>
        </w:trPr>
        <w:tc>
          <w:tcPr>
            <w:tcW w:w="11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40" w:type="dxa"/>
            <w:gridSpan w:val="4"/>
            <w:tcBorders/>
          </w:tcPr>
          <w:p>
            <w:pPr>
              <w:pStyle w:val="Normal"/>
              <w:spacing w:lineRule="atLeast" w:line="0"/>
              <w:ind w:start="860" w:end="0"/>
              <w:rPr>
                <w:rFonts w:ascii="Arial" w:hAnsi="Arial" w:eastAsia="Arial" w:cs="Arial"/>
                <w:sz w:val="22"/>
              </w:rPr>
            </w:pPr>
            <w:r>
              <w:rPr>
                <w:rFonts w:eastAsia="Arial" w:cs="Arial" w:ascii="Arial" w:hAnsi="Arial"/>
                <w:sz w:val="22"/>
              </w:rPr>
              <w:t>prior written approval from the commission;</w:t>
            </w:r>
          </w:p>
        </w:tc>
      </w:tr>
    </w:tbl>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5"/>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d.   Disposed of any subdivided lands </w:t>
      </w:r>
      <w:r>
        <w:rPr>
          <w:rFonts w:eastAsia="Arial" w:cs="Arial" w:ascii="Arial" w:hAnsi="Arial"/>
          <w:strike/>
          <w:sz w:val="22"/>
        </w:rPr>
        <w:t>which</w:t>
      </w:r>
      <w:r>
        <w:rPr>
          <w:rFonts w:eastAsia="Arial" w:cs="Arial" w:ascii="Arial" w:hAnsi="Arial"/>
          <w:sz w:val="22"/>
          <w:u w:val="single"/>
        </w:rPr>
        <w:t>that</w:t>
      </w:r>
      <w:r>
        <w:rPr>
          <w:rFonts w:eastAsia="Arial" w:cs="Arial" w:ascii="Arial" w:hAnsi="Arial"/>
          <w:sz w:val="22"/>
        </w:rPr>
        <w:t xml:space="preserve"> have not been registered with the</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18</w:t>
      </w:r>
      <w:r>
        <w:rPr>
          <w:rFonts w:eastAsia="Times New Roman" w:cs="Times New Roman" w:ascii="Times New Roman" w:hAnsi="Times New Roman"/>
        </w:rPr>
        <w:tab/>
      </w:r>
      <w:r>
        <w:rPr>
          <w:rFonts w:eastAsia="Arial" w:cs="Arial" w:ascii="Arial" w:hAnsi="Arial"/>
          <w:sz w:val="22"/>
        </w:rPr>
        <w:t>commission; or</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e.   Violated any lawful order or rule or regulation of the commission</w:t>
      </w:r>
      <w:r>
        <w:rPr>
          <w:rFonts w:eastAsia="Arial" w:cs="Arial" w:ascii="Arial" w:hAnsi="Arial"/>
          <w:strike/>
          <w:sz w:val="22"/>
        </w:rPr>
        <w:t>;</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trike/>
          <w:sz w:val="22"/>
        </w:rPr>
        <w:t>it may issue an order requiring the person to cease and desist from the unlawful</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trike/>
          <w:sz w:val="22"/>
        </w:rPr>
        <w:t>practice and to take such affirmative action as in the judgment of the commission will</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trike/>
          <w:sz w:val="22"/>
        </w:rPr>
        <w:t>carry out the purposes of this chapter</w:t>
      </w:r>
      <w:r>
        <w:rPr>
          <w:rFonts w:eastAsia="Arial" w:cs="Arial" w:ascii="Arial" w:hAnsi="Arial"/>
          <w:sz w:val="22"/>
        </w:rPr>
        <w:t>.</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020" w:leader="none"/>
        </w:tabs>
        <w:spacing w:lineRule="atLeast" w:line="0"/>
        <w:ind w:hanging="1016" w:start="1020" w:end="0"/>
        <w:rPr>
          <w:rFonts w:ascii="Arial" w:hAnsi="Arial" w:eastAsia="Arial" w:cs="Arial"/>
          <w:sz w:val="24"/>
        </w:rPr>
      </w:pPr>
      <w:r>
        <w:rPr>
          <w:rFonts w:eastAsia="Arial" w:cs="Arial" w:ascii="Arial" w:hAnsi="Arial"/>
          <w:sz w:val="22"/>
        </w:rPr>
        <w:t>2.   If the commission makes a finding of fact in writing that the public interest will be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 xml:space="preserve">irreparably harmed by delay in issuing an order, </w:t>
      </w:r>
      <w:r>
        <w:rPr>
          <w:rFonts w:eastAsia="Arial" w:cs="Arial" w:ascii="Arial" w:hAnsi="Arial"/>
          <w:strike/>
          <w:sz w:val="22"/>
        </w:rPr>
        <w:t>it</w:t>
      </w:r>
      <w:r>
        <w:rPr>
          <w:rFonts w:eastAsia="Arial" w:cs="Arial" w:ascii="Arial" w:hAnsi="Arial"/>
          <w:sz w:val="22"/>
          <w:u w:val="single"/>
        </w:rPr>
        <w:t>the commission</w:t>
      </w:r>
      <w:r>
        <w:rPr>
          <w:rFonts w:eastAsia="Arial" w:cs="Arial" w:ascii="Arial" w:hAnsi="Arial"/>
          <w:sz w:val="22"/>
        </w:rPr>
        <w:t xml:space="preserve"> may </w:t>
      </w:r>
      <w:r>
        <w:rPr>
          <w:rFonts w:eastAsia="Arial" w:cs="Arial" w:ascii="Arial" w:hAnsi="Arial"/>
          <w:strike/>
          <w:sz w:val="22"/>
        </w:rPr>
        <w:t>issue a</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trike/>
          <w:sz w:val="22"/>
        </w:rPr>
        <w:t>temporary cease and desist order. Prior to issuing the temporary cease and desist</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3"/>
        </w:rPr>
      </w:pPr>
      <w:r>
        <w:rPr>
          <w:rFonts w:eastAsia="Arial" w:cs="Arial" w:ascii="Arial" w:hAnsi="Arial"/>
          <w:strike/>
          <w:sz w:val="21"/>
        </w:rPr>
        <w:t>order, the commission, whenever possible, by telephone or otherwise shall give notice</w:t>
      </w:r>
    </w:p>
    <w:p>
      <w:pPr>
        <w:pStyle w:val="Normal"/>
        <w:spacing w:lineRule="exact" w:line="159"/>
        <w:rPr>
          <w:rFonts w:ascii="Arial" w:hAnsi="Arial" w:eastAsia="Arial" w:cs="Arial"/>
          <w:sz w:val="23"/>
        </w:rPr>
      </w:pPr>
      <w:r>
        <w:rPr>
          <w:rFonts w:eastAsia="Arial" w:cs="Arial" w:ascii="Arial" w:hAnsi="Arial"/>
          <w:sz w:val="23"/>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trike/>
          <w:sz w:val="22"/>
        </w:rPr>
        <w:t>of the proposal to issue a temporary cease and desist order to the person. Every</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trike/>
          <w:sz w:val="22"/>
        </w:rPr>
        <w:t>temporary cease and desist order must include in its terms a provision that upon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trike/>
          <w:sz w:val="22"/>
        </w:rPr>
        <w:t>request a hearing will be held promptly to determine whether or not it becomes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trike/>
          <w:sz w:val="22"/>
        </w:rPr>
        <w:t>permanent</w:t>
      </w:r>
      <w:r>
        <w:rPr>
          <w:rFonts w:eastAsia="Arial" w:cs="Arial" w:ascii="Arial" w:hAnsi="Arial"/>
          <w:sz w:val="22"/>
          <w:u w:val="single"/>
        </w:rPr>
        <w:t>commence an action in the district court of the county in which the act or</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86"/>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u w:val="single"/>
        </w:rPr>
        <w:t>practice occurred for an injunction to enforce compliance with this chapter. The</w:t>
      </w:r>
    </w:p>
    <w:p>
      <w:pPr>
        <w:sectPr>
          <w:type w:val="nextPage"/>
          <w:pgSz w:w="12240" w:h="15840"/>
          <w:pgMar w:left="1160" w:right="122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60" w:leader="none"/>
        </w:tabs>
        <w:spacing w:lineRule="atLeast" w:line="0"/>
        <w:ind w:start="4540" w:end="0"/>
        <w:rPr/>
      </w:pPr>
      <w:r>
        <w:rPr>
          <w:rFonts w:eastAsia="Arial" w:cs="Arial" w:ascii="Arial" w:hAnsi="Arial"/>
          <w:sz w:val="22"/>
        </w:rPr>
        <w:t>Page No. 14</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0" w:right="1220" w:gutter="0" w:header="0" w:top="657" w:footer="0" w:bottom="48"/>
          <w:formProt w:val="false"/>
          <w:textDirection w:val="lrTb"/>
          <w:docGrid w:type="default" w:linePitch="360" w:charSpace="0"/>
        </w:sectPr>
      </w:pPr>
    </w:p>
    <w:p>
      <w:pPr>
        <w:pStyle w:val="Normal"/>
        <w:spacing w:lineRule="atLeast" w:line="0"/>
        <w:ind w:start="576" w:end="0"/>
        <w:rPr>
          <w:rFonts w:ascii="Arial" w:hAnsi="Arial" w:eastAsia="Arial" w:cs="Arial"/>
          <w:sz w:val="22"/>
        </w:rPr>
      </w:pPr>
      <w:bookmarkStart w:id="17" w:name="page15"/>
      <w:bookmarkEnd w:id="17"/>
      <w:r>
        <w:rPr>
          <w:rFonts w:eastAsia="Arial" w:cs="Arial" w:ascii="Arial" w:hAnsi="Arial"/>
          <w:sz w:val="22"/>
        </w:rPr>
        <w:t>Sixty-seventh</w:t>
      </w:r>
    </w:p>
    <w:p>
      <w:pPr>
        <w:pStyle w:val="Normal"/>
        <w:spacing w:lineRule="atLeast" w:line="0"/>
        <w:ind w:start="576"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7"/>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u w:val="single"/>
        </w:rPr>
        <w:t>commission is not required to give any bond for commencing this action. Upon a</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8"/>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u w:val="single"/>
        </w:rPr>
        <w:t>showing of a violation the district court may enjoin the act or practice and may make</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9"/>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u w:val="single"/>
        </w:rPr>
        <w:t>any order necessary to conserve, protect, and disburse any funds involved</w:t>
      </w:r>
      <w:r>
        <w:rPr>
          <w:rFonts w:eastAsia="Arial" w:cs="Arial" w:ascii="Arial" w:hAnsi="Arial"/>
          <w:sz w:val="22"/>
        </w:rPr>
        <w:t>.</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0"/>
        </w:numPr>
        <w:tabs>
          <w:tab w:val="clear" w:pos="720"/>
          <w:tab w:val="left" w:pos="976" w:leader="none"/>
        </w:tabs>
        <w:spacing w:lineRule="atLeast" w:line="0"/>
        <w:ind w:hanging="844" w:start="976" w:end="0"/>
        <w:rPr>
          <w:rFonts w:ascii="Arial" w:hAnsi="Arial" w:eastAsia="Arial" w:cs="Arial"/>
          <w:sz w:val="24"/>
        </w:rPr>
      </w:pPr>
      <w:r>
        <w:rPr>
          <w:rFonts w:eastAsia="Arial" w:cs="Arial" w:ascii="Arial" w:hAnsi="Arial"/>
          <w:b/>
          <w:sz w:val="22"/>
        </w:rPr>
        <w:t>SECTION 16. AMENDMENT.</w:t>
      </w:r>
      <w:r>
        <w:rPr>
          <w:rFonts w:eastAsia="Arial" w:cs="Arial" w:ascii="Arial" w:hAnsi="Arial"/>
          <w:sz w:val="22"/>
        </w:rPr>
        <w:t xml:space="preserve"> Section 43-23.2-02 of the North Dakota Century Code is</w:t>
      </w:r>
    </w:p>
    <w:p>
      <w:pPr>
        <w:pStyle w:val="Normal"/>
        <w:spacing w:lineRule="exact" w:line="130"/>
        <w:rPr>
          <w:rFonts w:ascii="Arial" w:hAnsi="Arial" w:eastAsia="Arial" w:cs="Arial"/>
          <w:sz w:val="24"/>
        </w:rPr>
      </w:pPr>
      <w:r>
        <w:rPr>
          <w:rFonts w:eastAsia="Arial" w:cs="Arial" w:ascii="Arial" w:hAnsi="Arial"/>
          <w:sz w:val="24"/>
        </w:rPr>
      </w:r>
    </w:p>
    <w:p>
      <w:pPr>
        <w:pStyle w:val="Normal"/>
        <w:spacing w:lineRule="atLeast" w:line="0"/>
        <w:ind w:start="136" w:end="0"/>
        <w:rPr/>
      </w:pPr>
      <w:r>
        <w:rPr>
          <w:rFonts w:eastAsia="Arial" w:cs="Arial" w:ascii="Arial" w:hAnsi="Arial"/>
          <w:sz w:val="24"/>
        </w:rPr>
        <w:t>5</w:t>
      </w:r>
      <w:r>
        <w:rPr>
          <w:rFonts w:eastAsia="Arial" w:cs="Arial" w:ascii="Arial" w:hAnsi="Arial"/>
          <w:sz w:val="22"/>
        </w:rPr>
        <w:t xml:space="preserve">   amended and reenacted as follows:</w:t>
      </w:r>
    </w:p>
    <w:p>
      <w:pPr>
        <w:pStyle w:val="Normal"/>
        <w:spacing w:lineRule="exact" w:line="150"/>
        <w:rPr>
          <w:rFonts w:ascii="Arial" w:hAnsi="Arial" w:eastAsia="Arial" w:cs="Arial"/>
          <w:sz w:val="24"/>
        </w:rPr>
      </w:pPr>
      <w:r>
        <w:rPr>
          <w:rFonts w:eastAsia="Arial" w:cs="Arial" w:ascii="Arial" w:hAnsi="Arial"/>
          <w:sz w:val="24"/>
        </w:rPr>
      </w:r>
    </w:p>
    <w:p>
      <w:pPr>
        <w:pStyle w:val="Normal"/>
        <w:spacing w:lineRule="atLeast" w:line="0"/>
        <w:ind w:start="136" w:end="0"/>
        <w:rPr/>
      </w:pPr>
      <w:r>
        <w:rPr>
          <w:rFonts w:eastAsia="Arial" w:cs="Arial" w:ascii="Arial" w:hAnsi="Arial"/>
          <w:sz w:val="24"/>
        </w:rPr>
        <w:t>6</w:t>
      </w:r>
      <w:r>
        <w:rPr>
          <w:rFonts w:eastAsia="Arial" w:cs="Arial" w:ascii="Arial" w:hAnsi="Arial"/>
          <w:b/>
          <w:sz w:val="21"/>
        </w:rPr>
        <w:t>43-23.2-02. Fees paid into fund.</w:t>
      </w:r>
    </w:p>
    <w:p>
      <w:pPr>
        <w:pStyle w:val="Normal"/>
        <w:spacing w:lineRule="exact" w:line="148"/>
        <w:rPr>
          <w:rFonts w:ascii="Arial" w:hAnsi="Arial" w:eastAsia="Arial" w:cs="Arial"/>
          <w:b/>
          <w:sz w:val="24"/>
        </w:rPr>
      </w:pPr>
      <w:r>
        <w:rPr>
          <w:rFonts w:eastAsia="Arial" w:cs="Arial" w:ascii="Arial" w:hAnsi="Arial"/>
          <w:b/>
          <w:sz w:val="24"/>
        </w:rPr>
      </w:r>
    </w:p>
    <w:p>
      <w:pPr>
        <w:pStyle w:val="Normal"/>
        <w:spacing w:lineRule="atLeast" w:line="0"/>
        <w:ind w:start="136" w:end="0"/>
        <w:rPr/>
      </w:pPr>
      <w:r>
        <w:rPr>
          <w:rFonts w:eastAsia="Arial" w:cs="Arial" w:ascii="Arial" w:hAnsi="Arial"/>
          <w:sz w:val="24"/>
        </w:rPr>
        <w:t>7</w:t>
      </w:r>
      <w:r>
        <w:rPr>
          <w:rFonts w:eastAsia="Arial" w:cs="Arial" w:ascii="Arial" w:hAnsi="Arial"/>
          <w:sz w:val="22"/>
        </w:rPr>
        <w:t>1.   In addition to the appropriate licensing fees paid by real estate brokers and</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1"/>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z w:val="22"/>
        </w:rPr>
        <w:t xml:space="preserve">salespersons, </w:t>
      </w:r>
      <w:r>
        <w:rPr>
          <w:rFonts w:eastAsia="Arial" w:cs="Arial" w:ascii="Arial" w:hAnsi="Arial"/>
          <w:strike/>
          <w:sz w:val="22"/>
        </w:rPr>
        <w:t>each person licensed for the calendar year 1976 as a real estate broker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
            <wp:simplePos x="0" y="0"/>
            <wp:positionH relativeFrom="column">
              <wp:posOffset>6267450</wp:posOffset>
            </wp:positionH>
            <wp:positionV relativeFrom="paragraph">
              <wp:posOffset>-77470</wp:posOffset>
            </wp:positionV>
            <wp:extent cx="39370" cy="762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472" t="-1887" r="-472" b="-1887"/>
                    <a:stretch>
                      <a:fillRect/>
                    </a:stretch>
                  </pic:blipFill>
                  <pic:spPr bwMode="auto">
                    <a:xfrm>
                      <a:off x="0" y="0"/>
                      <a:ext cx="39370" cy="7620"/>
                    </a:xfrm>
                    <a:prstGeom prst="rect">
                      <a:avLst/>
                    </a:prstGeom>
                  </pic:spPr>
                </pic:pic>
              </a:graphicData>
            </a:graphic>
          </wp:anchor>
        </w:drawing>
      </w:r>
    </w:p>
    <w:p>
      <w:pPr>
        <w:pStyle w:val="Normal"/>
        <w:spacing w:lineRule="exact" w:line="1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2"/>
        </w:numPr>
        <w:tabs>
          <w:tab w:val="clear" w:pos="720"/>
          <w:tab w:val="left" w:pos="1496" w:leader="none"/>
        </w:tabs>
        <w:spacing w:lineRule="atLeast" w:line="0"/>
        <w:ind w:hanging="1364" w:start="1496" w:end="0"/>
        <w:rPr>
          <w:rFonts w:ascii="Arial" w:hAnsi="Arial" w:eastAsia="Arial" w:cs="Arial"/>
          <w:sz w:val="24"/>
        </w:rPr>
      </w:pPr>
      <w:r>
        <w:rPr>
          <w:rFonts w:eastAsia="Arial" w:cs="Arial" w:ascii="Arial" w:hAnsi="Arial"/>
          <w:strike/>
          <w:sz w:val="22"/>
        </w:rPr>
        <w:t>or salesperson shall pay, at the time of application for such license, a separate fee in</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trike/>
          <w:sz w:val="22"/>
        </w:rPr>
        <w:t>the amount of twenty dollars which must be credited into the education, research, and</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78" w:start="1496" w:end="0"/>
        <w:rPr>
          <w:rFonts w:ascii="Arial" w:hAnsi="Arial" w:eastAsia="Arial" w:cs="Arial"/>
          <w:sz w:val="24"/>
        </w:rPr>
      </w:pPr>
      <w:r>
        <w:rPr>
          <w:rFonts w:eastAsia="Arial" w:cs="Arial" w:ascii="Arial" w:hAnsi="Arial"/>
          <w:strike/>
          <w:sz w:val="22"/>
        </w:rPr>
        <w:t>recovery fund. Each person so licensed for the calendar year 1977 shall pay a like fee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trike/>
          <w:sz w:val="22"/>
        </w:rPr>
        <w:t>in the amount of twenty dollars which must be credited into the fund. Thereafter,</w:t>
      </w:r>
      <w:r>
        <w:rPr>
          <w:rFonts w:eastAsia="Arial" w:cs="Arial" w:ascii="Arial" w:hAnsi="Arial"/>
          <w:sz w:val="22"/>
        </w:rPr>
        <w:t xml:space="preserve"> any</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person </w:t>
      </w:r>
      <w:r>
        <w:rPr>
          <w:rFonts w:eastAsia="Arial" w:cs="Arial" w:ascii="Arial" w:hAnsi="Arial"/>
          <w:strike/>
          <w:sz w:val="22"/>
        </w:rPr>
        <w:t>who is</w:t>
      </w:r>
      <w:r>
        <w:rPr>
          <w:rFonts w:eastAsia="Arial" w:cs="Arial" w:ascii="Arial" w:hAnsi="Arial"/>
          <w:sz w:val="22"/>
        </w:rPr>
        <w:t xml:space="preserve"> licensed as a real estate broker or salesperson for the first time, </w:t>
      </w:r>
      <w:r>
        <w:rPr>
          <w:rFonts w:eastAsia="Arial" w:cs="Arial" w:ascii="Arial" w:hAnsi="Arial"/>
          <w:strike/>
          <w:sz w:val="22"/>
        </w:rPr>
        <w:t>either</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3"/>
        </w:rPr>
      </w:pPr>
      <w:r>
        <w:rPr>
          <w:rFonts w:eastAsia="Arial" w:cs="Arial" w:ascii="Arial" w:hAnsi="Arial"/>
          <w:strike/>
          <w:sz w:val="21"/>
        </w:rPr>
        <w:t>for the calendar year 1978 or for a subsequent calendar year,</w:t>
      </w:r>
      <w:r>
        <w:rPr>
          <w:rFonts w:eastAsia="Arial" w:cs="Arial" w:ascii="Arial" w:hAnsi="Arial"/>
          <w:sz w:val="21"/>
        </w:rPr>
        <w:t xml:space="preserve"> shall pay a fee of twenty</w:t>
      </w:r>
    </w:p>
    <w:p>
      <w:pPr>
        <w:pStyle w:val="Normal"/>
        <w:spacing w:lineRule="exact" w:line="159"/>
        <w:rPr>
          <w:rFonts w:ascii="Arial" w:hAnsi="Arial" w:eastAsia="Arial" w:cs="Arial"/>
          <w:sz w:val="23"/>
        </w:rPr>
      </w:pPr>
      <w:r>
        <w:rPr>
          <w:rFonts w:eastAsia="Arial" w:cs="Arial" w:ascii="Arial" w:hAnsi="Arial"/>
          <w:sz w:val="23"/>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dollars at the time of obtaining </w:t>
      </w:r>
      <w:r>
        <w:rPr>
          <w:rFonts w:eastAsia="Arial" w:cs="Arial" w:ascii="Arial" w:hAnsi="Arial"/>
          <w:strike/>
          <w:sz w:val="22"/>
        </w:rPr>
        <w:t>such</w:t>
      </w:r>
      <w:r>
        <w:rPr>
          <w:rFonts w:eastAsia="Arial" w:cs="Arial" w:ascii="Arial" w:hAnsi="Arial"/>
          <w:sz w:val="22"/>
          <w:u w:val="single"/>
        </w:rPr>
        <w:t>the</w:t>
      </w:r>
      <w:r>
        <w:rPr>
          <w:rFonts w:eastAsia="Arial" w:cs="Arial" w:ascii="Arial" w:hAnsi="Arial"/>
          <w:sz w:val="22"/>
        </w:rPr>
        <w:t xml:space="preserve"> license which must be credited into the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u w:val="single"/>
        </w:rPr>
        <w:t>education, research, and recovery</w:t>
      </w:r>
      <w:r>
        <w:rPr>
          <w:rFonts w:eastAsia="Arial" w:cs="Arial" w:ascii="Arial" w:hAnsi="Arial"/>
          <w:sz w:val="22"/>
        </w:rPr>
        <w:t xml:space="preserve"> fund. Except for assessments paid into the fund as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provided in subsection 2, any person obtaining a broker's or salesperson's license for</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the first time </w:t>
      </w:r>
      <w:r>
        <w:rPr>
          <w:rFonts w:eastAsia="Arial" w:cs="Arial" w:ascii="Arial" w:hAnsi="Arial"/>
          <w:strike/>
          <w:sz w:val="22"/>
        </w:rPr>
        <w:t>which becomes effective for the calendar year 1978 or for a subsequent</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trike/>
          <w:sz w:val="22"/>
        </w:rPr>
        <w:t>calendar year</w:t>
      </w:r>
      <w:r>
        <w:rPr>
          <w:rFonts w:eastAsia="Arial" w:cs="Arial" w:ascii="Arial" w:hAnsi="Arial"/>
          <w:sz w:val="22"/>
        </w:rPr>
        <w:t>, shall pay the fee of twenty dollars into the fund only once.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016" w:leader="none"/>
        </w:tabs>
        <w:spacing w:lineRule="atLeast" w:line="0"/>
        <w:ind w:hanging="1016" w:start="1016" w:end="0"/>
        <w:rPr>
          <w:rFonts w:ascii="Arial" w:hAnsi="Arial" w:eastAsia="Arial" w:cs="Arial"/>
          <w:sz w:val="24"/>
        </w:rPr>
      </w:pPr>
      <w:r>
        <w:rPr>
          <w:rFonts w:eastAsia="Arial" w:cs="Arial" w:ascii="Arial" w:hAnsi="Arial"/>
          <w:sz w:val="22"/>
        </w:rPr>
        <w:t>2.   If, on June thirtieth of any year, following the establishment of the real estate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education, research, and recovery fund, the amount remaining in the fund is less than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sixty thousand dollars, every licensed real estate broker and salesperson, when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renewing that </w:t>
      </w:r>
      <w:r>
        <w:rPr>
          <w:rFonts w:eastAsia="Arial" w:cs="Arial" w:ascii="Arial" w:hAnsi="Arial"/>
          <w:strike/>
          <w:sz w:val="22"/>
        </w:rPr>
        <w:t>individual's</w:t>
      </w:r>
      <w:r>
        <w:rPr>
          <w:rFonts w:eastAsia="Arial" w:cs="Arial" w:ascii="Arial" w:hAnsi="Arial"/>
          <w:sz w:val="22"/>
          <w:u w:val="single"/>
        </w:rPr>
        <w:t>person's</w:t>
      </w:r>
      <w:r>
        <w:rPr>
          <w:rFonts w:eastAsia="Arial" w:cs="Arial" w:ascii="Arial" w:hAnsi="Arial"/>
          <w:sz w:val="22"/>
        </w:rPr>
        <w:t xml:space="preserve"> license, shall pay, in addition to the annual renewal</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fee, a sum not to exceed twenty dollars, which must have been determined by the</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3"/>
        </w:rPr>
      </w:pPr>
      <w:r>
        <w:rPr>
          <w:rFonts w:eastAsia="Arial" w:cs="Arial" w:ascii="Arial" w:hAnsi="Arial"/>
          <w:sz w:val="21"/>
        </w:rPr>
        <w:t>commission to be sufficient to restore the balance in the fund to at least sixty thousand</w:t>
      </w:r>
    </w:p>
    <w:p>
      <w:pPr>
        <w:pStyle w:val="Normal"/>
        <w:spacing w:lineRule="exact" w:line="161"/>
        <w:rPr>
          <w:rFonts w:ascii="Arial" w:hAnsi="Arial" w:eastAsia="Arial" w:cs="Arial"/>
          <w:sz w:val="23"/>
        </w:rPr>
      </w:pPr>
      <w:r>
        <w:rPr>
          <w:rFonts w:eastAsia="Arial" w:cs="Arial" w:ascii="Arial" w:hAnsi="Arial"/>
          <w:sz w:val="23"/>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dollars.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016" w:leader="none"/>
        </w:tabs>
        <w:spacing w:lineRule="atLeast" w:line="0"/>
        <w:ind w:hanging="1016" w:start="1016" w:end="0"/>
        <w:rPr>
          <w:rFonts w:ascii="Arial" w:hAnsi="Arial" w:eastAsia="Arial" w:cs="Arial"/>
          <w:sz w:val="24"/>
        </w:rPr>
      </w:pPr>
      <w:r>
        <w:rPr>
          <w:rFonts w:eastAsia="Arial" w:cs="Arial" w:ascii="Arial" w:hAnsi="Arial"/>
          <w:sz w:val="22"/>
        </w:rPr>
        <w:t>3.   The commission shall maintain a minimum of sixty thousand dollars in the fund for</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recovery purposes. Such funds must be invested and reinvested by the commission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and interest from </w:t>
      </w:r>
      <w:r>
        <w:rPr>
          <w:rFonts w:eastAsia="Arial" w:cs="Arial" w:ascii="Arial" w:hAnsi="Arial"/>
          <w:strike/>
          <w:sz w:val="22"/>
        </w:rPr>
        <w:t>said</w:t>
      </w:r>
      <w:r>
        <w:rPr>
          <w:rFonts w:eastAsia="Arial" w:cs="Arial" w:ascii="Arial" w:hAnsi="Arial"/>
          <w:sz w:val="22"/>
          <w:u w:val="single"/>
        </w:rPr>
        <w:t>the</w:t>
      </w:r>
      <w:r>
        <w:rPr>
          <w:rFonts w:eastAsia="Arial" w:cs="Arial" w:ascii="Arial" w:hAnsi="Arial"/>
          <w:sz w:val="22"/>
        </w:rPr>
        <w:t xml:space="preserve"> investments must be deposited to the credit of the fund.</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93"/>
        </w:numPr>
        <w:tabs>
          <w:tab w:val="clear" w:pos="720"/>
          <w:tab w:val="left" w:pos="1496" w:leader="none"/>
        </w:tabs>
        <w:spacing w:lineRule="atLeast" w:line="0"/>
        <w:ind w:hanging="1496" w:start="1496" w:end="0"/>
        <w:rPr>
          <w:rFonts w:ascii="Arial" w:hAnsi="Arial" w:eastAsia="Arial" w:cs="Arial"/>
          <w:sz w:val="24"/>
        </w:rPr>
      </w:pPr>
      <w:r>
        <w:rPr>
          <w:rFonts w:eastAsia="Arial" w:cs="Arial" w:ascii="Arial" w:hAnsi="Arial"/>
          <w:sz w:val="22"/>
        </w:rPr>
        <w:t xml:space="preserve">Sufficient liquidity must be maintained so </w:t>
      </w:r>
      <w:r>
        <w:rPr>
          <w:rFonts w:eastAsia="Arial" w:cs="Arial" w:ascii="Arial" w:hAnsi="Arial"/>
          <w:strike/>
          <w:sz w:val="22"/>
        </w:rPr>
        <w:t>that</w:t>
      </w:r>
      <w:r>
        <w:rPr>
          <w:rFonts w:eastAsia="Arial" w:cs="Arial" w:ascii="Arial" w:hAnsi="Arial"/>
          <w:sz w:val="22"/>
        </w:rPr>
        <w:t xml:space="preserve"> moneys are available to satisfy all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
            <wp:simplePos x="0" y="0"/>
            <wp:positionH relativeFrom="column">
              <wp:posOffset>6178550</wp:posOffset>
            </wp:positionH>
            <wp:positionV relativeFrom="paragraph">
              <wp:posOffset>-3315970</wp:posOffset>
            </wp:positionV>
            <wp:extent cx="39370" cy="762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472" t="-1887" r="-472" b="-1887"/>
                    <a:stretch>
                      <a:fillRect/>
                    </a:stretch>
                  </pic:blipFill>
                  <pic:spPr bwMode="auto">
                    <a:xfrm>
                      <a:off x="0" y="0"/>
                      <a:ext cx="39370" cy="7620"/>
                    </a:xfrm>
                    <a:prstGeom prst="rect">
                      <a:avLst/>
                    </a:prstGeom>
                  </pic:spPr>
                </pic:pic>
              </a:graphicData>
            </a:graphic>
          </wp:anchor>
        </w:drawing>
      </w:r>
    </w:p>
    <w:p>
      <w:pPr>
        <w:sectPr>
          <w:type w:val="nextPage"/>
          <w:pgSz w:w="12240" w:h="15840"/>
          <w:pgMar w:left="1164" w:right="118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56" w:leader="none"/>
        </w:tabs>
        <w:spacing w:lineRule="atLeast" w:line="0"/>
        <w:ind w:start="4536" w:end="0"/>
        <w:rPr/>
      </w:pPr>
      <w:r>
        <w:rPr>
          <w:rFonts w:eastAsia="Arial" w:cs="Arial" w:ascii="Arial" w:hAnsi="Arial"/>
          <w:sz w:val="22"/>
        </w:rPr>
        <w:t>Page No. 15</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4" w:right="1180" w:gutter="0" w:header="0" w:top="657" w:footer="0" w:bottom="48"/>
          <w:formProt w:val="false"/>
          <w:textDirection w:val="lrTb"/>
          <w:docGrid w:type="default" w:linePitch="360" w:charSpace="0"/>
        </w:sectPr>
      </w:pPr>
    </w:p>
    <w:p>
      <w:pPr>
        <w:pStyle w:val="Normal"/>
        <w:spacing w:lineRule="atLeast" w:line="0"/>
        <w:ind w:start="580" w:end="0"/>
        <w:rPr>
          <w:rFonts w:ascii="Arial" w:hAnsi="Arial" w:eastAsia="Arial" w:cs="Arial"/>
          <w:sz w:val="22"/>
        </w:rPr>
      </w:pPr>
      <w:bookmarkStart w:id="18" w:name="page16"/>
      <w:bookmarkEnd w:id="18"/>
      <w:r>
        <w:rPr>
          <w:rFonts w:eastAsia="Arial" w:cs="Arial" w:ascii="Arial" w:hAnsi="Arial"/>
          <w:sz w:val="22"/>
        </w:rPr>
        <w:t>Sixty-seventh</w:t>
      </w:r>
    </w:p>
    <w:p>
      <w:pPr>
        <w:pStyle w:val="Normal"/>
        <w:spacing w:lineRule="atLeast" w:line="0"/>
        <w:ind w:start="580"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4"/>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 xml:space="preserve">claims </w:t>
      </w:r>
      <w:r>
        <w:rPr>
          <w:rFonts w:eastAsia="Arial" w:cs="Arial" w:ascii="Arial" w:hAnsi="Arial"/>
          <w:strike/>
          <w:sz w:val="22"/>
        </w:rPr>
        <w:t>which</w:t>
      </w:r>
      <w:r>
        <w:rPr>
          <w:rFonts w:eastAsia="Arial" w:cs="Arial" w:ascii="Arial" w:hAnsi="Arial"/>
          <w:sz w:val="22"/>
          <w:u w:val="single"/>
        </w:rPr>
        <w:t>that</w:t>
      </w:r>
      <w:r>
        <w:rPr>
          <w:rFonts w:eastAsia="Arial" w:cs="Arial" w:ascii="Arial" w:hAnsi="Arial"/>
          <w:sz w:val="22"/>
        </w:rPr>
        <w:t xml:space="preserve"> are processed through the commission by means of the procedures</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established in this chapter.</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6"/>
        </w:numPr>
        <w:tabs>
          <w:tab w:val="clear" w:pos="720"/>
          <w:tab w:val="left" w:pos="1020" w:leader="none"/>
        </w:tabs>
        <w:spacing w:lineRule="atLeast" w:line="0"/>
        <w:ind w:hanging="884" w:start="1020" w:end="0"/>
        <w:rPr>
          <w:rFonts w:ascii="Arial" w:hAnsi="Arial" w:eastAsia="Arial" w:cs="Arial"/>
          <w:sz w:val="24"/>
        </w:rPr>
      </w:pPr>
      <w:r>
        <w:rPr>
          <w:rFonts w:eastAsia="Arial" w:cs="Arial" w:ascii="Arial" w:hAnsi="Arial"/>
          <w:sz w:val="22"/>
        </w:rPr>
        <w:t xml:space="preserve">4.   The commission, in </w:t>
      </w:r>
      <w:r>
        <w:rPr>
          <w:rFonts w:eastAsia="Arial" w:cs="Arial" w:ascii="Arial" w:hAnsi="Arial"/>
          <w:strike/>
          <w:sz w:val="22"/>
        </w:rPr>
        <w:t>its</w:t>
      </w:r>
      <w:r>
        <w:rPr>
          <w:rFonts w:eastAsia="Arial" w:cs="Arial" w:ascii="Arial" w:hAnsi="Arial"/>
          <w:sz w:val="22"/>
          <w:u w:val="single"/>
        </w:rPr>
        <w:t>the commission's</w:t>
      </w:r>
      <w:r>
        <w:rPr>
          <w:rFonts w:eastAsia="Arial" w:cs="Arial" w:ascii="Arial" w:hAnsi="Arial"/>
          <w:sz w:val="22"/>
        </w:rPr>
        <w:t xml:space="preserve"> discretion, may use any moneys in the fund in</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7"/>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 xml:space="preserve">excess of sixty thousand dollars, regardless of whether </w:t>
      </w:r>
      <w:r>
        <w:rPr>
          <w:rFonts w:eastAsia="Arial" w:cs="Arial" w:ascii="Arial" w:hAnsi="Arial"/>
          <w:strike/>
          <w:sz w:val="22"/>
        </w:rPr>
        <w:t>it</w:t>
      </w:r>
      <w:r>
        <w:rPr>
          <w:rFonts w:eastAsia="Arial" w:cs="Arial" w:ascii="Arial" w:hAnsi="Arial"/>
          <w:sz w:val="22"/>
          <w:u w:val="single"/>
        </w:rPr>
        <w:t>the excess</w:t>
      </w:r>
      <w:r>
        <w:rPr>
          <w:rFonts w:eastAsia="Arial" w:cs="Arial" w:ascii="Arial" w:hAnsi="Arial"/>
          <w:sz w:val="22"/>
        </w:rPr>
        <w:t xml:space="preserve"> is from education,</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8"/>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research, and recovery fund fees or accrued interest thereon, for the following</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9"/>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purposes:</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0"/>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a.   To promote the advancement of education and research in the field of real estate</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ind w:start="140" w:end="0"/>
        <w:rPr/>
      </w:pPr>
      <w:r>
        <w:rPr>
          <w:rFonts w:eastAsia="Arial" w:cs="Arial" w:ascii="Arial" w:hAnsi="Arial"/>
          <w:sz w:val="24"/>
        </w:rPr>
        <w:t>8</w:t>
      </w:r>
      <w:r>
        <w:rPr>
          <w:rFonts w:eastAsia="Times New Roman" w:cs="Times New Roman" w:ascii="Times New Roman" w:hAnsi="Times New Roman"/>
        </w:rPr>
        <w:tab/>
      </w:r>
      <w:r>
        <w:rPr>
          <w:rFonts w:eastAsia="Arial" w:cs="Arial" w:ascii="Arial" w:hAnsi="Arial"/>
          <w:sz w:val="22"/>
        </w:rPr>
        <w:t>for the benefit of those licensed under chapter 43-23.</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1"/>
        </w:numPr>
        <w:tabs>
          <w:tab w:val="clear" w:pos="720"/>
          <w:tab w:val="left" w:pos="1500" w:leader="none"/>
        </w:tabs>
        <w:spacing w:lineRule="atLeast" w:line="0"/>
        <w:ind w:hanging="1364" w:start="1500" w:end="0"/>
        <w:rPr>
          <w:rFonts w:ascii="Arial" w:hAnsi="Arial" w:eastAsia="Arial" w:cs="Arial"/>
          <w:sz w:val="24"/>
        </w:rPr>
      </w:pPr>
      <w:r>
        <w:rPr>
          <w:rFonts w:eastAsia="Arial" w:cs="Arial" w:ascii="Arial" w:hAnsi="Arial"/>
          <w:sz w:val="22"/>
        </w:rPr>
        <w:t>b.   To underwrite educational seminars and other forms of educational projects for</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10</w:t>
      </w:r>
      <w:r>
        <w:rPr>
          <w:rFonts w:eastAsia="Times New Roman" w:cs="Times New Roman" w:ascii="Times New Roman" w:hAnsi="Times New Roman"/>
        </w:rPr>
        <w:tab/>
      </w:r>
      <w:r>
        <w:rPr>
          <w:rFonts w:eastAsia="Arial" w:cs="Arial" w:ascii="Arial" w:hAnsi="Arial"/>
          <w:sz w:val="22"/>
        </w:rPr>
        <w:t>the benefit of real estate licensees.</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2"/>
        </w:numPr>
        <w:tabs>
          <w:tab w:val="clear" w:pos="720"/>
          <w:tab w:val="left" w:pos="1520" w:leader="none"/>
        </w:tabs>
        <w:spacing w:lineRule="atLeast" w:line="0"/>
        <w:ind w:hanging="1498" w:start="1520" w:end="0"/>
        <w:rPr>
          <w:rFonts w:ascii="Arial" w:hAnsi="Arial" w:eastAsia="Arial" w:cs="Arial"/>
          <w:sz w:val="24"/>
        </w:rPr>
      </w:pPr>
      <w:r>
        <w:rPr>
          <w:rFonts w:eastAsia="Arial" w:cs="Arial" w:ascii="Arial" w:hAnsi="Arial"/>
          <w:sz w:val="22"/>
        </w:rPr>
        <w:t>c.   To establish a real estate chair or courses at North Dakota institutions of higher</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tbl>
      <w:tblPr>
        <w:tblW w:w="9640" w:type="dxa"/>
        <w:jc w:val="start"/>
        <w:tblInd w:w="0" w:type="dxa"/>
        <w:tblLayout w:type="fixed"/>
        <w:tblCellMar>
          <w:top w:w="0" w:type="dxa"/>
          <w:start w:w="0" w:type="dxa"/>
          <w:bottom w:w="0" w:type="dxa"/>
          <w:end w:w="0" w:type="dxa"/>
        </w:tblCellMar>
      </w:tblPr>
      <w:tblGrid>
        <w:gridCol w:w="1120"/>
        <w:gridCol w:w="8520"/>
      </w:tblGrid>
      <w:tr>
        <w:trPr>
          <w:trHeight w:val="317"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12</w:t>
            </w:r>
          </w:p>
        </w:tc>
        <w:tc>
          <w:tcPr>
            <w:tcW w:w="8520" w:type="dxa"/>
            <w:tcBorders/>
          </w:tcPr>
          <w:p>
            <w:pPr>
              <w:pStyle w:val="Normal"/>
              <w:spacing w:lineRule="atLeast" w:line="0"/>
              <w:ind w:start="860" w:end="0"/>
              <w:rPr>
                <w:rFonts w:ascii="Arial" w:hAnsi="Arial" w:eastAsia="Arial" w:cs="Arial"/>
                <w:w w:val="99"/>
                <w:sz w:val="22"/>
              </w:rPr>
            </w:pPr>
            <w:r>
              <w:rPr>
                <w:rFonts w:eastAsia="Arial" w:cs="Arial" w:ascii="Arial" w:hAnsi="Arial"/>
                <w:w w:val="99"/>
                <w:sz w:val="22"/>
              </w:rPr>
              <w:t>learning for the purpose of making such courses available to licensees and the</w:t>
            </w:r>
          </w:p>
        </w:tc>
      </w:tr>
      <w:tr>
        <w:trPr>
          <w:trHeight w:val="424" w:hRule="atLeast"/>
        </w:trPr>
        <w:tc>
          <w:tcPr>
            <w:tcW w:w="1120" w:type="dxa"/>
            <w:tcBorders/>
          </w:tcPr>
          <w:p>
            <w:pPr>
              <w:pStyle w:val="Normal"/>
              <w:spacing w:lineRule="atLeast" w:line="0"/>
              <w:ind w:end="720"/>
              <w:jc w:val="end"/>
              <w:rPr>
                <w:rFonts w:ascii="Arial" w:hAnsi="Arial" w:eastAsia="Arial" w:cs="Arial"/>
                <w:w w:val="97"/>
                <w:sz w:val="24"/>
              </w:rPr>
            </w:pPr>
            <w:r>
              <w:rPr>
                <w:rFonts w:eastAsia="Arial" w:cs="Arial" w:ascii="Arial" w:hAnsi="Arial"/>
                <w:w w:val="97"/>
                <w:sz w:val="24"/>
              </w:rPr>
              <w:t>13</w:t>
            </w:r>
          </w:p>
        </w:tc>
        <w:tc>
          <w:tcPr>
            <w:tcW w:w="8520" w:type="dxa"/>
            <w:tcBorders/>
          </w:tcPr>
          <w:p>
            <w:pPr>
              <w:pStyle w:val="Normal"/>
              <w:spacing w:lineRule="atLeast" w:line="0"/>
              <w:ind w:start="860" w:end="0"/>
              <w:rPr>
                <w:rFonts w:ascii="Arial" w:hAnsi="Arial" w:eastAsia="Arial" w:cs="Arial"/>
                <w:sz w:val="22"/>
              </w:rPr>
            </w:pPr>
            <w:r>
              <w:rPr>
                <w:rFonts w:eastAsia="Arial" w:cs="Arial" w:ascii="Arial" w:hAnsi="Arial"/>
                <w:sz w:val="22"/>
              </w:rPr>
              <w:t>general public.</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3"/>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d.   To contract for a particular educational or research project in the field of real</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960" w:leader="none"/>
        </w:tabs>
        <w:spacing w:lineRule="atLeast" w:line="0"/>
        <w:rPr/>
      </w:pPr>
      <w:r>
        <w:rPr>
          <w:rFonts w:eastAsia="Arial" w:cs="Arial" w:ascii="Arial" w:hAnsi="Arial"/>
          <w:sz w:val="24"/>
        </w:rPr>
        <w:t>15</w:t>
      </w:r>
      <w:r>
        <w:rPr>
          <w:rFonts w:eastAsia="Times New Roman" w:cs="Times New Roman" w:ascii="Times New Roman" w:hAnsi="Times New Roman"/>
        </w:rPr>
        <w:tab/>
      </w:r>
      <w:r>
        <w:rPr>
          <w:rFonts w:eastAsia="Arial" w:cs="Arial" w:ascii="Arial" w:hAnsi="Arial"/>
          <w:sz w:val="22"/>
        </w:rPr>
        <w:t>estate to further the purposes of chapter 43-23.</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4"/>
        </w:numPr>
        <w:tabs>
          <w:tab w:val="clear" w:pos="720"/>
          <w:tab w:val="left" w:pos="1020" w:leader="none"/>
        </w:tabs>
        <w:spacing w:lineRule="atLeast" w:line="0"/>
        <w:ind w:hanging="1016" w:start="1020" w:end="0"/>
        <w:rPr>
          <w:rFonts w:ascii="Arial" w:hAnsi="Arial" w:eastAsia="Arial" w:cs="Arial"/>
          <w:sz w:val="24"/>
        </w:rPr>
      </w:pPr>
      <w:r>
        <w:rPr>
          <w:rFonts w:eastAsia="Arial" w:cs="Arial" w:ascii="Arial" w:hAnsi="Arial"/>
          <w:sz w:val="22"/>
        </w:rPr>
        <w:t>5.   The executive director of the commission shall furnish a bond in the amount of sixty</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1500" w:leader="none"/>
        </w:tabs>
        <w:spacing w:lineRule="atLeast" w:line="0"/>
        <w:ind w:hanging="1496" w:start="1500" w:end="0"/>
        <w:rPr>
          <w:rFonts w:ascii="Arial" w:hAnsi="Arial" w:eastAsia="Arial" w:cs="Arial"/>
          <w:sz w:val="24"/>
        </w:rPr>
      </w:pPr>
      <w:r>
        <w:rPr>
          <w:rFonts w:eastAsia="Arial" w:cs="Arial" w:ascii="Arial" w:hAnsi="Arial"/>
          <w:sz w:val="22"/>
        </w:rPr>
        <w:t>thousand dollars, upon such conditions as the commission may prescribe.</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980" w:leader="none"/>
        </w:tabs>
        <w:spacing w:lineRule="atLeast" w:line="0"/>
        <w:ind w:hanging="976" w:start="980" w:end="0"/>
        <w:rPr>
          <w:rFonts w:ascii="Arial" w:hAnsi="Arial" w:eastAsia="Arial" w:cs="Arial"/>
          <w:sz w:val="24"/>
        </w:rPr>
      </w:pPr>
      <w:r>
        <w:rPr>
          <w:rFonts w:eastAsia="Arial" w:cs="Arial" w:ascii="Arial" w:hAnsi="Arial"/>
          <w:b/>
          <w:sz w:val="22"/>
        </w:rPr>
        <w:t>SECTION 17. AMENDMENT.</w:t>
      </w:r>
      <w:r>
        <w:rPr>
          <w:rFonts w:eastAsia="Arial" w:cs="Arial" w:ascii="Arial" w:hAnsi="Arial"/>
          <w:sz w:val="22"/>
        </w:rPr>
        <w:t xml:space="preserve"> Section 43-23.2-03 of the North Dakota Century Code is</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amended and reenacted as follows:</w:t>
      </w:r>
    </w:p>
    <w:p>
      <w:pPr>
        <w:pStyle w:val="Normal"/>
        <w:spacing w:lineRule="exact" w:line="147"/>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980" w:leader="none"/>
        </w:tabs>
        <w:spacing w:lineRule="atLeast" w:line="0"/>
        <w:ind w:hanging="976" w:start="980" w:end="0"/>
        <w:rPr>
          <w:rFonts w:ascii="Arial" w:hAnsi="Arial" w:eastAsia="Arial" w:cs="Arial"/>
          <w:sz w:val="24"/>
        </w:rPr>
      </w:pPr>
      <w:r>
        <w:rPr>
          <w:rFonts w:eastAsia="Arial" w:cs="Arial" w:ascii="Arial" w:hAnsi="Arial"/>
          <w:b/>
          <w:sz w:val="22"/>
        </w:rPr>
        <w:t>43-23.2-03. Claims against fund - Orders for payment.</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980" w:leader="none"/>
        </w:tabs>
        <w:spacing w:lineRule="atLeast" w:line="0"/>
        <w:ind w:hanging="976" w:start="980" w:end="0"/>
        <w:rPr>
          <w:rFonts w:ascii="Arial" w:hAnsi="Arial" w:eastAsia="Arial" w:cs="Arial"/>
          <w:sz w:val="24"/>
        </w:rPr>
      </w:pPr>
      <w:r>
        <w:rPr>
          <w:rFonts w:eastAsia="Arial" w:cs="Arial" w:ascii="Arial" w:hAnsi="Arial"/>
          <w:sz w:val="22"/>
        </w:rPr>
        <w:t>When any aggrieved person obtains a final judgment in any court of competent jurisdiction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against any person licensed under chapter 43-23, on grounds of fraudulent, deceptive, or</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dishonest practices, or conversion of trust funds arising directly out of any act or transaction</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when the judgment debtor was licensed and performed acts for which a license is required</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 xml:space="preserve">under chapter 43-23, </w:t>
      </w:r>
      <w:r>
        <w:rPr>
          <w:rFonts w:eastAsia="Arial" w:cs="Arial" w:ascii="Arial" w:hAnsi="Arial"/>
          <w:strike/>
          <w:sz w:val="22"/>
        </w:rPr>
        <w:t>and which act or transaction occurred on or after July 1, 1975,</w:t>
      </w:r>
      <w:r>
        <w:rPr>
          <w:rFonts w:eastAsia="Arial" w:cs="Arial" w:ascii="Arial" w:hAnsi="Arial"/>
          <w:sz w:val="22"/>
        </w:rPr>
        <w:t xml:space="preserve"> the</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aggrieved person may, upon obtaining such final judgment, file an application in the court in</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which the judgment was entered for an order directing payment out of the fund in the amount of</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the actual and direct loss up to the sum of fifteen thousand dollars, unpaid on the judgment,</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provided that nothing contained within this chapter may be construed to obligate the fund for</w:t>
      </w:r>
    </w:p>
    <w:p>
      <w:pPr>
        <w:pStyle w:val="Normal"/>
        <w:spacing w:lineRule="exact" w:line="150"/>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more than fifteen thousand dollars per transaction regardless of the number of persons</w:t>
      </w:r>
    </w:p>
    <w:p>
      <w:pPr>
        <w:pStyle w:val="Normal"/>
        <w:spacing w:lineRule="exact" w:line="148"/>
        <w:rPr>
          <w:rFonts w:ascii="Arial" w:hAnsi="Arial" w:eastAsia="Arial" w:cs="Arial"/>
          <w:sz w:val="24"/>
        </w:rPr>
      </w:pPr>
      <w:r>
        <w:rPr>
          <w:rFonts w:eastAsia="Arial" w:cs="Arial" w:ascii="Arial" w:hAnsi="Arial"/>
          <w:sz w:val="24"/>
        </w:rPr>
      </w:r>
    </w:p>
    <w:p>
      <w:pPr>
        <w:pStyle w:val="Normal"/>
        <w:numPr>
          <w:ilvl w:val="0"/>
          <w:numId w:val="104"/>
        </w:numPr>
        <w:tabs>
          <w:tab w:val="clear" w:pos="720"/>
          <w:tab w:val="left" w:pos="580" w:leader="none"/>
        </w:tabs>
        <w:spacing w:lineRule="atLeast" w:line="0"/>
        <w:ind w:hanging="576" w:start="580" w:end="0"/>
        <w:rPr>
          <w:rFonts w:ascii="Arial" w:hAnsi="Arial" w:eastAsia="Arial" w:cs="Arial"/>
          <w:sz w:val="24"/>
        </w:rPr>
      </w:pPr>
      <w:r>
        <w:rPr>
          <w:rFonts w:eastAsia="Arial" w:cs="Arial" w:ascii="Arial" w:hAnsi="Arial"/>
          <w:sz w:val="22"/>
        </w:rPr>
        <w:t>aggrieved or parcels of real estate involved in the transaction. The application must be verified</w:t>
      </w:r>
    </w:p>
    <w:p>
      <w:pPr>
        <w:sectPr>
          <w:type w:val="nextPage"/>
          <w:pgSz w:w="12240" w:h="15840"/>
          <w:pgMar w:left="1160" w:right="120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760" w:leader="none"/>
        </w:tabs>
        <w:spacing w:lineRule="atLeast" w:line="0"/>
        <w:ind w:start="4540" w:end="0"/>
        <w:rPr/>
      </w:pPr>
      <w:r>
        <w:rPr>
          <w:rFonts w:eastAsia="Arial" w:cs="Arial" w:ascii="Arial" w:hAnsi="Arial"/>
          <w:sz w:val="22"/>
        </w:rPr>
        <w:t>Page No. 16</w:t>
      </w:r>
      <w:r>
        <w:rPr>
          <w:rFonts w:eastAsia="Times New Roman" w:cs="Times New Roman" w:ascii="Times New Roman" w:hAnsi="Times New Roman"/>
        </w:rPr>
        <w:tab/>
      </w:r>
      <w:r>
        <w:rPr>
          <w:rFonts w:eastAsia="Arial" w:cs="Arial" w:ascii="Arial" w:hAnsi="Arial"/>
          <w:sz w:val="21"/>
        </w:rPr>
        <w:t>21.0591.03001</w:t>
      </w:r>
    </w:p>
    <w:p>
      <w:pPr>
        <w:sectPr>
          <w:type w:val="continuous"/>
          <w:pgSz w:w="12240" w:h="15840"/>
          <w:pgMar w:left="1160" w:right="1200" w:gutter="0" w:header="0" w:top="657" w:footer="0" w:bottom="48"/>
          <w:formProt w:val="false"/>
          <w:textDirection w:val="lrTb"/>
          <w:docGrid w:type="default" w:linePitch="360" w:charSpace="0"/>
        </w:sectPr>
      </w:pPr>
    </w:p>
    <w:p>
      <w:pPr>
        <w:pStyle w:val="Normal"/>
        <w:spacing w:lineRule="atLeast" w:line="0"/>
        <w:ind w:start="444" w:end="0"/>
        <w:rPr>
          <w:rFonts w:ascii="Arial" w:hAnsi="Arial" w:eastAsia="Arial" w:cs="Arial"/>
          <w:sz w:val="22"/>
        </w:rPr>
      </w:pPr>
      <w:bookmarkStart w:id="19" w:name="page17"/>
      <w:bookmarkEnd w:id="19"/>
      <w:r>
        <w:rPr>
          <w:rFonts w:eastAsia="Arial" w:cs="Arial" w:ascii="Arial" w:hAnsi="Arial"/>
          <w:sz w:val="22"/>
        </w:rPr>
        <w:t>Sixty-seventh</w:t>
      </w:r>
    </w:p>
    <w:p>
      <w:pPr>
        <w:pStyle w:val="Normal"/>
        <w:spacing w:lineRule="atLeast" w:line="0"/>
        <w:ind w:start="444" w:end="0"/>
        <w:rPr>
          <w:rFonts w:ascii="Arial" w:hAnsi="Arial" w:eastAsia="Arial" w:cs="Arial"/>
          <w:sz w:val="22"/>
        </w:rPr>
      </w:pPr>
      <w:r>
        <w:rPr>
          <w:rFonts w:eastAsia="Arial" w:cs="Arial" w:ascii="Arial" w:hAnsi="Arial"/>
          <w:sz w:val="22"/>
        </w:rPr>
        <w:t>Legislative Assembly</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5"/>
        </w:numPr>
        <w:tabs>
          <w:tab w:val="clear" w:pos="720"/>
          <w:tab w:val="left" w:pos="444" w:leader="none"/>
        </w:tabs>
        <w:spacing w:lineRule="atLeast" w:line="0"/>
        <w:ind w:hanging="444" w:start="444" w:end="0"/>
        <w:rPr>
          <w:rFonts w:ascii="Arial" w:hAnsi="Arial" w:eastAsia="Arial" w:cs="Arial"/>
          <w:sz w:val="24"/>
        </w:rPr>
      </w:pPr>
      <w:r>
        <w:rPr>
          <w:rFonts w:eastAsia="Arial" w:cs="Arial" w:ascii="Arial" w:hAnsi="Arial"/>
          <w:sz w:val="22"/>
        </w:rPr>
        <w:t>and must be served on the commission and upon the judgment debtor and an affidavit of</w:t>
      </w:r>
    </w:p>
    <w:p>
      <w:pPr>
        <w:pStyle w:val="Normal"/>
        <w:spacing w:lineRule="exact" w:line="129"/>
        <w:rPr>
          <w:rFonts w:ascii="Arial" w:hAnsi="Arial" w:eastAsia="Arial" w:cs="Arial"/>
          <w:sz w:val="24"/>
        </w:rPr>
      </w:pPr>
      <w:r>
        <w:rPr>
          <w:rFonts w:eastAsia="Arial" w:cs="Arial" w:ascii="Arial" w:hAnsi="Arial"/>
          <w:sz w:val="24"/>
        </w:rPr>
      </w:r>
    </w:p>
    <w:p>
      <w:pPr>
        <w:pStyle w:val="Normal"/>
        <w:spacing w:lineRule="atLeast" w:line="0"/>
        <w:ind w:start="4" w:end="0"/>
        <w:rPr/>
      </w:pPr>
      <w:r>
        <w:rPr>
          <w:rFonts w:eastAsia="Arial" w:cs="Arial" w:ascii="Arial" w:hAnsi="Arial"/>
          <w:sz w:val="24"/>
        </w:rPr>
        <w:t>2</w:t>
      </w:r>
      <w:r>
        <w:rPr>
          <w:rFonts w:eastAsia="Arial" w:cs="Arial" w:ascii="Arial" w:hAnsi="Arial"/>
          <w:sz w:val="22"/>
        </w:rPr>
        <w:t xml:space="preserve">   service filed with the court.</w:t>
      </w:r>
    </w:p>
    <w:p>
      <w:pPr>
        <w:pStyle w:val="Normal"/>
        <w:spacing w:lineRule="exact" w:line="148"/>
        <w:rPr>
          <w:rFonts w:ascii="Arial" w:hAnsi="Arial" w:eastAsia="Arial" w:cs="Arial"/>
          <w:sz w:val="24"/>
        </w:rPr>
      </w:pPr>
      <w:r>
        <w:rPr>
          <w:rFonts w:eastAsia="Arial" w:cs="Arial" w:ascii="Arial" w:hAnsi="Arial"/>
          <w:sz w:val="24"/>
        </w:rPr>
      </w:r>
    </w:p>
    <w:p>
      <w:pPr>
        <w:pStyle w:val="Normal"/>
        <w:spacing w:lineRule="atLeast" w:line="0"/>
        <w:ind w:start="4" w:end="0"/>
        <w:rPr/>
      </w:pPr>
      <w:r>
        <w:rPr>
          <w:rFonts w:eastAsia="Arial" w:cs="Arial" w:ascii="Arial" w:hAnsi="Arial"/>
          <w:sz w:val="24"/>
        </w:rPr>
        <w:t>3</w:t>
      </w:r>
      <w:r>
        <w:rPr>
          <w:rFonts w:eastAsia="Arial" w:cs="Arial" w:ascii="Arial" w:hAnsi="Arial"/>
          <w:b/>
          <w:sz w:val="22"/>
        </w:rPr>
        <w:t>SECTION 18. REPEAL.</w:t>
      </w:r>
      <w:r>
        <w:rPr>
          <w:rFonts w:eastAsia="Arial" w:cs="Arial" w:ascii="Arial" w:hAnsi="Arial"/>
          <w:sz w:val="22"/>
        </w:rPr>
        <w:t xml:space="preserve"> Chapter 43-23.4 of the North Dakota Century Code is repealed.</w:t>
      </w:r>
    </w:p>
    <w:p>
      <w:pPr>
        <w:sectPr>
          <w:type w:val="nextPage"/>
          <w:pgSz w:w="12240" w:h="15840"/>
          <w:pgMar w:left="1296" w:right="1440" w:gutter="0" w:header="0" w:top="657" w:footer="0" w:bottom="4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624" w:leader="none"/>
        </w:tabs>
        <w:spacing w:lineRule="atLeast" w:line="0"/>
        <w:ind w:start="4404" w:end="0"/>
        <w:rPr/>
      </w:pPr>
      <w:r>
        <w:rPr>
          <w:rFonts w:eastAsia="Arial" w:cs="Arial" w:ascii="Arial" w:hAnsi="Arial"/>
          <w:sz w:val="22"/>
        </w:rPr>
        <w:t>Page No. 17</w:t>
      </w:r>
      <w:r>
        <w:rPr>
          <w:rFonts w:eastAsia="Times New Roman" w:cs="Times New Roman" w:ascii="Times New Roman" w:hAnsi="Times New Roman"/>
        </w:rPr>
        <w:tab/>
      </w:r>
      <w:r>
        <w:rPr>
          <w:rFonts w:eastAsia="Arial" w:cs="Arial" w:ascii="Arial" w:hAnsi="Arial"/>
          <w:sz w:val="21"/>
        </w:rPr>
        <w:t>21.0591.03001</w:t>
      </w:r>
    </w:p>
    <w:sectPr>
      <w:type w:val="continuous"/>
      <w:pgSz w:w="12240" w:h="15840"/>
      <w:pgMar w:left="1296" w:right="1440" w:gutter="0" w:header="0" w:top="657" w:footer="0" w:bottom="4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0"/>
      <w:numFmt w:val="decimal"/>
      <w:lvlText w:val="%1"/>
      <w:lvlJc w:val="start"/>
      <w:pPr>
        <w:tabs>
          <w:tab w:val="num" w:pos="0"/>
        </w:tabs>
        <w:ind w:start="0" w:hanging="0"/>
      </w:p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0"/>
      <w:numFmt w:val="decimal"/>
      <w:lvlText w:val="%1"/>
      <w:lvlJc w:val="start"/>
      <w:pPr>
        <w:tabs>
          <w:tab w:val="num" w:pos="0"/>
        </w:tabs>
        <w:ind w:start="0" w:hanging="0"/>
      </w:p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0"/>
      <w:numFmt w:val="decimal"/>
      <w:lvlText w:val="%1"/>
      <w:lvlJc w:val="start"/>
      <w:pPr>
        <w:tabs>
          <w:tab w:val="num" w:pos="0"/>
        </w:tabs>
        <w:ind w:start="0" w:hanging="0"/>
      </w:pPr>
    </w:lvl>
  </w:abstractNum>
  <w:abstractNum w:abstractNumId="10">
    <w:lvl w:ilvl="0">
      <w:start w:val="29"/>
      <w:numFmt w:val="decimal"/>
      <w:lvlText w:val="%1"/>
      <w:lvlJc w:val="start"/>
      <w:pPr>
        <w:tabs>
          <w:tab w:val="num" w:pos="0"/>
        </w:tabs>
        <w:ind w:start="0" w:hanging="0"/>
      </w:p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bullet"/>
      <w:lvlText w:val=""/>
      <w:lvlJc w:val="start"/>
      <w:pPr>
        <w:tabs>
          <w:tab w:val="num" w:pos="0"/>
        </w:tabs>
        <w:ind w:start="0" w:hanging="0"/>
      </w:pPr>
      <w:rPr>
        <w:rFonts w:ascii="Symbol" w:hAnsi="Symbol" w:cs="Symbol" w:hint="default"/>
      </w:rPr>
    </w:lvl>
  </w:abstractNum>
  <w:abstractNum w:abstractNumId="18">
    <w:lvl w:ilvl="0">
      <w:start w:val="10"/>
      <w:numFmt w:val="decimal"/>
      <w:lvlText w:val="%1"/>
      <w:lvlJc w:val="start"/>
      <w:pPr>
        <w:tabs>
          <w:tab w:val="num" w:pos="0"/>
        </w:tabs>
        <w:ind w:start="0" w:hanging="0"/>
      </w:pPr>
    </w:lvl>
  </w:abstractNum>
  <w:abstractNum w:abstractNumId="19">
    <w:lvl w:ilvl="0">
      <w:start w:val="2"/>
      <w:numFmt w:val="decimal"/>
      <w:lvlText w:val="%1."/>
      <w:lvlJc w:val="start"/>
      <w:pPr>
        <w:tabs>
          <w:tab w:val="num" w:pos="0"/>
        </w:tabs>
        <w:ind w:start="0" w:hanging="0"/>
      </w:pPr>
    </w:lvl>
  </w:abstractNum>
  <w:abstractNum w:abstractNumId="20">
    <w:lvl w:ilvl="0">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bullet"/>
      <w:lvlText w:val=""/>
      <w:lvlJc w:val="start"/>
      <w:pPr>
        <w:tabs>
          <w:tab w:val="num" w:pos="0"/>
        </w:tabs>
        <w:ind w:start="0" w:hanging="0"/>
      </w:pPr>
      <w:rPr>
        <w:rFonts w:ascii="Symbol" w:hAnsi="Symbol" w:cs="Symbol" w:hint="default"/>
      </w:rPr>
    </w:lvl>
  </w:abstractNum>
  <w:abstractNum w:abstractNumId="22">
    <w:lvl w:ilvl="0">
      <w:start w:val="10"/>
      <w:numFmt w:val="decimal"/>
      <w:lvlText w:val="%1"/>
      <w:lvlJc w:val="start"/>
      <w:pPr>
        <w:tabs>
          <w:tab w:val="num" w:pos="0"/>
        </w:tabs>
        <w:ind w:start="0" w:hanging="0"/>
      </w:pPr>
    </w:lvl>
  </w:abstractNum>
  <w:abstractNum w:abstractNumId="23">
    <w:lvl w:ilvl="0">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bullet"/>
      <w:lvlText w:val=""/>
      <w:lvlJc w:val="start"/>
      <w:pPr>
        <w:tabs>
          <w:tab w:val="num" w:pos="0"/>
        </w:tabs>
        <w:ind w:start="0" w:hanging="0"/>
      </w:pPr>
      <w:rPr>
        <w:rFonts w:ascii="Symbol" w:hAnsi="Symbol" w:cs="Symbol" w:hint="default"/>
      </w:rPr>
    </w:lvl>
  </w:abstractNum>
  <w:abstractNum w:abstractNumId="28">
    <w:lvl w:ilvl="0">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bullet"/>
      <w:lvlText w:val=""/>
      <w:lvlJc w:val="start"/>
      <w:pPr>
        <w:tabs>
          <w:tab w:val="num" w:pos="0"/>
        </w:tabs>
        <w:ind w:start="0" w:hanging="0"/>
      </w:pPr>
      <w:rPr>
        <w:rFonts w:ascii="Symbol" w:hAnsi="Symbol" w:cs="Symbol" w:hint="default"/>
      </w:rPr>
    </w:lvl>
  </w:abstractNum>
  <w:abstractNum w:abstractNumId="30">
    <w:lvl w:ilvl="0">
      <w:start w:val="11"/>
      <w:numFmt w:val="decimal"/>
      <w:lvlText w:val="%1"/>
      <w:lvlJc w:val="start"/>
      <w:pPr>
        <w:tabs>
          <w:tab w:val="num" w:pos="0"/>
        </w:tabs>
        <w:ind w:start="0" w:hanging="0"/>
      </w:pPr>
    </w:lvl>
  </w:abstractNum>
  <w:abstractNum w:abstractNumId="31">
    <w:lvl w:ilvl="0">
      <w:start w:val="13"/>
      <w:numFmt w:val="decimal"/>
      <w:lvlText w:val="%1"/>
      <w:lvlJc w:val="start"/>
      <w:pPr>
        <w:tabs>
          <w:tab w:val="num" w:pos="0"/>
        </w:tabs>
        <w:ind w:start="0" w:hanging="0"/>
      </w:pPr>
    </w:lvl>
  </w:abstractNum>
  <w:abstractNum w:abstractNumId="32">
    <w:lvl w:ilvl="0">
      <w:start w:val="20"/>
      <w:numFmt w:val="decimal"/>
      <w:lvlText w:val="%1"/>
      <w:lvlJc w:val="start"/>
      <w:pPr>
        <w:tabs>
          <w:tab w:val="num" w:pos="0"/>
        </w:tabs>
        <w:ind w:start="0" w:hanging="0"/>
      </w:pPr>
    </w:lvl>
  </w:abstractNum>
  <w:abstractNum w:abstractNumId="33">
    <w:lvl w:ilvl="0">
      <w:start w:val="25"/>
      <w:numFmt w:val="decimal"/>
      <w:lvlText w:val="%1"/>
      <w:lvlJc w:val="start"/>
      <w:pPr>
        <w:tabs>
          <w:tab w:val="num" w:pos="0"/>
        </w:tabs>
        <w:ind w:start="0" w:hanging="0"/>
      </w:pPr>
    </w:lvl>
  </w:abstractNum>
  <w:abstractNum w:abstractNumId="34">
    <w:lvl w:ilvl="0">
      <w:start w:val="29"/>
      <w:numFmt w:val="decimal"/>
      <w:lvlText w:val="%1"/>
      <w:lvlJc w:val="start"/>
      <w:pPr>
        <w:tabs>
          <w:tab w:val="num" w:pos="0"/>
        </w:tabs>
        <w:ind w:start="0" w:hanging="0"/>
      </w:pPr>
    </w:lvl>
  </w:abstractNum>
  <w:abstractNum w:abstractNumId="35">
    <w:lvl w:ilvl="0">
      <w:start w:val="1"/>
      <w:numFmt w:val="bullet"/>
      <w:lvlText w:val=""/>
      <w:lvlJc w:val="start"/>
      <w:pPr>
        <w:tabs>
          <w:tab w:val="num" w:pos="0"/>
        </w:tabs>
        <w:ind w:start="0" w:hanging="0"/>
      </w:pPr>
      <w:rPr>
        <w:rFonts w:ascii="Symbol" w:hAnsi="Symbol" w:cs="Symbol" w:hint="default"/>
      </w:rPr>
    </w:lvl>
  </w:abstractNum>
  <w:abstractNum w:abstractNumId="36">
    <w:lvl w:ilvl="0">
      <w:start w:val="1"/>
      <w:numFmt w:val="bullet"/>
      <w:lvlText w:val=""/>
      <w:lvlJc w:val="start"/>
      <w:pPr>
        <w:tabs>
          <w:tab w:val="num" w:pos="0"/>
        </w:tabs>
        <w:ind w:start="0" w:hanging="0"/>
      </w:pPr>
      <w:rPr>
        <w:rFonts w:ascii="Symbol" w:hAnsi="Symbol" w:cs="Symbol" w:hint="default"/>
      </w:rPr>
    </w:lvl>
  </w:abstractNum>
  <w:abstractNum w:abstractNumId="37">
    <w:lvl w:ilvl="0">
      <w:start w:val="1"/>
      <w:numFmt w:val="bullet"/>
      <w:lvlText w:val=""/>
      <w:lvlJc w:val="start"/>
      <w:pPr>
        <w:tabs>
          <w:tab w:val="num" w:pos="0"/>
        </w:tabs>
        <w:ind w:start="0" w:hanging="0"/>
      </w:pPr>
      <w:rPr>
        <w:rFonts w:ascii="Symbol" w:hAnsi="Symbol" w:cs="Symbol" w:hint="default"/>
      </w:rPr>
    </w:lvl>
  </w:abstractNum>
  <w:abstractNum w:abstractNumId="38">
    <w:lvl w:ilvl="0">
      <w:start w:val="11"/>
      <w:numFmt w:val="decimal"/>
      <w:lvlText w:val="%1"/>
      <w:lvlJc w:val="start"/>
      <w:pPr>
        <w:tabs>
          <w:tab w:val="num" w:pos="0"/>
        </w:tabs>
        <w:ind w:start="0" w:hanging="0"/>
      </w:pPr>
    </w:lvl>
  </w:abstractNum>
  <w:abstractNum w:abstractNumId="39">
    <w:lvl w:ilvl="0">
      <w:start w:val="14"/>
      <w:numFmt w:val="decimal"/>
      <w:lvlText w:val="%1"/>
      <w:lvlJc w:val="start"/>
      <w:pPr>
        <w:tabs>
          <w:tab w:val="num" w:pos="0"/>
        </w:tabs>
        <w:ind w:start="0" w:hanging="0"/>
      </w:pPr>
    </w:lvl>
  </w:abstractNum>
  <w:abstractNum w:abstractNumId="40">
    <w:lvl w:ilvl="0">
      <w:start w:val="18"/>
      <w:numFmt w:val="decimal"/>
      <w:lvlText w:val="%1"/>
      <w:lvlJc w:val="start"/>
      <w:pPr>
        <w:tabs>
          <w:tab w:val="num" w:pos="0"/>
        </w:tabs>
        <w:ind w:start="0" w:hanging="0"/>
      </w:pPr>
    </w:lvl>
  </w:abstractNum>
  <w:abstractNum w:abstractNumId="41">
    <w:lvl w:ilvl="0">
      <w:start w:val="20"/>
      <w:numFmt w:val="decimal"/>
      <w:lvlText w:val="%1"/>
      <w:lvlJc w:val="start"/>
      <w:pPr>
        <w:tabs>
          <w:tab w:val="num" w:pos="0"/>
        </w:tabs>
        <w:ind w:start="0" w:hanging="0"/>
      </w:pPr>
    </w:lvl>
  </w:abstractNum>
  <w:abstractNum w:abstractNumId="42">
    <w:lvl w:ilvl="0">
      <w:start w:val="25"/>
      <w:numFmt w:val="decimal"/>
      <w:lvlText w:val="%1"/>
      <w:lvlJc w:val="start"/>
      <w:pPr>
        <w:tabs>
          <w:tab w:val="num" w:pos="0"/>
        </w:tabs>
        <w:ind w:start="0" w:hanging="0"/>
      </w:pPr>
    </w:lvl>
  </w:abstractNum>
  <w:abstractNum w:abstractNumId="43">
    <w:lvl w:ilvl="0">
      <w:start w:val="27"/>
      <w:numFmt w:val="decimal"/>
      <w:lvlText w:val="%1"/>
      <w:lvlJc w:val="start"/>
      <w:pPr>
        <w:tabs>
          <w:tab w:val="num" w:pos="0"/>
        </w:tabs>
        <w:ind w:start="0" w:hanging="0"/>
      </w:pPr>
    </w:lvl>
  </w:abstractNum>
  <w:abstractNum w:abstractNumId="44">
    <w:lvl w:ilvl="0">
      <w:start w:val="29"/>
      <w:numFmt w:val="decimal"/>
      <w:lvlText w:val="%1"/>
      <w:lvlJc w:val="start"/>
      <w:pPr>
        <w:tabs>
          <w:tab w:val="num" w:pos="0"/>
        </w:tabs>
        <w:ind w:start="0" w:hanging="0"/>
      </w:pPr>
    </w:lvl>
  </w:abstractNum>
  <w:abstractNum w:abstractNumId="45">
    <w:lvl w:ilvl="0">
      <w:start w:val="1"/>
      <w:numFmt w:val="bullet"/>
      <w:lvlText w:val=""/>
      <w:lvlJc w:val="start"/>
      <w:pPr>
        <w:tabs>
          <w:tab w:val="num" w:pos="0"/>
        </w:tabs>
        <w:ind w:start="0" w:hanging="0"/>
      </w:pPr>
      <w:rPr>
        <w:rFonts w:ascii="Symbol" w:hAnsi="Symbol" w:cs="Symbol" w:hint="default"/>
      </w:rPr>
    </w:lvl>
  </w:abstractNum>
  <w:abstractNum w:abstractNumId="46">
    <w:lvl w:ilvl="0">
      <w:start w:val="1"/>
      <w:numFmt w:val="bullet"/>
      <w:lvlText w:val=""/>
      <w:lvlJc w:val="start"/>
      <w:pPr>
        <w:tabs>
          <w:tab w:val="num" w:pos="0"/>
        </w:tabs>
        <w:ind w:start="0" w:hanging="0"/>
      </w:pPr>
      <w:rPr>
        <w:rFonts w:ascii="Symbol" w:hAnsi="Symbol" w:cs="Symbol" w:hint="default"/>
      </w:rPr>
    </w:lvl>
  </w:abstractNum>
  <w:abstractNum w:abstractNumId="47">
    <w:lvl w:ilvl="0">
      <w:start w:val="16"/>
      <w:numFmt w:val="decimal"/>
      <w:lvlText w:val="%1"/>
      <w:lvlJc w:val="start"/>
      <w:pPr>
        <w:tabs>
          <w:tab w:val="num" w:pos="0"/>
        </w:tabs>
        <w:ind w:start="0" w:hanging="0"/>
      </w:pPr>
    </w:lvl>
  </w:abstractNum>
  <w:abstractNum w:abstractNumId="48">
    <w:lvl w:ilvl="0">
      <w:start w:val="21"/>
      <w:numFmt w:val="decimal"/>
      <w:lvlText w:val="%1"/>
      <w:lvlJc w:val="start"/>
      <w:pPr>
        <w:tabs>
          <w:tab w:val="num" w:pos="0"/>
        </w:tabs>
        <w:ind w:start="0" w:hanging="0"/>
      </w:pPr>
    </w:lvl>
  </w:abstractNum>
  <w:abstractNum w:abstractNumId="49">
    <w:lvl w:ilvl="0">
      <w:start w:val="24"/>
      <w:numFmt w:val="decimal"/>
      <w:lvlText w:val="%1"/>
      <w:lvlJc w:val="start"/>
      <w:pPr>
        <w:tabs>
          <w:tab w:val="num" w:pos="0"/>
        </w:tabs>
        <w:ind w:start="0" w:hanging="0"/>
      </w:pPr>
    </w:lvl>
  </w:abstractNum>
  <w:abstractNum w:abstractNumId="50">
    <w:lvl w:ilvl="0">
      <w:start w:val="29"/>
      <w:numFmt w:val="decimal"/>
      <w:lvlText w:val="%1"/>
      <w:lvlJc w:val="start"/>
      <w:pPr>
        <w:tabs>
          <w:tab w:val="num" w:pos="0"/>
        </w:tabs>
        <w:ind w:start="0" w:hanging="0"/>
      </w:pPr>
    </w:lvl>
  </w:abstractNum>
  <w:abstractNum w:abstractNumId="51">
    <w:lvl w:ilvl="0">
      <w:start w:val="1"/>
      <w:numFmt w:val="bullet"/>
      <w:lvlText w:val=""/>
      <w:lvlJc w:val="start"/>
      <w:pPr>
        <w:tabs>
          <w:tab w:val="num" w:pos="0"/>
        </w:tabs>
        <w:ind w:start="0" w:hanging="0"/>
      </w:pPr>
      <w:rPr>
        <w:rFonts w:ascii="Symbol" w:hAnsi="Symbol" w:cs="Symbol" w:hint="default"/>
      </w:rPr>
    </w:lvl>
  </w:abstractNum>
  <w:abstractNum w:abstractNumId="52">
    <w:lvl w:ilvl="0">
      <w:start w:val="1"/>
      <w:numFmt w:val="bullet"/>
      <w:lvlText w:val=""/>
      <w:lvlJc w:val="start"/>
      <w:pPr>
        <w:tabs>
          <w:tab w:val="num" w:pos="0"/>
        </w:tabs>
        <w:ind w:start="0" w:hanging="0"/>
      </w:pPr>
      <w:rPr>
        <w:rFonts w:ascii="Symbol" w:hAnsi="Symbol" w:cs="Symbol" w:hint="default"/>
      </w:rPr>
    </w:lvl>
  </w:abstractNum>
  <w:abstractNum w:abstractNumId="53">
    <w:lvl w:ilvl="0">
      <w:start w:val="1"/>
      <w:numFmt w:val="bullet"/>
      <w:lvlText w:val=""/>
      <w:lvlJc w:val="start"/>
      <w:pPr>
        <w:tabs>
          <w:tab w:val="num" w:pos="0"/>
        </w:tabs>
        <w:ind w:start="0" w:hanging="0"/>
      </w:pPr>
      <w:rPr>
        <w:rFonts w:ascii="Symbol" w:hAnsi="Symbol" w:cs="Symbol" w:hint="default"/>
      </w:rPr>
    </w:lvl>
  </w:abstractNum>
  <w:abstractNum w:abstractNumId="54">
    <w:lvl w:ilvl="0">
      <w:start w:val="1"/>
      <w:numFmt w:val="bullet"/>
      <w:lvlText w:val=""/>
      <w:lvlJc w:val="start"/>
      <w:pPr>
        <w:tabs>
          <w:tab w:val="num" w:pos="0"/>
        </w:tabs>
        <w:ind w:start="0" w:hanging="0"/>
      </w:pPr>
      <w:rPr>
        <w:rFonts w:ascii="Symbol" w:hAnsi="Symbol" w:cs="Symbol" w:hint="default"/>
      </w:rPr>
    </w:lvl>
  </w:abstractNum>
  <w:abstractNum w:abstractNumId="55">
    <w:lvl w:ilvl="0">
      <w:start w:val="1"/>
      <w:numFmt w:val="bullet"/>
      <w:lvlText w:val=""/>
      <w:lvlJc w:val="start"/>
      <w:pPr>
        <w:tabs>
          <w:tab w:val="num" w:pos="0"/>
        </w:tabs>
        <w:ind w:start="0" w:hanging="0"/>
      </w:pPr>
      <w:rPr>
        <w:rFonts w:ascii="Symbol" w:hAnsi="Symbol" w:cs="Symbol" w:hint="default"/>
      </w:rPr>
    </w:lvl>
  </w:abstractNum>
  <w:abstractNum w:abstractNumId="56">
    <w:lvl w:ilvl="0">
      <w:start w:val="1"/>
      <w:numFmt w:val="bullet"/>
      <w:lvlText w:val=""/>
      <w:lvlJc w:val="start"/>
      <w:pPr>
        <w:tabs>
          <w:tab w:val="num" w:pos="0"/>
        </w:tabs>
        <w:ind w:start="0" w:hanging="0"/>
      </w:pPr>
      <w:rPr>
        <w:rFonts w:ascii="Symbol" w:hAnsi="Symbol" w:cs="Symbol" w:hint="default"/>
      </w:rPr>
    </w:lvl>
  </w:abstractNum>
  <w:abstractNum w:abstractNumId="57">
    <w:lvl w:ilvl="0">
      <w:start w:val="1"/>
      <w:numFmt w:val="bullet"/>
      <w:lvlText w:val=""/>
      <w:lvlJc w:val="start"/>
      <w:pPr>
        <w:tabs>
          <w:tab w:val="num" w:pos="0"/>
        </w:tabs>
        <w:ind w:start="0" w:hanging="0"/>
      </w:pPr>
      <w:rPr>
        <w:rFonts w:ascii="Symbol" w:hAnsi="Symbol" w:cs="Symbol" w:hint="default"/>
      </w:rPr>
    </w:lvl>
  </w:abstractNum>
  <w:abstractNum w:abstractNumId="58">
    <w:lvl w:ilvl="0">
      <w:start w:val="1"/>
      <w:numFmt w:val="bullet"/>
      <w:lvlText w:val=""/>
      <w:lvlJc w:val="start"/>
      <w:pPr>
        <w:tabs>
          <w:tab w:val="num" w:pos="0"/>
        </w:tabs>
        <w:ind w:start="0" w:hanging="0"/>
      </w:pPr>
      <w:rPr>
        <w:rFonts w:ascii="Symbol" w:hAnsi="Symbol" w:cs="Symbol" w:hint="default"/>
      </w:rPr>
    </w:lvl>
  </w:abstractNum>
  <w:abstractNum w:abstractNumId="59">
    <w:lvl w:ilvl="0">
      <w:start w:val="1"/>
      <w:numFmt w:val="bullet"/>
      <w:lvlText w:val=""/>
      <w:lvlJc w:val="start"/>
      <w:pPr>
        <w:tabs>
          <w:tab w:val="num" w:pos="0"/>
        </w:tabs>
        <w:ind w:start="0" w:hanging="0"/>
      </w:pPr>
      <w:rPr>
        <w:rFonts w:ascii="Symbol" w:hAnsi="Symbol" w:cs="Symbol" w:hint="default"/>
      </w:rPr>
    </w:lvl>
  </w:abstractNum>
  <w:abstractNum w:abstractNumId="60">
    <w:lvl w:ilvl="0">
      <w:start w:val="10"/>
      <w:numFmt w:val="decimal"/>
      <w:lvlText w:val="%1"/>
      <w:lvlJc w:val="start"/>
      <w:pPr>
        <w:tabs>
          <w:tab w:val="num" w:pos="0"/>
        </w:tabs>
        <w:ind w:start="0" w:hanging="0"/>
      </w:pPr>
    </w:lvl>
  </w:abstractNum>
  <w:abstractNum w:abstractNumId="61">
    <w:lvl w:ilvl="0">
      <w:start w:val="1"/>
      <w:numFmt w:val="bullet"/>
      <w:lvlText w:val=""/>
      <w:lvlJc w:val="start"/>
      <w:pPr>
        <w:tabs>
          <w:tab w:val="num" w:pos="0"/>
        </w:tabs>
        <w:ind w:start="0" w:hanging="0"/>
      </w:pPr>
      <w:rPr>
        <w:rFonts w:ascii="Symbol" w:hAnsi="Symbol" w:cs="Symbol" w:hint="default"/>
      </w:rPr>
    </w:lvl>
  </w:abstractNum>
  <w:abstractNum w:abstractNumId="62">
    <w:lvl w:ilvl="0">
      <w:start w:val="1"/>
      <w:numFmt w:val="bullet"/>
      <w:lvlText w:val=""/>
      <w:lvlJc w:val="start"/>
      <w:pPr>
        <w:tabs>
          <w:tab w:val="num" w:pos="0"/>
        </w:tabs>
        <w:ind w:start="0" w:hanging="0"/>
      </w:pPr>
      <w:rPr>
        <w:rFonts w:ascii="Symbol" w:hAnsi="Symbol" w:cs="Symbol" w:hint="default"/>
      </w:rPr>
    </w:lvl>
  </w:abstractNum>
  <w:abstractNum w:abstractNumId="63">
    <w:lvl w:ilvl="0">
      <w:start w:val="1"/>
      <w:numFmt w:val="bullet"/>
      <w:lvlText w:val=""/>
      <w:lvlJc w:val="start"/>
      <w:pPr>
        <w:tabs>
          <w:tab w:val="num" w:pos="0"/>
        </w:tabs>
        <w:ind w:start="0" w:hanging="0"/>
      </w:pPr>
      <w:rPr>
        <w:rFonts w:ascii="Symbol" w:hAnsi="Symbol" w:cs="Symbol" w:hint="default"/>
      </w:rPr>
    </w:lvl>
  </w:abstractNum>
  <w:abstractNum w:abstractNumId="64">
    <w:lvl w:ilvl="0">
      <w:start w:val="1"/>
      <w:numFmt w:val="bullet"/>
      <w:lvlText w:val=""/>
      <w:lvlJc w:val="start"/>
      <w:pPr>
        <w:tabs>
          <w:tab w:val="num" w:pos="0"/>
        </w:tabs>
        <w:ind w:start="0" w:hanging="0"/>
      </w:pPr>
      <w:rPr>
        <w:rFonts w:ascii="Symbol" w:hAnsi="Symbol" w:cs="Symbol" w:hint="default"/>
      </w:rPr>
    </w:lvl>
  </w:abstractNum>
  <w:abstractNum w:abstractNumId="65">
    <w:lvl w:ilvl="0">
      <w:start w:val="1"/>
      <w:numFmt w:val="bullet"/>
      <w:lvlText w:val=""/>
      <w:lvlJc w:val="start"/>
      <w:pPr>
        <w:tabs>
          <w:tab w:val="num" w:pos="0"/>
        </w:tabs>
        <w:ind w:start="0" w:hanging="0"/>
      </w:pPr>
      <w:rPr>
        <w:rFonts w:ascii="Symbol" w:hAnsi="Symbol" w:cs="Symbol" w:hint="default"/>
      </w:rPr>
    </w:lvl>
  </w:abstractNum>
  <w:abstractNum w:abstractNumId="66">
    <w:lvl w:ilvl="0">
      <w:start w:val="1"/>
      <w:numFmt w:val="bullet"/>
      <w:lvlText w:val=""/>
      <w:lvlJc w:val="start"/>
      <w:pPr>
        <w:tabs>
          <w:tab w:val="num" w:pos="0"/>
        </w:tabs>
        <w:ind w:start="0" w:hanging="0"/>
      </w:pPr>
      <w:rPr>
        <w:rFonts w:ascii="Symbol" w:hAnsi="Symbol" w:cs="Symbol" w:hint="default"/>
      </w:rPr>
    </w:lvl>
  </w:abstractNum>
  <w:abstractNum w:abstractNumId="67">
    <w:lvl w:ilvl="0">
      <w:start w:val="1"/>
      <w:numFmt w:val="bullet"/>
      <w:lvlText w:val=""/>
      <w:lvlJc w:val="start"/>
      <w:pPr>
        <w:tabs>
          <w:tab w:val="num" w:pos="0"/>
        </w:tabs>
        <w:ind w:start="0" w:hanging="0"/>
      </w:pPr>
      <w:rPr>
        <w:rFonts w:ascii="Symbol" w:hAnsi="Symbol" w:cs="Symbol" w:hint="default"/>
      </w:rPr>
    </w:lvl>
  </w:abstractNum>
  <w:abstractNum w:abstractNumId="68">
    <w:lvl w:ilvl="0">
      <w:start w:val="1"/>
      <w:numFmt w:val="bullet"/>
      <w:lvlText w:val=""/>
      <w:lvlJc w:val="start"/>
      <w:pPr>
        <w:tabs>
          <w:tab w:val="num" w:pos="0"/>
        </w:tabs>
        <w:ind w:start="0" w:hanging="0"/>
      </w:pPr>
      <w:rPr>
        <w:rFonts w:ascii="Symbol" w:hAnsi="Symbol" w:cs="Symbol" w:hint="default"/>
      </w:rPr>
    </w:lvl>
  </w:abstractNum>
  <w:abstractNum w:abstractNumId="69">
    <w:lvl w:ilvl="0">
      <w:start w:val="1"/>
      <w:numFmt w:val="bullet"/>
      <w:lvlText w:val=""/>
      <w:lvlJc w:val="start"/>
      <w:pPr>
        <w:tabs>
          <w:tab w:val="num" w:pos="0"/>
        </w:tabs>
        <w:ind w:start="0" w:hanging="0"/>
      </w:pPr>
      <w:rPr>
        <w:rFonts w:ascii="Symbol" w:hAnsi="Symbol" w:cs="Symbol" w:hint="default"/>
      </w:rPr>
    </w:lvl>
  </w:abstractNum>
  <w:abstractNum w:abstractNumId="70">
    <w:lvl w:ilvl="0">
      <w:start w:val="10"/>
      <w:numFmt w:val="decimal"/>
      <w:lvlText w:val="%1"/>
      <w:lvlJc w:val="start"/>
      <w:pPr>
        <w:tabs>
          <w:tab w:val="num" w:pos="0"/>
        </w:tabs>
        <w:ind w:start="0" w:hanging="0"/>
      </w:pPr>
    </w:lvl>
  </w:abstractNum>
  <w:abstractNum w:abstractNumId="71">
    <w:lvl w:ilvl="0">
      <w:start w:val="1"/>
      <w:numFmt w:val="bullet"/>
      <w:lvlText w:val=""/>
      <w:lvlJc w:val="start"/>
      <w:pPr>
        <w:tabs>
          <w:tab w:val="num" w:pos="0"/>
        </w:tabs>
        <w:ind w:start="0" w:hanging="0"/>
      </w:pPr>
      <w:rPr>
        <w:rFonts w:ascii="Symbol" w:hAnsi="Symbol" w:cs="Symbol" w:hint="default"/>
      </w:rPr>
    </w:lvl>
  </w:abstractNum>
  <w:abstractNum w:abstractNumId="72">
    <w:lvl w:ilvl="0">
      <w:start w:val="1"/>
      <w:numFmt w:val="bullet"/>
      <w:lvlText w:val=""/>
      <w:lvlJc w:val="start"/>
      <w:pPr>
        <w:tabs>
          <w:tab w:val="num" w:pos="0"/>
        </w:tabs>
        <w:ind w:start="0" w:hanging="0"/>
      </w:pPr>
      <w:rPr>
        <w:rFonts w:ascii="Symbol" w:hAnsi="Symbol" w:cs="Symbol" w:hint="default"/>
      </w:rPr>
    </w:lvl>
  </w:abstractNum>
  <w:abstractNum w:abstractNumId="73">
    <w:lvl w:ilvl="0">
      <w:start w:val="10"/>
      <w:numFmt w:val="decimal"/>
      <w:lvlText w:val="%1"/>
      <w:lvlJc w:val="start"/>
      <w:pPr>
        <w:tabs>
          <w:tab w:val="num" w:pos="0"/>
        </w:tabs>
        <w:ind w:start="0" w:hanging="0"/>
      </w:pPr>
    </w:lvl>
  </w:abstractNum>
  <w:abstractNum w:abstractNumId="74">
    <w:lvl w:ilvl="0">
      <w:start w:val="1"/>
      <w:numFmt w:val="bullet"/>
      <w:lvlText w:val=""/>
      <w:lvlJc w:val="start"/>
      <w:pPr>
        <w:tabs>
          <w:tab w:val="num" w:pos="0"/>
        </w:tabs>
        <w:ind w:start="0" w:hanging="0"/>
      </w:pPr>
      <w:rPr>
        <w:rFonts w:ascii="Symbol" w:hAnsi="Symbol" w:cs="Symbol" w:hint="default"/>
      </w:rPr>
    </w:lvl>
  </w:abstractNum>
  <w:abstractNum w:abstractNumId="75">
    <w:lvl w:ilvl="0">
      <w:start w:val="1"/>
      <w:numFmt w:val="bullet"/>
      <w:lvlText w:val=""/>
      <w:lvlJc w:val="start"/>
      <w:pPr>
        <w:tabs>
          <w:tab w:val="num" w:pos="0"/>
        </w:tabs>
        <w:ind w:start="0" w:hanging="0"/>
      </w:pPr>
      <w:rPr>
        <w:rFonts w:ascii="Symbol" w:hAnsi="Symbol" w:cs="Symbol" w:hint="default"/>
      </w:rPr>
    </w:lvl>
  </w:abstractNum>
  <w:abstractNum w:abstractNumId="76">
    <w:lvl w:ilvl="0">
      <w:start w:val="1"/>
      <w:numFmt w:val="bullet"/>
      <w:lvlText w:val=""/>
      <w:lvlJc w:val="start"/>
      <w:pPr>
        <w:tabs>
          <w:tab w:val="num" w:pos="0"/>
        </w:tabs>
        <w:ind w:start="0" w:hanging="0"/>
      </w:pPr>
      <w:rPr>
        <w:rFonts w:ascii="Symbol" w:hAnsi="Symbol" w:cs="Symbol" w:hint="default"/>
      </w:rPr>
    </w:lvl>
  </w:abstractNum>
  <w:abstractNum w:abstractNumId="77">
    <w:lvl w:ilvl="0">
      <w:start w:val="1"/>
      <w:numFmt w:val="bullet"/>
      <w:lvlText w:val=""/>
      <w:lvlJc w:val="start"/>
      <w:pPr>
        <w:tabs>
          <w:tab w:val="num" w:pos="0"/>
        </w:tabs>
        <w:ind w:start="0" w:hanging="0"/>
      </w:pPr>
      <w:rPr>
        <w:rFonts w:ascii="Symbol" w:hAnsi="Symbol" w:cs="Symbol" w:hint="default"/>
      </w:rPr>
    </w:lvl>
  </w:abstractNum>
  <w:abstractNum w:abstractNumId="78">
    <w:lvl w:ilvl="0">
      <w:start w:val="1"/>
      <w:numFmt w:val="bullet"/>
      <w:lvlText w:val=""/>
      <w:lvlJc w:val="start"/>
      <w:pPr>
        <w:tabs>
          <w:tab w:val="num" w:pos="0"/>
        </w:tabs>
        <w:ind w:start="0" w:hanging="0"/>
      </w:pPr>
      <w:rPr>
        <w:rFonts w:ascii="Symbol" w:hAnsi="Symbol" w:cs="Symbol" w:hint="default"/>
      </w:rPr>
    </w:lvl>
  </w:abstractNum>
  <w:abstractNum w:abstractNumId="79">
    <w:lvl w:ilvl="0">
      <w:start w:val="1"/>
      <w:numFmt w:val="bullet"/>
      <w:lvlText w:val=""/>
      <w:lvlJc w:val="start"/>
      <w:pPr>
        <w:tabs>
          <w:tab w:val="num" w:pos="0"/>
        </w:tabs>
        <w:ind w:start="0" w:hanging="0"/>
      </w:pPr>
      <w:rPr>
        <w:rFonts w:ascii="Symbol" w:hAnsi="Symbol" w:cs="Symbol" w:hint="default"/>
      </w:rPr>
    </w:lvl>
  </w:abstractNum>
  <w:abstractNum w:abstractNumId="80">
    <w:lvl w:ilvl="0">
      <w:start w:val="1"/>
      <w:numFmt w:val="bullet"/>
      <w:lvlText w:val=""/>
      <w:lvlJc w:val="start"/>
      <w:pPr>
        <w:tabs>
          <w:tab w:val="num" w:pos="0"/>
        </w:tabs>
        <w:ind w:start="0" w:hanging="0"/>
      </w:pPr>
      <w:rPr>
        <w:rFonts w:ascii="Symbol" w:hAnsi="Symbol" w:cs="Symbol" w:hint="default"/>
      </w:rPr>
    </w:lvl>
  </w:abstractNum>
  <w:abstractNum w:abstractNumId="81">
    <w:lvl w:ilvl="0">
      <w:start w:val="1"/>
      <w:numFmt w:val="bullet"/>
      <w:lvlText w:val=""/>
      <w:lvlJc w:val="start"/>
      <w:pPr>
        <w:tabs>
          <w:tab w:val="num" w:pos="0"/>
        </w:tabs>
        <w:ind w:start="0" w:hanging="0"/>
      </w:pPr>
      <w:rPr>
        <w:rFonts w:ascii="Symbol" w:hAnsi="Symbol" w:cs="Symbol" w:hint="default"/>
      </w:rPr>
    </w:lvl>
  </w:abstractNum>
  <w:abstractNum w:abstractNumId="82">
    <w:lvl w:ilvl="0">
      <w:start w:val="1"/>
      <w:numFmt w:val="bullet"/>
      <w:lvlText w:val=""/>
      <w:lvlJc w:val="start"/>
      <w:pPr>
        <w:tabs>
          <w:tab w:val="num" w:pos="0"/>
        </w:tabs>
        <w:ind w:start="0" w:hanging="0"/>
      </w:pPr>
      <w:rPr>
        <w:rFonts w:ascii="Symbol" w:hAnsi="Symbol" w:cs="Symbol" w:hint="default"/>
      </w:rPr>
    </w:lvl>
  </w:abstractNum>
  <w:abstractNum w:abstractNumId="83">
    <w:lvl w:ilvl="0">
      <w:start w:val="10"/>
      <w:numFmt w:val="decimal"/>
      <w:lvlText w:val="%1"/>
      <w:lvlJc w:val="start"/>
      <w:pPr>
        <w:tabs>
          <w:tab w:val="num" w:pos="0"/>
        </w:tabs>
        <w:ind w:start="0" w:hanging="0"/>
      </w:pPr>
    </w:lvl>
  </w:abstractNum>
  <w:abstractNum w:abstractNumId="84">
    <w:lvl w:ilvl="0">
      <w:start w:val="14"/>
      <w:numFmt w:val="decimal"/>
      <w:lvlText w:val="%1"/>
      <w:lvlJc w:val="start"/>
      <w:pPr>
        <w:tabs>
          <w:tab w:val="num" w:pos="0"/>
        </w:tabs>
        <w:ind w:start="0" w:hanging="0"/>
      </w:pPr>
    </w:lvl>
  </w:abstractNum>
  <w:abstractNum w:abstractNumId="85">
    <w:lvl w:ilvl="0">
      <w:start w:val="17"/>
      <w:numFmt w:val="decimal"/>
      <w:lvlText w:val="%1"/>
      <w:lvlJc w:val="start"/>
      <w:pPr>
        <w:tabs>
          <w:tab w:val="num" w:pos="0"/>
        </w:tabs>
        <w:ind w:start="0" w:hanging="0"/>
      </w:pPr>
    </w:lvl>
  </w:abstractNum>
  <w:abstractNum w:abstractNumId="86">
    <w:lvl w:ilvl="0">
      <w:start w:val="19"/>
      <w:numFmt w:val="decimal"/>
      <w:lvlText w:val="%1"/>
      <w:lvlJc w:val="start"/>
      <w:pPr>
        <w:tabs>
          <w:tab w:val="num" w:pos="0"/>
        </w:tabs>
        <w:ind w:start="0" w:hanging="0"/>
      </w:pPr>
    </w:lvl>
  </w:abstractNum>
  <w:abstractNum w:abstractNumId="87">
    <w:lvl w:ilvl="0">
      <w:start w:val="1"/>
      <w:numFmt w:val="bullet"/>
      <w:lvlText w:val=""/>
      <w:lvlJc w:val="start"/>
      <w:pPr>
        <w:tabs>
          <w:tab w:val="num" w:pos="0"/>
        </w:tabs>
        <w:ind w:start="0" w:hanging="0"/>
      </w:pPr>
      <w:rPr>
        <w:rFonts w:ascii="Symbol" w:hAnsi="Symbol" w:cs="Symbol" w:hint="default"/>
      </w:rPr>
    </w:lvl>
  </w:abstractNum>
  <w:abstractNum w:abstractNumId="88">
    <w:lvl w:ilvl="0">
      <w:start w:val="1"/>
      <w:numFmt w:val="bullet"/>
      <w:lvlText w:val=""/>
      <w:lvlJc w:val="start"/>
      <w:pPr>
        <w:tabs>
          <w:tab w:val="num" w:pos="0"/>
        </w:tabs>
        <w:ind w:start="0" w:hanging="0"/>
      </w:pPr>
      <w:rPr>
        <w:rFonts w:ascii="Symbol" w:hAnsi="Symbol" w:cs="Symbol" w:hint="default"/>
      </w:rPr>
    </w:lvl>
  </w:abstractNum>
  <w:abstractNum w:abstractNumId="89">
    <w:lvl w:ilvl="0">
      <w:start w:val="1"/>
      <w:numFmt w:val="bullet"/>
      <w:lvlText w:val=""/>
      <w:lvlJc w:val="start"/>
      <w:pPr>
        <w:tabs>
          <w:tab w:val="num" w:pos="0"/>
        </w:tabs>
        <w:ind w:start="0" w:hanging="0"/>
      </w:pPr>
      <w:rPr>
        <w:rFonts w:ascii="Symbol" w:hAnsi="Symbol" w:cs="Symbol" w:hint="default"/>
      </w:rPr>
    </w:lvl>
  </w:abstractNum>
  <w:abstractNum w:abstractNumId="90">
    <w:lvl w:ilvl="0">
      <w:start w:val="1"/>
      <w:numFmt w:val="bullet"/>
      <w:lvlText w:val=""/>
      <w:lvlJc w:val="start"/>
      <w:pPr>
        <w:tabs>
          <w:tab w:val="num" w:pos="0"/>
        </w:tabs>
        <w:ind w:start="0" w:hanging="0"/>
      </w:pPr>
      <w:rPr>
        <w:rFonts w:ascii="Symbol" w:hAnsi="Symbol" w:cs="Symbol" w:hint="default"/>
      </w:rPr>
    </w:lvl>
  </w:abstractNum>
  <w:abstractNum w:abstractNumId="91">
    <w:lvl w:ilvl="0">
      <w:start w:val="1"/>
      <w:numFmt w:val="bullet"/>
      <w:lvlText w:val=""/>
      <w:lvlJc w:val="start"/>
      <w:pPr>
        <w:tabs>
          <w:tab w:val="num" w:pos="0"/>
        </w:tabs>
        <w:ind w:start="0" w:hanging="0"/>
      </w:pPr>
      <w:rPr>
        <w:rFonts w:ascii="Symbol" w:hAnsi="Symbol" w:cs="Symbol" w:hint="default"/>
      </w:rPr>
    </w:lvl>
  </w:abstractNum>
  <w:abstractNum w:abstractNumId="92">
    <w:lvl w:ilvl="0">
      <w:start w:val="1"/>
      <w:numFmt w:val="bullet"/>
      <w:lvlText w:val=""/>
      <w:lvlJc w:val="start"/>
      <w:pPr>
        <w:tabs>
          <w:tab w:val="num" w:pos="0"/>
        </w:tabs>
        <w:ind w:start="0" w:hanging="0"/>
      </w:pPr>
      <w:rPr>
        <w:rFonts w:ascii="Symbol" w:hAnsi="Symbol" w:cs="Symbol" w:hint="default"/>
      </w:rPr>
    </w:lvl>
  </w:abstractNum>
  <w:abstractNum w:abstractNumId="93">
    <w:lvl w:ilvl="0">
      <w:start w:val="10"/>
      <w:numFmt w:val="decimal"/>
      <w:lvlText w:val="%1"/>
      <w:lvlJc w:val="start"/>
      <w:pPr>
        <w:tabs>
          <w:tab w:val="num" w:pos="0"/>
        </w:tabs>
        <w:ind w:start="0" w:hanging="0"/>
      </w:pPr>
    </w:lvl>
  </w:abstractNum>
  <w:abstractNum w:abstractNumId="94">
    <w:lvl w:ilvl="0">
      <w:start w:val="1"/>
      <w:numFmt w:val="bullet"/>
      <w:lvlText w:val=""/>
      <w:lvlJc w:val="start"/>
      <w:pPr>
        <w:tabs>
          <w:tab w:val="num" w:pos="0"/>
        </w:tabs>
        <w:ind w:start="0" w:hanging="0"/>
      </w:pPr>
      <w:rPr>
        <w:rFonts w:ascii="Symbol" w:hAnsi="Symbol" w:cs="Symbol" w:hint="default"/>
      </w:rPr>
    </w:lvl>
  </w:abstractNum>
  <w:abstractNum w:abstractNumId="95">
    <w:lvl w:ilvl="0">
      <w:start w:val="1"/>
      <w:numFmt w:val="bullet"/>
      <w:lvlText w:val=""/>
      <w:lvlJc w:val="start"/>
      <w:pPr>
        <w:tabs>
          <w:tab w:val="num" w:pos="0"/>
        </w:tabs>
        <w:ind w:start="0" w:hanging="0"/>
      </w:pPr>
      <w:rPr>
        <w:rFonts w:ascii="Symbol" w:hAnsi="Symbol" w:cs="Symbol" w:hint="default"/>
      </w:rPr>
    </w:lvl>
  </w:abstractNum>
  <w:abstractNum w:abstractNumId="96">
    <w:lvl w:ilvl="0">
      <w:start w:val="1"/>
      <w:numFmt w:val="bullet"/>
      <w:lvlText w:val=""/>
      <w:lvlJc w:val="start"/>
      <w:pPr>
        <w:tabs>
          <w:tab w:val="num" w:pos="0"/>
        </w:tabs>
        <w:ind w:start="0" w:hanging="0"/>
      </w:pPr>
      <w:rPr>
        <w:rFonts w:ascii="Symbol" w:hAnsi="Symbol" w:cs="Symbol" w:hint="default"/>
      </w:rPr>
    </w:lvl>
  </w:abstractNum>
  <w:abstractNum w:abstractNumId="97">
    <w:lvl w:ilvl="0">
      <w:start w:val="1"/>
      <w:numFmt w:val="bullet"/>
      <w:lvlText w:val=""/>
      <w:lvlJc w:val="start"/>
      <w:pPr>
        <w:tabs>
          <w:tab w:val="num" w:pos="0"/>
        </w:tabs>
        <w:ind w:start="0" w:hanging="0"/>
      </w:pPr>
      <w:rPr>
        <w:rFonts w:ascii="Symbol" w:hAnsi="Symbol" w:cs="Symbol" w:hint="default"/>
      </w:rPr>
    </w:lvl>
  </w:abstractNum>
  <w:abstractNum w:abstractNumId="98">
    <w:lvl w:ilvl="0">
      <w:start w:val="1"/>
      <w:numFmt w:val="bullet"/>
      <w:lvlText w:val=""/>
      <w:lvlJc w:val="start"/>
      <w:pPr>
        <w:tabs>
          <w:tab w:val="num" w:pos="0"/>
        </w:tabs>
        <w:ind w:start="0" w:hanging="0"/>
      </w:pPr>
      <w:rPr>
        <w:rFonts w:ascii="Symbol" w:hAnsi="Symbol" w:cs="Symbol" w:hint="default"/>
      </w:rPr>
    </w:lvl>
  </w:abstractNum>
  <w:abstractNum w:abstractNumId="99">
    <w:lvl w:ilvl="0">
      <w:start w:val="1"/>
      <w:numFmt w:val="bullet"/>
      <w:lvlText w:val=""/>
      <w:lvlJc w:val="start"/>
      <w:pPr>
        <w:tabs>
          <w:tab w:val="num" w:pos="0"/>
        </w:tabs>
        <w:ind w:start="0" w:hanging="0"/>
      </w:pPr>
      <w:rPr>
        <w:rFonts w:ascii="Symbol" w:hAnsi="Symbol" w:cs="Symbol" w:hint="default"/>
      </w:rPr>
    </w:lvl>
  </w:abstractNum>
  <w:abstractNum w:abstractNumId="100">
    <w:lvl w:ilvl="0">
      <w:start w:val="1"/>
      <w:numFmt w:val="bullet"/>
      <w:lvlText w:val=""/>
      <w:lvlJc w:val="start"/>
      <w:pPr>
        <w:tabs>
          <w:tab w:val="num" w:pos="0"/>
        </w:tabs>
        <w:ind w:start="0" w:hanging="0"/>
      </w:pPr>
      <w:rPr>
        <w:rFonts w:ascii="Symbol" w:hAnsi="Symbol" w:cs="Symbol" w:hint="default"/>
      </w:rPr>
    </w:lvl>
  </w:abstractNum>
  <w:abstractNum w:abstractNumId="101">
    <w:lvl w:ilvl="0">
      <w:start w:val="1"/>
      <w:numFmt w:val="bullet"/>
      <w:lvlText w:val=""/>
      <w:lvlJc w:val="start"/>
      <w:pPr>
        <w:tabs>
          <w:tab w:val="num" w:pos="0"/>
        </w:tabs>
        <w:ind w:start="0" w:hanging="0"/>
      </w:pPr>
      <w:rPr>
        <w:rFonts w:ascii="Symbol" w:hAnsi="Symbol" w:cs="Symbol" w:hint="default"/>
      </w:rPr>
    </w:lvl>
  </w:abstractNum>
  <w:abstractNum w:abstractNumId="102">
    <w:lvl w:ilvl="0">
      <w:start w:val="11"/>
      <w:numFmt w:val="decimal"/>
      <w:lvlText w:val="%1"/>
      <w:lvlJc w:val="start"/>
      <w:pPr>
        <w:tabs>
          <w:tab w:val="num" w:pos="0"/>
        </w:tabs>
        <w:ind w:start="0" w:hanging="0"/>
      </w:pPr>
    </w:lvl>
  </w:abstractNum>
  <w:abstractNum w:abstractNumId="103">
    <w:lvl w:ilvl="0">
      <w:start w:val="14"/>
      <w:numFmt w:val="decimal"/>
      <w:lvlText w:val="%1"/>
      <w:lvlJc w:val="start"/>
      <w:pPr>
        <w:tabs>
          <w:tab w:val="num" w:pos="0"/>
        </w:tabs>
        <w:ind w:start="0" w:hanging="0"/>
      </w:pPr>
    </w:lvl>
  </w:abstractNum>
  <w:abstractNum w:abstractNumId="104">
    <w:lvl w:ilvl="0">
      <w:start w:val="16"/>
      <w:numFmt w:val="decimal"/>
      <w:lvlText w:val="%1"/>
      <w:lvlJc w:val="start"/>
      <w:pPr>
        <w:tabs>
          <w:tab w:val="num" w:pos="0"/>
        </w:tabs>
        <w:ind w:start="0" w:hanging="0"/>
      </w:pPr>
    </w:lvl>
  </w:abstractNum>
  <w:abstractNum w:abstractNumId="105">
    <w:lvl w:ilvl="0">
      <w:start w:val="1"/>
      <w:numFmt w:val="bullet"/>
      <w:lvlText w:val=""/>
      <w:lvlJc w:val="start"/>
      <w:pPr>
        <w:tabs>
          <w:tab w:val="num" w:pos="0"/>
        </w:tabs>
        <w:ind w:start="0" w:hanging="0"/>
      </w:pPr>
      <w:rPr>
        <w:rFonts w:ascii="Symbol" w:hAnsi="Symbol" w:cs="Symbol" w:hint="default"/>
      </w:rPr>
    </w:lvl>
  </w:abstractNum>
  <w:abstractNum w:abstractNumId="10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4.png"/><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image" Target="media/image1.png"/><Relationship Id="rId15" Type="http://schemas.openxmlformats.org/officeDocument/2006/relationships/image" Target="media/image5.png"/><Relationship Id="rId16" Type="http://schemas.openxmlformats.org/officeDocument/2006/relationships/image" Target="media/image1.png"/><Relationship Id="rId17" Type="http://schemas.openxmlformats.org/officeDocument/2006/relationships/image" Target="media/image1.png"/><Relationship Id="rId18" Type="http://schemas.openxmlformats.org/officeDocument/2006/relationships/image" Target="media/image1.png"/><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17</Pages>
  <Words>6590</Words>
  <Characters>33352</Characters>
  <CharactersWithSpaces>39145</CharactersWithSpaces>
  <Paragraphs>620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