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4"/>
        <w:ind w:right="140"/>
        <w:rPr>
          <w:rFonts w:ascii="Consolas" w:hAnsi="Consolas" w:eastAsia="Consolas" w:cs="Consolas"/>
          <w:color w:val="3C4A67"/>
          <w:sz w:val="83"/>
        </w:rPr>
      </w:pPr>
      <w:bookmarkStart w:id="0" w:name="page1"/>
      <w:bookmarkEnd w:id="0"/>
      <w:r>
        <w:rPr>
          <w:rFonts w:eastAsia="Consolas" w:cs="Consolas" w:ascii="Consolas" w:hAnsi="Consolas"/>
          <w:color w:val="3C4A67"/>
          <w:sz w:val="83"/>
        </w:rPr>
        <w:t>NATIONAL PARTNERSHIP AGREEMENT ON LEGAL ASSISTANCE SERVICES</w:t>
      </w:r>
    </w:p>
    <w:p>
      <w:pPr>
        <w:pStyle w:val="Normal"/>
        <w:spacing w:lineRule="exact" w:line="20"/>
        <w:rPr>
          <w:rFonts w:ascii="Times New Roman" w:hAnsi="Times New Roman" w:eastAsia="Times New Roman" w:cs="Times New Roman"/>
          <w:color w:val="3C4A67"/>
          <w:sz w:val="24"/>
        </w:rPr>
      </w:pPr>
      <w:r>
        <w:rPr>
          <w:rFonts w:eastAsia="Times New Roman" w:cs="Times New Roman" w:ascii="Times New Roman" w:hAnsi="Times New Roman"/>
          <w:color w:val="3C4A67"/>
          <w:sz w:val="24"/>
        </w:rPr>
        <w:drawing>
          <wp:anchor behindDoc="1" distT="0" distB="0" distL="114935" distR="114935" simplePos="0" locked="0" layoutInCell="1" allowOverlap="1" relativeHeight="2">
            <wp:simplePos x="0" y="0"/>
            <wp:positionH relativeFrom="column">
              <wp:posOffset>-72390</wp:posOffset>
            </wp:positionH>
            <wp:positionV relativeFrom="paragraph">
              <wp:posOffset>141605</wp:posOffset>
            </wp:positionV>
            <wp:extent cx="6403975" cy="70167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 t="-33" r="-4" b="-33"/>
                    <a:stretch>
                      <a:fillRect/>
                    </a:stretch>
                  </pic:blipFill>
                  <pic:spPr bwMode="auto">
                    <a:xfrm>
                      <a:off x="0" y="0"/>
                      <a:ext cx="6403975" cy="70167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560" w:right="0"/>
        <w:rPr>
          <w:rFonts w:ascii="Consolas" w:hAnsi="Consolas" w:eastAsia="Consolas" w:cs="Consolas"/>
          <w:color w:val="3C4A67"/>
          <w:sz w:val="30"/>
        </w:rPr>
      </w:pPr>
      <w:r>
        <w:rPr>
          <w:rFonts w:eastAsia="Consolas" w:cs="Consolas" w:ascii="Consolas" w:hAnsi="Consolas"/>
          <w:color w:val="3C4A67"/>
          <w:sz w:val="30"/>
        </w:rPr>
        <w:t>An agreement between</w:t>
      </w:r>
    </w:p>
    <w:p>
      <w:pPr>
        <w:pStyle w:val="Normal"/>
        <w:spacing w:lineRule="exact" w:line="234"/>
        <w:rPr>
          <w:rFonts w:ascii="Times New Roman" w:hAnsi="Times New Roman" w:eastAsia="Times New Roman" w:cs="Times New Roman"/>
          <w:color w:val="3C4A67"/>
          <w:sz w:val="24"/>
        </w:rPr>
      </w:pPr>
      <w:r>
        <w:rPr>
          <w:rFonts w:eastAsia="Times New Roman" w:cs="Times New Roman" w:ascii="Times New Roman" w:hAnsi="Times New Roman"/>
          <w:color w:val="3C4A67"/>
          <w:sz w:val="24"/>
        </w:rPr>
      </w:r>
    </w:p>
    <w:p>
      <w:pPr>
        <w:pStyle w:val="Normal"/>
        <w:numPr>
          <w:ilvl w:val="0"/>
          <w:numId w:val="1"/>
        </w:numPr>
        <w:tabs>
          <w:tab w:val="clear" w:pos="720"/>
          <w:tab w:val="left" w:pos="2120" w:leader="none"/>
        </w:tabs>
        <w:spacing w:lineRule="atLeast" w:line="0"/>
        <w:ind w:hanging="575" w:left="2120" w:right="0"/>
        <w:rPr>
          <w:rFonts w:ascii="Wingdings" w:hAnsi="Wingdings" w:eastAsia="Wingdings" w:cs="Wingdings"/>
          <w:b/>
          <w:color w:val="000080"/>
        </w:rPr>
      </w:pPr>
      <w:r>
        <w:rPr>
          <w:rFonts w:eastAsia="Consolas" w:cs="Consolas" w:ascii="Consolas" w:hAnsi="Consolas"/>
          <w:color w:val="3C4A67"/>
          <w:sz w:val="30"/>
        </w:rPr>
        <w:t xml:space="preserve">the </w:t>
      </w:r>
      <w:r>
        <w:rPr>
          <w:rFonts w:eastAsia="Consolas" w:cs="Consolas" w:ascii="Consolas" w:hAnsi="Consolas"/>
          <w:b/>
          <w:color w:val="3C4A67"/>
          <w:sz w:val="30"/>
        </w:rPr>
        <w:t>Commonwealth of Australia</w:t>
      </w:r>
      <w:r>
        <w:rPr>
          <w:rFonts w:eastAsia="Consolas" w:cs="Consolas" w:ascii="Consolas" w:hAnsi="Consolas"/>
          <w:color w:val="3C4A67"/>
          <w:sz w:val="30"/>
        </w:rPr>
        <w:t xml:space="preserve"> and</w:t>
      </w:r>
    </w:p>
    <w:p>
      <w:pPr>
        <w:pStyle w:val="Normal"/>
        <w:spacing w:lineRule="exact" w:line="128"/>
        <w:rPr>
          <w:rFonts w:ascii="Wingdings" w:hAnsi="Wingdings" w:eastAsia="Wingdings" w:cs="Wingdings"/>
          <w:b/>
          <w:color w:val="000080"/>
        </w:rPr>
      </w:pPr>
      <w:r>
        <w:rPr>
          <w:rFonts w:eastAsia="Wingdings" w:cs="Wingdings" w:ascii="Wingdings" w:hAnsi="Wingdings"/>
          <w:b/>
          <w:color w:val="000080"/>
        </w:rPr>
      </w:r>
    </w:p>
    <w:p>
      <w:pPr>
        <w:pStyle w:val="Normal"/>
        <w:numPr>
          <w:ilvl w:val="0"/>
          <w:numId w:val="1"/>
        </w:numPr>
        <w:tabs>
          <w:tab w:val="clear" w:pos="720"/>
          <w:tab w:val="left" w:pos="2120" w:leader="none"/>
        </w:tabs>
        <w:spacing w:lineRule="atLeast" w:line="0"/>
        <w:ind w:hanging="575" w:left="2120" w:right="0"/>
        <w:rPr>
          <w:rFonts w:ascii="Wingdings" w:hAnsi="Wingdings" w:eastAsia="Wingdings" w:cs="Wingdings"/>
          <w:b/>
          <w:color w:val="000080"/>
        </w:rPr>
      </w:pPr>
      <w:r>
        <w:rPr>
          <w:rFonts w:eastAsia="Consolas" w:cs="Consolas" w:ascii="Consolas" w:hAnsi="Consolas"/>
          <w:color w:val="3C4A67"/>
          <w:sz w:val="30"/>
        </w:rPr>
        <w:t xml:space="preserve">the </w:t>
      </w:r>
      <w:r>
        <w:rPr>
          <w:rFonts w:eastAsia="Consolas" w:cs="Consolas" w:ascii="Consolas" w:hAnsi="Consolas"/>
          <w:b/>
          <w:color w:val="3C4A67"/>
          <w:sz w:val="30"/>
        </w:rPr>
        <w:t>States and Territories</w:t>
      </w:r>
      <w:r>
        <w:rPr>
          <w:rFonts w:eastAsia="Consolas" w:cs="Consolas" w:ascii="Consolas" w:hAnsi="Consolas"/>
          <w:color w:val="3C4A67"/>
          <w:sz w:val="30"/>
        </w:rPr>
        <w:t>, being:</w:t>
      </w:r>
    </w:p>
    <w:p>
      <w:pPr>
        <w:pStyle w:val="Normal"/>
        <w:spacing w:lineRule="exact" w:line="233"/>
        <w:rPr>
          <w:rFonts w:ascii="Wingdings" w:hAnsi="Wingdings" w:eastAsia="Wingdings" w:cs="Wingdings"/>
          <w:b/>
          <w:color w:val="000080"/>
        </w:rPr>
      </w:pPr>
      <w:r>
        <w:rPr>
          <w:rFonts w:eastAsia="Wingdings" w:cs="Wingdings" w:ascii="Wingdings" w:hAnsi="Wingdings"/>
          <w:b/>
          <w:color w:val="000080"/>
        </w:rPr>
      </w:r>
    </w:p>
    <w:p>
      <w:pPr>
        <w:pStyle w:val="Normal"/>
        <w:numPr>
          <w:ilvl w:val="1"/>
          <w:numId w:val="1"/>
        </w:numPr>
        <w:tabs>
          <w:tab w:val="clear" w:pos="720"/>
          <w:tab w:val="left" w:pos="2680" w:leader="none"/>
        </w:tabs>
        <w:spacing w:lineRule="atLeast" w:line="0"/>
        <w:ind w:hanging="565" w:left="2680" w:right="0"/>
        <w:rPr>
          <w:rFonts w:ascii="Wingdings" w:hAnsi="Wingdings" w:eastAsia="Wingdings" w:cs="Wingdings"/>
          <w:b/>
          <w:color w:val="000080"/>
        </w:rPr>
      </w:pPr>
      <w:r>
        <w:rPr>
          <w:rFonts w:eastAsia="Consolas" w:cs="Consolas" w:ascii="Consolas" w:hAnsi="Consolas"/>
          <w:color w:val="3C4A67"/>
          <w:sz w:val="30"/>
        </w:rPr>
        <w:t>New South Wales</w:t>
      </w:r>
    </w:p>
    <w:p>
      <w:pPr>
        <w:pStyle w:val="Normal"/>
        <w:spacing w:lineRule="exact" w:line="113"/>
        <w:rPr>
          <w:rFonts w:ascii="Wingdings" w:hAnsi="Wingdings" w:eastAsia="Wingdings" w:cs="Wingdings"/>
          <w:b/>
          <w:color w:val="000080"/>
        </w:rPr>
      </w:pPr>
      <w:r>
        <w:rPr>
          <w:rFonts w:eastAsia="Wingdings" w:cs="Wingdings" w:ascii="Wingdings" w:hAnsi="Wingdings"/>
          <w:b/>
          <w:color w:val="000080"/>
        </w:rPr>
      </w:r>
    </w:p>
    <w:p>
      <w:pPr>
        <w:pStyle w:val="Normal"/>
        <w:numPr>
          <w:ilvl w:val="1"/>
          <w:numId w:val="1"/>
        </w:numPr>
        <w:tabs>
          <w:tab w:val="clear" w:pos="720"/>
          <w:tab w:val="left" w:pos="2680" w:leader="none"/>
        </w:tabs>
        <w:spacing w:lineRule="atLeast" w:line="0"/>
        <w:ind w:hanging="565" w:left="2680" w:right="0"/>
        <w:rPr>
          <w:rFonts w:ascii="Wingdings" w:hAnsi="Wingdings" w:eastAsia="Wingdings" w:cs="Wingdings"/>
          <w:b/>
          <w:color w:val="000080"/>
        </w:rPr>
      </w:pPr>
      <w:r>
        <w:rPr>
          <w:rFonts w:eastAsia="Consolas" w:cs="Consolas" w:ascii="Consolas" w:hAnsi="Consolas"/>
          <w:color w:val="3C4A67"/>
          <w:sz w:val="30"/>
        </w:rPr>
        <w:t>Victoria</w:t>
      </w:r>
    </w:p>
    <w:p>
      <w:pPr>
        <w:pStyle w:val="Normal"/>
        <w:spacing w:lineRule="exact" w:line="128"/>
        <w:rPr>
          <w:rFonts w:ascii="Wingdings" w:hAnsi="Wingdings" w:eastAsia="Wingdings" w:cs="Wingdings"/>
          <w:b/>
          <w:color w:val="000080"/>
        </w:rPr>
      </w:pPr>
      <w:r>
        <w:rPr>
          <w:rFonts w:eastAsia="Wingdings" w:cs="Wingdings" w:ascii="Wingdings" w:hAnsi="Wingdings"/>
          <w:b/>
          <w:color w:val="000080"/>
        </w:rPr>
      </w:r>
    </w:p>
    <w:p>
      <w:pPr>
        <w:pStyle w:val="Normal"/>
        <w:numPr>
          <w:ilvl w:val="1"/>
          <w:numId w:val="1"/>
        </w:numPr>
        <w:tabs>
          <w:tab w:val="clear" w:pos="720"/>
          <w:tab w:val="left" w:pos="2680" w:leader="none"/>
        </w:tabs>
        <w:spacing w:lineRule="atLeast" w:line="0"/>
        <w:ind w:hanging="565" w:left="2680" w:right="0"/>
        <w:rPr>
          <w:rFonts w:ascii="Wingdings" w:hAnsi="Wingdings" w:eastAsia="Wingdings" w:cs="Wingdings"/>
          <w:b/>
          <w:color w:val="000080"/>
        </w:rPr>
      </w:pPr>
      <w:r>
        <w:rPr>
          <w:rFonts w:eastAsia="Consolas" w:cs="Consolas" w:ascii="Consolas" w:hAnsi="Consolas"/>
          <w:color w:val="3C4A67"/>
          <w:sz w:val="30"/>
        </w:rPr>
        <w:t>Queensland</w:t>
      </w:r>
    </w:p>
    <w:p>
      <w:pPr>
        <w:pStyle w:val="Normal"/>
        <w:spacing w:lineRule="exact" w:line="113"/>
        <w:rPr>
          <w:rFonts w:ascii="Wingdings" w:hAnsi="Wingdings" w:eastAsia="Wingdings" w:cs="Wingdings"/>
          <w:b/>
          <w:color w:val="000080"/>
        </w:rPr>
      </w:pPr>
      <w:r>
        <w:rPr>
          <w:rFonts w:eastAsia="Wingdings" w:cs="Wingdings" w:ascii="Wingdings" w:hAnsi="Wingdings"/>
          <w:b/>
          <w:color w:val="000080"/>
        </w:rPr>
      </w:r>
    </w:p>
    <w:p>
      <w:pPr>
        <w:pStyle w:val="Normal"/>
        <w:numPr>
          <w:ilvl w:val="1"/>
          <w:numId w:val="1"/>
        </w:numPr>
        <w:tabs>
          <w:tab w:val="clear" w:pos="720"/>
          <w:tab w:val="left" w:pos="2680" w:leader="none"/>
        </w:tabs>
        <w:spacing w:lineRule="atLeast" w:line="0"/>
        <w:ind w:hanging="565" w:left="2680" w:right="0"/>
        <w:rPr>
          <w:rFonts w:ascii="Wingdings" w:hAnsi="Wingdings" w:eastAsia="Wingdings" w:cs="Wingdings"/>
          <w:b/>
          <w:color w:val="000080"/>
        </w:rPr>
      </w:pPr>
      <w:r>
        <w:rPr>
          <w:rFonts w:eastAsia="Consolas" w:cs="Consolas" w:ascii="Consolas" w:hAnsi="Consolas"/>
          <w:color w:val="3C4A67"/>
          <w:sz w:val="30"/>
        </w:rPr>
        <w:t>Western Australia</w:t>
      </w:r>
    </w:p>
    <w:p>
      <w:pPr>
        <w:pStyle w:val="Normal"/>
        <w:spacing w:lineRule="exact" w:line="128"/>
        <w:rPr>
          <w:rFonts w:ascii="Wingdings" w:hAnsi="Wingdings" w:eastAsia="Wingdings" w:cs="Wingdings"/>
          <w:b/>
          <w:color w:val="000080"/>
        </w:rPr>
      </w:pPr>
      <w:r>
        <w:rPr>
          <w:rFonts w:eastAsia="Wingdings" w:cs="Wingdings" w:ascii="Wingdings" w:hAnsi="Wingdings"/>
          <w:b/>
          <w:color w:val="000080"/>
        </w:rPr>
      </w:r>
    </w:p>
    <w:p>
      <w:pPr>
        <w:pStyle w:val="Normal"/>
        <w:numPr>
          <w:ilvl w:val="1"/>
          <w:numId w:val="1"/>
        </w:numPr>
        <w:tabs>
          <w:tab w:val="clear" w:pos="720"/>
          <w:tab w:val="left" w:pos="2680" w:leader="none"/>
        </w:tabs>
        <w:spacing w:lineRule="atLeast" w:line="0"/>
        <w:ind w:hanging="565" w:left="2680" w:right="0"/>
        <w:rPr>
          <w:rFonts w:ascii="Wingdings" w:hAnsi="Wingdings" w:eastAsia="Wingdings" w:cs="Wingdings"/>
          <w:b/>
          <w:color w:val="000080"/>
        </w:rPr>
      </w:pPr>
      <w:r>
        <w:rPr>
          <w:rFonts w:eastAsia="Consolas" w:cs="Consolas" w:ascii="Consolas" w:hAnsi="Consolas"/>
          <w:color w:val="3C4A67"/>
          <w:sz w:val="30"/>
        </w:rPr>
        <w:t>South Australia</w:t>
      </w:r>
    </w:p>
    <w:p>
      <w:pPr>
        <w:pStyle w:val="Normal"/>
        <w:spacing w:lineRule="exact" w:line="113"/>
        <w:rPr>
          <w:rFonts w:ascii="Wingdings" w:hAnsi="Wingdings" w:eastAsia="Wingdings" w:cs="Wingdings"/>
          <w:b/>
          <w:color w:val="000080"/>
        </w:rPr>
      </w:pPr>
      <w:r>
        <w:rPr>
          <w:rFonts w:eastAsia="Wingdings" w:cs="Wingdings" w:ascii="Wingdings" w:hAnsi="Wingdings"/>
          <w:b/>
          <w:color w:val="000080"/>
        </w:rPr>
      </w:r>
    </w:p>
    <w:p>
      <w:pPr>
        <w:pStyle w:val="Normal"/>
        <w:numPr>
          <w:ilvl w:val="1"/>
          <w:numId w:val="1"/>
        </w:numPr>
        <w:tabs>
          <w:tab w:val="clear" w:pos="720"/>
          <w:tab w:val="left" w:pos="2680" w:leader="none"/>
        </w:tabs>
        <w:spacing w:lineRule="atLeast" w:line="0"/>
        <w:ind w:hanging="565" w:left="2680" w:right="0"/>
        <w:rPr>
          <w:rFonts w:ascii="Wingdings" w:hAnsi="Wingdings" w:eastAsia="Wingdings" w:cs="Wingdings"/>
          <w:b/>
          <w:color w:val="000080"/>
        </w:rPr>
      </w:pPr>
      <w:r>
        <w:rPr>
          <w:rFonts w:eastAsia="Consolas" w:cs="Consolas" w:ascii="Consolas" w:hAnsi="Consolas"/>
          <w:color w:val="3C4A67"/>
          <w:sz w:val="30"/>
        </w:rPr>
        <w:t>Tasmania</w:t>
      </w:r>
    </w:p>
    <w:p>
      <w:pPr>
        <w:pStyle w:val="Normal"/>
        <w:spacing w:lineRule="exact" w:line="128"/>
        <w:rPr>
          <w:rFonts w:ascii="Wingdings" w:hAnsi="Wingdings" w:eastAsia="Wingdings" w:cs="Wingdings"/>
          <w:b/>
          <w:color w:val="000080"/>
        </w:rPr>
      </w:pPr>
      <w:r>
        <w:rPr>
          <w:rFonts w:eastAsia="Wingdings" w:cs="Wingdings" w:ascii="Wingdings" w:hAnsi="Wingdings"/>
          <w:b/>
          <w:color w:val="000080"/>
        </w:rPr>
      </w:r>
    </w:p>
    <w:p>
      <w:pPr>
        <w:pStyle w:val="Normal"/>
        <w:numPr>
          <w:ilvl w:val="1"/>
          <w:numId w:val="1"/>
        </w:numPr>
        <w:tabs>
          <w:tab w:val="clear" w:pos="720"/>
          <w:tab w:val="left" w:pos="2680" w:leader="none"/>
        </w:tabs>
        <w:spacing w:lineRule="atLeast" w:line="0"/>
        <w:ind w:hanging="565" w:left="2680" w:right="0"/>
        <w:rPr>
          <w:rFonts w:ascii="Wingdings" w:hAnsi="Wingdings" w:eastAsia="Wingdings" w:cs="Wingdings"/>
          <w:b/>
          <w:color w:val="000080"/>
        </w:rPr>
      </w:pPr>
      <w:r>
        <w:rPr>
          <w:rFonts w:eastAsia="Consolas" w:cs="Consolas" w:ascii="Consolas" w:hAnsi="Consolas"/>
          <w:color w:val="3C4A67"/>
          <w:sz w:val="30"/>
        </w:rPr>
        <w:t>the Australian Capital Territory</w:t>
      </w:r>
    </w:p>
    <w:p>
      <w:pPr>
        <w:pStyle w:val="Normal"/>
        <w:spacing w:lineRule="exact" w:line="113"/>
        <w:rPr>
          <w:rFonts w:ascii="Wingdings" w:hAnsi="Wingdings" w:eastAsia="Wingdings" w:cs="Wingdings"/>
          <w:b/>
          <w:color w:val="000080"/>
        </w:rPr>
      </w:pPr>
      <w:r>
        <w:rPr>
          <w:rFonts w:eastAsia="Wingdings" w:cs="Wingdings" w:ascii="Wingdings" w:hAnsi="Wingdings"/>
          <w:b/>
          <w:color w:val="000080"/>
        </w:rPr>
      </w:r>
    </w:p>
    <w:p>
      <w:pPr>
        <w:pStyle w:val="Normal"/>
        <w:numPr>
          <w:ilvl w:val="1"/>
          <w:numId w:val="1"/>
        </w:numPr>
        <w:tabs>
          <w:tab w:val="clear" w:pos="720"/>
          <w:tab w:val="left" w:pos="2680" w:leader="none"/>
        </w:tabs>
        <w:spacing w:lineRule="atLeast" w:line="0"/>
        <w:ind w:hanging="565" w:left="2680" w:right="0"/>
        <w:rPr>
          <w:rFonts w:ascii="Wingdings" w:hAnsi="Wingdings" w:eastAsia="Wingdings" w:cs="Wingdings"/>
          <w:b/>
          <w:color w:val="000080"/>
        </w:rPr>
      </w:pPr>
      <w:r>
        <w:rPr>
          <w:rFonts w:eastAsia="Consolas" w:cs="Consolas" w:ascii="Consolas" w:hAnsi="Consolas"/>
          <w:color w:val="3C4A67"/>
          <w:sz w:val="30"/>
        </w:rPr>
        <w:t>the Northern Territory</w:t>
      </w:r>
    </w:p>
    <w:p>
      <w:pPr>
        <w:sectPr>
          <w:type w:val="nextPage"/>
          <w:pgSz w:w="11906" w:h="16838"/>
          <w:pgMar w:left="1140" w:right="1430" w:gutter="0" w:header="0" w:top="105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000080"/>
          <w:sz w:val="24"/>
        </w:rPr>
      </w:pPr>
      <w:r>
        <w:rPr>
          <w:rFonts w:eastAsia="Times New Roman" w:cs="Times New Roman" w:ascii="Times New Roman" w:hAnsi="Times New Roman"/>
          <w:b/>
          <w:color w:val="00008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rPr>
          <w:rFonts w:ascii="Consolas" w:hAnsi="Consolas" w:eastAsia="Consolas" w:cs="Consolas"/>
          <w:color w:val="3C4A67"/>
        </w:rPr>
      </w:pPr>
      <w:r>
        <w:rPr>
          <w:rFonts w:eastAsia="Consolas" w:cs="Consolas" w:ascii="Consolas" w:hAnsi="Consolas"/>
          <w:color w:val="3C4A67"/>
        </w:rPr>
        <w:t>This Agreement will facilitate access to justice for disadvantaged people in Australia through the delivery of legal assistance services.</w:t>
      </w:r>
    </w:p>
    <w:p>
      <w:pPr>
        <w:sectPr>
          <w:type w:val="continuous"/>
          <w:pgSz w:w="11906" w:h="16838"/>
          <w:pgMar w:left="1140" w:right="1430" w:gutter="0" w:header="0" w:top="1055" w:footer="0" w:bottom="0"/>
          <w:formProt w:val="false"/>
          <w:textDirection w:val="lrTb"/>
          <w:docGrid w:type="default" w:linePitch="360" w:charSpace="0"/>
        </w:sectPr>
      </w:pPr>
    </w:p>
    <w:p>
      <w:pPr>
        <w:pStyle w:val="Normal"/>
        <w:spacing w:lineRule="auto" w:line="228"/>
        <w:ind w:left="20" w:right="540"/>
        <w:rPr>
          <w:rFonts w:ascii="Corbel" w:hAnsi="Corbel" w:eastAsia="Corbel" w:cs="Corbel"/>
          <w:color w:val="3C4A67"/>
          <w:sz w:val="72"/>
        </w:rPr>
      </w:pPr>
      <w:bookmarkStart w:id="1" w:name="page2"/>
      <w:bookmarkEnd w:id="1"/>
      <w:r>
        <w:rPr>
          <w:rFonts w:eastAsia="Corbel" w:cs="Corbel" w:ascii="Corbel" w:hAnsi="Corbel"/>
          <w:color w:val="3C4A67"/>
          <w:sz w:val="72"/>
        </w:rPr>
        <w:t>National Partnership Agreement on Legal Assistance Services</w:t>
      </w:r>
    </w:p>
    <w:p>
      <w:pPr>
        <w:pStyle w:val="Normal"/>
        <w:spacing w:lineRule="exact" w:line="3"/>
        <w:rPr>
          <w:rFonts w:ascii="Times New Roman" w:hAnsi="Times New Roman" w:eastAsia="Times New Roman" w:cs="Times New Roman"/>
          <w:color w:val="3C4A67"/>
          <w:sz w:val="72"/>
        </w:rPr>
      </w:pPr>
      <w:r>
        <w:rPr>
          <w:rFonts w:eastAsia="Times New Roman" w:cs="Times New Roman" w:ascii="Times New Roman" w:hAnsi="Times New Roman"/>
          <w:color w:val="3C4A67"/>
          <w:sz w:val="72"/>
        </w:rPr>
      </w:r>
    </w:p>
    <w:p>
      <w:pPr>
        <w:pStyle w:val="Normal"/>
        <w:tabs>
          <w:tab w:val="clear" w:pos="720"/>
          <w:tab w:val="left" w:pos="3280" w:leader="none"/>
        </w:tabs>
        <w:spacing w:lineRule="atLeast" w:line="0"/>
        <w:ind w:left="20" w:right="0"/>
        <w:rPr/>
      </w:pPr>
      <w:r>
        <w:rPr>
          <w:rFonts w:eastAsia="Consolas" w:cs="Consolas" w:ascii="Consolas" w:hAnsi="Consolas"/>
          <w:b/>
          <w:color w:val="C6823D"/>
          <w:sz w:val="24"/>
        </w:rPr>
        <w:t>INTERGOVERNMENTAL</w:t>
        <w:tab/>
        <w:t>AGREEMENT</w:t>
      </w:r>
    </w:p>
    <w:p>
      <w:pPr>
        <w:pStyle w:val="Normal"/>
        <w:spacing w:lineRule="exact" w:line="19"/>
        <w:rPr>
          <w:rFonts w:ascii="Times New Roman" w:hAnsi="Times New Roman" w:eastAsia="Times New Roman" w:cs="Times New Roman"/>
          <w:b/>
          <w:color w:val="C6823D"/>
          <w:sz w:val="24"/>
        </w:rPr>
      </w:pPr>
      <w:r>
        <w:rPr>
          <w:rFonts w:eastAsia="Times New Roman" w:cs="Times New Roman" w:ascii="Times New Roman" w:hAnsi="Times New Roman"/>
          <w:b/>
          <w:color w:val="C6823D"/>
          <w:sz w:val="24"/>
        </w:rPr>
      </w:r>
    </w:p>
    <w:p>
      <w:pPr>
        <w:pStyle w:val="Normal"/>
        <w:tabs>
          <w:tab w:val="clear" w:pos="720"/>
          <w:tab w:val="left" w:pos="540" w:leader="none"/>
          <w:tab w:val="left" w:pos="2000" w:leader="none"/>
          <w:tab w:val="left" w:pos="3820" w:leader="none"/>
        </w:tabs>
        <w:spacing w:lineRule="atLeast" w:line="0"/>
        <w:ind w:left="20" w:right="0"/>
        <w:rPr/>
      </w:pPr>
      <w:r>
        <w:rPr>
          <w:rFonts w:eastAsia="Consolas" w:cs="Consolas" w:ascii="Consolas" w:hAnsi="Consolas"/>
          <w:b/>
          <w:color w:val="C6823D"/>
          <w:sz w:val="24"/>
        </w:rPr>
        <w:t>ON</w:t>
        <w:tab/>
        <w:t>FEDERAL</w:t>
        <w:tab/>
        <w:t>FINANCIAL</w:t>
        <w:tab/>
        <w:t>RELATIONS</w:t>
      </w:r>
    </w:p>
    <w:p>
      <w:pPr>
        <w:pStyle w:val="Normal"/>
        <w:spacing w:lineRule="exact" w:line="200"/>
        <w:rPr>
          <w:rFonts w:ascii="Times New Roman" w:hAnsi="Times New Roman" w:eastAsia="Times New Roman" w:cs="Times New Roman"/>
          <w:b/>
          <w:color w:val="C6823D"/>
          <w:sz w:val="24"/>
        </w:rPr>
      </w:pPr>
      <w:r>
        <w:rPr>
          <w:rFonts w:eastAsia="Times New Roman" w:cs="Times New Roman" w:ascii="Times New Roman" w:hAnsi="Times New Roman"/>
          <w:b/>
          <w:color w:val="C6823D"/>
          <w:sz w:val="24"/>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rFonts w:ascii="Consolas" w:hAnsi="Consolas" w:eastAsia="Consolas" w:cs="Consolas"/>
          <w:color w:val="3C4A67"/>
          <w:sz w:val="32"/>
        </w:rPr>
      </w:pPr>
      <w:r>
        <w:rPr>
          <w:rFonts w:eastAsia="Consolas" w:cs="Consolas" w:ascii="Consolas" w:hAnsi="Consolas"/>
          <w:color w:val="3C4A67"/>
          <w:sz w:val="32"/>
        </w:rPr>
        <w:t>PRELIMINARIES</w:t>
      </w:r>
    </w:p>
    <w:p>
      <w:pPr>
        <w:pStyle w:val="Normal"/>
        <w:spacing w:lineRule="exact" w:line="210"/>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numPr>
          <w:ilvl w:val="0"/>
          <w:numId w:val="2"/>
        </w:numPr>
        <w:tabs>
          <w:tab w:val="clear" w:pos="720"/>
          <w:tab w:val="left" w:pos="582" w:leader="none"/>
        </w:tabs>
        <w:spacing w:lineRule="auto" w:line="220"/>
        <w:ind w:hanging="575" w:left="580" w:right="300"/>
        <w:rPr>
          <w:rFonts w:ascii="Corbel" w:hAnsi="Corbel" w:eastAsia="Corbel" w:cs="Corbel"/>
          <w:sz w:val="23"/>
        </w:rPr>
      </w:pPr>
      <w:r>
        <w:rPr>
          <w:rFonts w:eastAsia="Corbel" w:cs="Corbel" w:ascii="Corbel" w:hAnsi="Corbel"/>
          <w:sz w:val="23"/>
        </w:rPr>
        <w:t>This National Partnership Agreement (the Agreement) is created subject to the provisions of the Intergovernmental Agreement on Federal Financial Relations (IGA FFR) and should be read in conjunction with that Agreement and its Schedules, which provide information in relation to performance reporting and payment arrangements under the IGA FFR.</w:t>
      </w:r>
    </w:p>
    <w:p>
      <w:pPr>
        <w:pStyle w:val="Normal"/>
        <w:spacing w:lineRule="exact" w:line="216"/>
        <w:rPr>
          <w:rFonts w:ascii="Corbel" w:hAnsi="Corbel" w:eastAsia="Corbel" w:cs="Corbel"/>
          <w:sz w:val="23"/>
        </w:rPr>
      </w:pPr>
      <w:r>
        <w:rPr>
          <w:rFonts w:eastAsia="Corbel" w:cs="Corbel" w:ascii="Corbel" w:hAnsi="Corbel"/>
          <w:sz w:val="23"/>
        </w:rPr>
      </w:r>
    </w:p>
    <w:p>
      <w:pPr>
        <w:pStyle w:val="Normal"/>
        <w:numPr>
          <w:ilvl w:val="0"/>
          <w:numId w:val="2"/>
        </w:numPr>
        <w:tabs>
          <w:tab w:val="clear" w:pos="720"/>
          <w:tab w:val="left" w:pos="580" w:leader="none"/>
        </w:tabs>
        <w:spacing w:lineRule="atLeast" w:line="0"/>
        <w:ind w:hanging="577" w:left="580" w:right="0"/>
        <w:rPr>
          <w:rFonts w:ascii="Corbel" w:hAnsi="Corbel" w:eastAsia="Corbel" w:cs="Corbel"/>
          <w:sz w:val="23"/>
        </w:rPr>
      </w:pPr>
      <w:r>
        <w:rPr>
          <w:rFonts w:eastAsia="Corbel" w:cs="Corbel" w:ascii="Corbel" w:hAnsi="Corbel"/>
          <w:sz w:val="23"/>
        </w:rPr>
        <w:t>In entering this Agreement, the Commonwealth and the States and Territories:</w:t>
      </w:r>
    </w:p>
    <w:p>
      <w:pPr>
        <w:pStyle w:val="Normal"/>
        <w:spacing w:lineRule="exact" w:line="228"/>
        <w:rPr>
          <w:rFonts w:ascii="Corbel" w:hAnsi="Corbel" w:eastAsia="Corbel" w:cs="Corbel"/>
          <w:sz w:val="23"/>
        </w:rPr>
      </w:pPr>
      <w:r>
        <w:rPr>
          <w:rFonts w:eastAsia="Corbel" w:cs="Corbel" w:ascii="Corbel" w:hAnsi="Corbel"/>
          <w:sz w:val="23"/>
        </w:rPr>
      </w:r>
    </w:p>
    <w:p>
      <w:pPr>
        <w:pStyle w:val="Normal"/>
        <w:numPr>
          <w:ilvl w:val="1"/>
          <w:numId w:val="2"/>
        </w:numPr>
        <w:tabs>
          <w:tab w:val="clear" w:pos="720"/>
          <w:tab w:val="left" w:pos="1141" w:leader="none"/>
        </w:tabs>
        <w:spacing w:lineRule="auto" w:line="249"/>
        <w:ind w:hanging="568" w:left="1140" w:right="380"/>
        <w:jc w:val="both"/>
        <w:rPr>
          <w:rFonts w:ascii="Corbel" w:hAnsi="Corbel" w:eastAsia="Corbel" w:cs="Corbel"/>
          <w:sz w:val="21"/>
        </w:rPr>
      </w:pPr>
      <w:r>
        <w:rPr>
          <w:rFonts w:eastAsia="Corbel" w:cs="Corbel" w:ascii="Corbel" w:hAnsi="Corbel"/>
          <w:sz w:val="21"/>
        </w:rPr>
        <w:t>recognise that they have mutual interest in working together to improve access to justice and resolve legal problems for the most disadvantaged people in Australia and maximise service delivery through the effective and efficient use of available resources; and</w:t>
      </w:r>
    </w:p>
    <w:p>
      <w:pPr>
        <w:pStyle w:val="Normal"/>
        <w:spacing w:lineRule="exact" w:line="234"/>
        <w:rPr>
          <w:rFonts w:ascii="Corbel" w:hAnsi="Corbel" w:eastAsia="Corbel" w:cs="Corbel"/>
          <w:sz w:val="21"/>
        </w:rPr>
      </w:pPr>
      <w:r>
        <w:rPr>
          <w:rFonts w:eastAsia="Corbel" w:cs="Corbel" w:ascii="Corbel" w:hAnsi="Corbel"/>
          <w:sz w:val="21"/>
        </w:rPr>
      </w:r>
    </w:p>
    <w:p>
      <w:pPr>
        <w:pStyle w:val="Normal"/>
        <w:numPr>
          <w:ilvl w:val="1"/>
          <w:numId w:val="2"/>
        </w:numPr>
        <w:tabs>
          <w:tab w:val="clear" w:pos="720"/>
          <w:tab w:val="left" w:pos="1141" w:leader="none"/>
        </w:tabs>
        <w:spacing w:lineRule="auto" w:line="220"/>
        <w:ind w:hanging="565" w:left="1140" w:right="260"/>
        <w:rPr>
          <w:rFonts w:ascii="Corbel" w:hAnsi="Corbel" w:eastAsia="Corbel" w:cs="Corbel"/>
          <w:sz w:val="23"/>
        </w:rPr>
      </w:pPr>
      <w:r>
        <w:rPr>
          <w:rFonts w:eastAsia="Corbel" w:cs="Corbel" w:ascii="Corbel" w:hAnsi="Corbel"/>
          <w:sz w:val="23"/>
        </w:rPr>
        <w:t>are committed to progressing issues that affect the legal assistance sector and support the principles of the National Strategic Framework for Legal Assistance.</w:t>
      </w:r>
    </w:p>
    <w:p>
      <w:pPr>
        <w:pStyle w:val="Normal"/>
        <w:spacing w:lineRule="exact" w:line="215"/>
        <w:rPr>
          <w:rFonts w:ascii="Corbel" w:hAnsi="Corbel" w:eastAsia="Corbel" w:cs="Corbel"/>
          <w:sz w:val="23"/>
        </w:rPr>
      </w:pPr>
      <w:r>
        <w:rPr>
          <w:rFonts w:eastAsia="Corbel" w:cs="Corbel" w:ascii="Corbel" w:hAnsi="Corbel"/>
          <w:sz w:val="23"/>
        </w:rPr>
      </w:r>
    </w:p>
    <w:p>
      <w:pPr>
        <w:pStyle w:val="Normal"/>
        <w:numPr>
          <w:ilvl w:val="0"/>
          <w:numId w:val="2"/>
        </w:numPr>
        <w:tabs>
          <w:tab w:val="clear" w:pos="720"/>
          <w:tab w:val="left" w:pos="580" w:leader="none"/>
        </w:tabs>
        <w:spacing w:lineRule="atLeast" w:line="0"/>
        <w:ind w:hanging="576" w:left="580" w:right="0"/>
        <w:rPr>
          <w:rFonts w:ascii="Corbel" w:hAnsi="Corbel" w:eastAsia="Corbel" w:cs="Corbel"/>
          <w:sz w:val="23"/>
        </w:rPr>
      </w:pPr>
      <w:r>
        <w:rPr>
          <w:rFonts w:eastAsia="Corbel" w:cs="Corbel" w:ascii="Corbel" w:hAnsi="Corbel"/>
          <w:sz w:val="23"/>
        </w:rPr>
        <w:t>This Agreement:</w:t>
      </w:r>
    </w:p>
    <w:p>
      <w:pPr>
        <w:pStyle w:val="Normal"/>
        <w:spacing w:lineRule="exact" w:line="228"/>
        <w:rPr>
          <w:rFonts w:ascii="Corbel" w:hAnsi="Corbel" w:eastAsia="Corbel" w:cs="Corbel"/>
          <w:sz w:val="23"/>
        </w:rPr>
      </w:pPr>
      <w:r>
        <w:rPr>
          <w:rFonts w:eastAsia="Corbel" w:cs="Corbel" w:ascii="Corbel" w:hAnsi="Corbel"/>
          <w:sz w:val="23"/>
        </w:rPr>
      </w:r>
    </w:p>
    <w:p>
      <w:pPr>
        <w:pStyle w:val="Normal"/>
        <w:numPr>
          <w:ilvl w:val="1"/>
          <w:numId w:val="2"/>
        </w:numPr>
        <w:tabs>
          <w:tab w:val="clear" w:pos="720"/>
          <w:tab w:val="left" w:pos="1140" w:leader="none"/>
        </w:tabs>
        <w:spacing w:lineRule="auto" w:line="223"/>
        <w:ind w:hanging="566" w:left="1140" w:right="480"/>
        <w:rPr>
          <w:rFonts w:ascii="Corbel" w:hAnsi="Corbel" w:eastAsia="Corbel" w:cs="Corbel"/>
          <w:sz w:val="23"/>
        </w:rPr>
      </w:pPr>
      <w:r>
        <w:rPr>
          <w:rFonts w:eastAsia="Corbel" w:cs="Corbel" w:ascii="Corbel" w:hAnsi="Corbel"/>
          <w:sz w:val="23"/>
        </w:rPr>
        <w:t>seeks to improve the targeting of legal assistance services to people facing disadvantage who have the greatest legal needs, including people experiencing, or at risk of, family violence;</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1"/>
          <w:numId w:val="2"/>
        </w:numPr>
        <w:tabs>
          <w:tab w:val="clear" w:pos="720"/>
          <w:tab w:val="left" w:pos="1140" w:leader="none"/>
        </w:tabs>
        <w:spacing w:lineRule="auto" w:line="223"/>
        <w:ind w:hanging="566" w:left="1140" w:right="460"/>
        <w:rPr>
          <w:rFonts w:ascii="Corbel" w:hAnsi="Corbel" w:eastAsia="Corbel" w:cs="Corbel"/>
          <w:sz w:val="23"/>
        </w:rPr>
      </w:pPr>
      <w:r>
        <w:rPr>
          <w:rFonts w:eastAsia="Corbel" w:cs="Corbel" w:ascii="Corbel" w:hAnsi="Corbel"/>
          <w:sz w:val="23"/>
        </w:rPr>
        <w:t>supports a holistic approach to addressing legal need through collaboration with, and coordinated service delivery between, legal and non-legal sectors, including by delivering appropriate and timely services to best meet people’s legal needs;</w:t>
      </w:r>
    </w:p>
    <w:p>
      <w:pPr>
        <w:pStyle w:val="Normal"/>
        <w:spacing w:lineRule="exact" w:line="215"/>
        <w:rPr>
          <w:rFonts w:ascii="Corbel" w:hAnsi="Corbel" w:eastAsia="Corbel" w:cs="Corbel"/>
          <w:sz w:val="23"/>
        </w:rPr>
      </w:pPr>
      <w:r>
        <w:rPr>
          <w:rFonts w:eastAsia="Corbel" w:cs="Corbel" w:ascii="Corbel" w:hAnsi="Corbel"/>
          <w:sz w:val="23"/>
        </w:rPr>
      </w:r>
    </w:p>
    <w:p>
      <w:pPr>
        <w:pStyle w:val="Normal"/>
        <w:numPr>
          <w:ilvl w:val="1"/>
          <w:numId w:val="2"/>
        </w:numPr>
        <w:tabs>
          <w:tab w:val="clear" w:pos="720"/>
          <w:tab w:val="left" w:pos="1140" w:leader="none"/>
        </w:tabs>
        <w:spacing w:lineRule="atLeast" w:line="0"/>
        <w:ind w:hanging="566" w:left="1140" w:right="0"/>
        <w:rPr>
          <w:rFonts w:ascii="Corbel" w:hAnsi="Corbel" w:eastAsia="Corbel" w:cs="Corbel"/>
          <w:sz w:val="23"/>
        </w:rPr>
      </w:pPr>
      <w:r>
        <w:rPr>
          <w:rFonts w:eastAsia="Corbel" w:cs="Corbel" w:ascii="Corbel" w:hAnsi="Corbel"/>
          <w:sz w:val="23"/>
        </w:rPr>
        <w:t>aims to empower and build resilience within the community to resolve legal problems; and</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1"/>
          <w:numId w:val="2"/>
        </w:numPr>
        <w:tabs>
          <w:tab w:val="clear" w:pos="720"/>
          <w:tab w:val="left" w:pos="1140" w:leader="none"/>
        </w:tabs>
        <w:spacing w:lineRule="auto" w:line="220"/>
        <w:ind w:hanging="567" w:left="1140" w:right="20"/>
        <w:rPr>
          <w:rFonts w:ascii="Corbel" w:hAnsi="Corbel" w:eastAsia="Corbel" w:cs="Corbel"/>
          <w:sz w:val="23"/>
        </w:rPr>
      </w:pPr>
      <w:r>
        <w:rPr>
          <w:rFonts w:eastAsia="Corbel" w:cs="Corbel" w:ascii="Corbel" w:hAnsi="Corbel"/>
          <w:sz w:val="23"/>
        </w:rPr>
        <w:t>sets out arrangements for the delivery of Commonwealth-funded legal assistance services by legal aid commissions and community legal centres.</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0"/>
          <w:numId w:val="2"/>
        </w:numPr>
        <w:tabs>
          <w:tab w:val="clear" w:pos="720"/>
          <w:tab w:val="left" w:pos="581" w:leader="none"/>
        </w:tabs>
        <w:spacing w:lineRule="auto" w:line="220"/>
        <w:ind w:hanging="575" w:left="580" w:right="220"/>
        <w:rPr>
          <w:rFonts w:ascii="Corbel" w:hAnsi="Corbel" w:eastAsia="Corbel" w:cs="Corbel"/>
          <w:sz w:val="23"/>
        </w:rPr>
      </w:pPr>
      <w:r>
        <w:rPr>
          <w:rFonts w:eastAsia="Corbel" w:cs="Corbel" w:ascii="Corbel" w:hAnsi="Corbel"/>
          <w:sz w:val="23"/>
        </w:rPr>
        <w:t>This Agreement seeks to support a national legal assistance sector. While the terms of this Agreement apply only to Commonwealth funding for legal aid commissions and community legal centres, the principles set out in this Agreement are relevant for the broader sector, including Indigenous legal assistance providers and family violence prevention legal services.</w:t>
      </w:r>
    </w:p>
    <w:p>
      <w:pPr>
        <w:pStyle w:val="Normal"/>
        <w:spacing w:lineRule="exact" w:line="231"/>
        <w:rPr>
          <w:rFonts w:ascii="Corbel" w:hAnsi="Corbel" w:eastAsia="Corbel" w:cs="Corbel"/>
          <w:sz w:val="23"/>
        </w:rPr>
      </w:pPr>
      <w:r>
        <w:rPr>
          <w:rFonts w:eastAsia="Corbel" w:cs="Corbel" w:ascii="Corbel" w:hAnsi="Corbel"/>
          <w:sz w:val="23"/>
        </w:rPr>
      </w:r>
    </w:p>
    <w:p>
      <w:pPr>
        <w:pStyle w:val="Normal"/>
        <w:numPr>
          <w:ilvl w:val="0"/>
          <w:numId w:val="2"/>
        </w:numPr>
        <w:tabs>
          <w:tab w:val="clear" w:pos="720"/>
          <w:tab w:val="left" w:pos="583" w:leader="none"/>
        </w:tabs>
        <w:spacing w:lineRule="auto" w:line="220"/>
        <w:ind w:hanging="576" w:left="580" w:right="80"/>
        <w:rPr>
          <w:rFonts w:ascii="Corbel" w:hAnsi="Corbel" w:eastAsia="Corbel" w:cs="Corbel"/>
          <w:sz w:val="23"/>
        </w:rPr>
      </w:pPr>
      <w:r>
        <w:rPr>
          <w:rFonts w:eastAsia="Corbel" w:cs="Corbel" w:ascii="Corbel" w:hAnsi="Corbel"/>
          <w:sz w:val="23"/>
        </w:rPr>
        <w:t>This Agreement also provides funding for the Commonwealth’s share of the wage increases arising from Fair Work Australia’s decision on 1 February 2012 to grant an Equal Remuneration Order in the Social and Community Services (SACS) sector. The Commonwealth’s commitment includes providing funding for its share of the wage increases for in-scope programmes. This funding will contribute to assisting the SACS sector with increased wage costs arising from recent Pay Equity Orders.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20" w:right="870" w:gutter="0" w:header="0" w:top="1129" w:footer="0" w:bottom="159"/>
          <w:pgNumType w:fmt="decimal"/>
          <w:formProt w:val="false"/>
          <w:textDirection w:val="lrTb"/>
          <w:docGrid w:type="default" w:linePitch="360" w:charSpace="0"/>
        </w:sectPr>
        <w:pStyle w:val="Normal"/>
        <w:spacing w:lineRule="atLeast" w:line="0"/>
        <w:jc w:val="right"/>
        <w:rPr>
          <w:rFonts w:ascii="Corbel" w:hAnsi="Corbel" w:eastAsia="Corbel" w:cs="Corbel"/>
          <w:color w:val="3C4A67"/>
          <w:sz w:val="18"/>
        </w:rPr>
      </w:pPr>
      <w:r>
        <w:rPr>
          <w:rFonts w:eastAsia="Corbel" w:cs="Corbel" w:ascii="Corbel" w:hAnsi="Corbel"/>
          <w:color w:val="3C4A67"/>
          <w:sz w:val="18"/>
        </w:rPr>
        <w:t>Page | 2</w:t>
      </w:r>
    </w:p>
    <w:p>
      <w:pPr>
        <w:pStyle w:val="Normal"/>
        <w:spacing w:lineRule="atLeast" w:line="0"/>
        <w:ind w:left="20" w:right="0"/>
        <w:rPr/>
      </w:pPr>
      <w:bookmarkStart w:id="2" w:name="page3"/>
      <w:bookmarkEnd w:id="2"/>
      <w:r>
        <w:rPr>
          <w:rFonts w:eastAsia="Consolas" w:cs="Consolas" w:ascii="Consolas" w:hAnsi="Consolas"/>
          <w:color w:val="3C4A67"/>
          <w:sz w:val="32"/>
        </w:rPr>
        <w:t>PART 1 — FORMALITIES</w:t>
      </w:r>
    </w:p>
    <w:p>
      <w:pPr>
        <w:pStyle w:val="Normal"/>
        <w:spacing w:lineRule="exact" w:line="183"/>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Parties to this Agreement</w:t>
      </w:r>
    </w:p>
    <w:p>
      <w:pPr>
        <w:pStyle w:val="Normal"/>
        <w:spacing w:lineRule="exact" w:line="13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3"/>
        </w:numPr>
        <w:tabs>
          <w:tab w:val="clear" w:pos="720"/>
          <w:tab w:val="left" w:pos="581" w:leader="none"/>
        </w:tabs>
        <w:spacing w:lineRule="auto" w:line="220"/>
        <w:ind w:hanging="575" w:left="580" w:right="260"/>
        <w:rPr>
          <w:rFonts w:ascii="Corbel" w:hAnsi="Corbel" w:eastAsia="Corbel" w:cs="Corbel"/>
          <w:sz w:val="23"/>
        </w:rPr>
      </w:pPr>
      <w:r>
        <w:rPr>
          <w:rFonts w:eastAsia="Corbel" w:cs="Corbel" w:ascii="Corbel" w:hAnsi="Corbel"/>
          <w:sz w:val="23"/>
        </w:rPr>
        <w:t>This Agreement is between the Commonwealth of Australia (the Commonwealth) and the States and Territories (the States).</w:t>
      </w:r>
    </w:p>
    <w:p>
      <w:pPr>
        <w:pStyle w:val="Normal"/>
        <w:spacing w:lineRule="exact" w:line="23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Term of this Agreement</w:t>
      </w:r>
    </w:p>
    <w:p>
      <w:pPr>
        <w:pStyle w:val="Normal"/>
        <w:spacing w:lineRule="exact" w:line="123"/>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4"/>
        </w:numPr>
        <w:tabs>
          <w:tab w:val="clear" w:pos="720"/>
          <w:tab w:val="left" w:pos="581" w:leader="none"/>
        </w:tabs>
        <w:spacing w:lineRule="auto" w:line="220"/>
        <w:ind w:hanging="575" w:left="580" w:right="120"/>
        <w:rPr>
          <w:rFonts w:ascii="Corbel" w:hAnsi="Corbel" w:eastAsia="Corbel" w:cs="Corbel"/>
          <w:sz w:val="23"/>
        </w:rPr>
      </w:pPr>
      <w:r>
        <w:rPr>
          <w:rFonts w:eastAsia="Corbel" w:cs="Corbel" w:ascii="Corbel" w:hAnsi="Corbel"/>
          <w:sz w:val="23"/>
        </w:rPr>
        <w:t>This Agreement will commence as soon as the Commonwealth and one other Party sign the Agreement and will expire on 30 June 2020, or on final performance reporting against the performance benchmarks and milestones. This Agreement may be terminated earlier or extended as agreed in writing by the Parties.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pPr>
      <w:r>
        <w:rPr>
          <w:rFonts w:eastAsia="Consolas" w:cs="Consolas" w:ascii="Consolas" w:hAnsi="Consolas"/>
          <w:color w:val="3C4A67"/>
          <w:sz w:val="32"/>
        </w:rPr>
        <w:t>PART 2 — OBJECTIVE, OUTCOMES AND OUTPUTS</w:t>
      </w:r>
    </w:p>
    <w:p>
      <w:pPr>
        <w:pStyle w:val="Normal"/>
        <w:spacing w:lineRule="exact" w:line="198"/>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Objective</w:t>
      </w:r>
    </w:p>
    <w:p>
      <w:pPr>
        <w:pStyle w:val="Normal"/>
        <w:spacing w:lineRule="exact" w:line="123"/>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5"/>
        </w:numPr>
        <w:tabs>
          <w:tab w:val="clear" w:pos="720"/>
          <w:tab w:val="left" w:pos="580" w:leader="none"/>
        </w:tabs>
        <w:spacing w:lineRule="auto" w:line="220"/>
        <w:ind w:hanging="575" w:left="580" w:right="40"/>
        <w:rPr>
          <w:rFonts w:ascii="Corbel" w:hAnsi="Corbel" w:eastAsia="Corbel" w:cs="Corbel"/>
          <w:sz w:val="23"/>
        </w:rPr>
      </w:pPr>
      <w:r>
        <w:rPr>
          <w:rFonts w:eastAsia="Corbel" w:cs="Corbel" w:ascii="Corbel" w:hAnsi="Corbel"/>
          <w:sz w:val="23"/>
        </w:rPr>
        <w:t>The objective of this Agreement is a national legal assistance sector that is integrated, efficient and effective, focused on improving access to justice for disadvantaged people and maximising service delivery within available resources.</w:t>
      </w:r>
    </w:p>
    <w:p>
      <w:pPr>
        <w:pStyle w:val="Normal"/>
        <w:spacing w:lineRule="exact" w:line="23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Outcomes</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6"/>
        </w:numPr>
        <w:tabs>
          <w:tab w:val="clear" w:pos="720"/>
          <w:tab w:val="left" w:pos="580" w:leader="none"/>
        </w:tabs>
        <w:spacing w:lineRule="atLeast" w:line="0"/>
        <w:ind w:hanging="575" w:left="580" w:right="0"/>
        <w:rPr>
          <w:rFonts w:ascii="Corbel" w:hAnsi="Corbel" w:eastAsia="Corbel" w:cs="Corbel"/>
          <w:sz w:val="23"/>
        </w:rPr>
      </w:pPr>
      <w:r>
        <w:rPr>
          <w:rFonts w:eastAsia="Corbel" w:cs="Corbel" w:ascii="Corbel" w:hAnsi="Corbel"/>
          <w:sz w:val="23"/>
        </w:rPr>
        <w:t>This Agreement will facilitate achievement of the following outcomes: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1"/>
          <w:numId w:val="6"/>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legal assistance services are targeted to priority clients with the greatest legal need;</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1"/>
          <w:numId w:val="6"/>
        </w:numPr>
        <w:tabs>
          <w:tab w:val="clear" w:pos="720"/>
          <w:tab w:val="left" w:pos="1140" w:leader="none"/>
        </w:tabs>
        <w:spacing w:lineRule="auto" w:line="220"/>
        <w:ind w:hanging="565" w:left="1140" w:right="60"/>
        <w:rPr>
          <w:rFonts w:ascii="Corbel" w:hAnsi="Corbel" w:eastAsia="Corbel" w:cs="Corbel"/>
          <w:sz w:val="23"/>
        </w:rPr>
      </w:pPr>
      <w:r>
        <w:rPr>
          <w:rFonts w:eastAsia="Corbel" w:cs="Corbel" w:ascii="Corbel" w:hAnsi="Corbel"/>
          <w:sz w:val="23"/>
        </w:rPr>
        <w:t>legal assistance service providers collaborate with each other, governments, the private legal profession and other services, to provide joined-up services to address people’s legal and related problems;</w:t>
      </w:r>
    </w:p>
    <w:p>
      <w:pPr>
        <w:pStyle w:val="Normal"/>
        <w:spacing w:lineRule="exact" w:line="244"/>
        <w:rPr>
          <w:rFonts w:ascii="Corbel" w:hAnsi="Corbel" w:eastAsia="Corbel" w:cs="Corbel"/>
          <w:sz w:val="23"/>
        </w:rPr>
      </w:pPr>
      <w:r>
        <w:rPr>
          <w:rFonts w:eastAsia="Corbel" w:cs="Corbel" w:ascii="Corbel" w:hAnsi="Corbel"/>
          <w:sz w:val="23"/>
        </w:rPr>
      </w:r>
    </w:p>
    <w:p>
      <w:pPr>
        <w:pStyle w:val="Normal"/>
        <w:numPr>
          <w:ilvl w:val="1"/>
          <w:numId w:val="6"/>
        </w:numPr>
        <w:tabs>
          <w:tab w:val="clear" w:pos="720"/>
          <w:tab w:val="left" w:pos="1140" w:leader="none"/>
        </w:tabs>
        <w:spacing w:lineRule="auto" w:line="220"/>
        <w:ind w:hanging="565" w:left="1140" w:right="200"/>
        <w:rPr>
          <w:rFonts w:ascii="Corbel" w:hAnsi="Corbel" w:eastAsia="Corbel" w:cs="Corbel"/>
          <w:sz w:val="23"/>
        </w:rPr>
      </w:pPr>
      <w:r>
        <w:rPr>
          <w:rFonts w:eastAsia="Corbel" w:cs="Corbel" w:ascii="Corbel" w:hAnsi="Corbel"/>
          <w:sz w:val="23"/>
        </w:rPr>
        <w:t>legal assistance services are appropriate, proportionate and tailored to people’s legal needs and levels of capability;</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1"/>
          <w:numId w:val="6"/>
        </w:numPr>
        <w:tabs>
          <w:tab w:val="clear" w:pos="720"/>
          <w:tab w:val="left" w:pos="1140" w:leader="none"/>
        </w:tabs>
        <w:spacing w:lineRule="auto" w:line="220"/>
        <w:ind w:hanging="564" w:left="1140" w:right="780"/>
        <w:rPr>
          <w:rFonts w:ascii="Corbel" w:hAnsi="Corbel" w:eastAsia="Corbel" w:cs="Corbel"/>
          <w:sz w:val="23"/>
        </w:rPr>
      </w:pPr>
      <w:r>
        <w:rPr>
          <w:rFonts w:eastAsia="Corbel" w:cs="Corbel" w:ascii="Corbel" w:hAnsi="Corbel"/>
          <w:sz w:val="23"/>
        </w:rPr>
        <w:t>legal assistance services help people to identify their legal problems and facilitate the resolution of those problems in a timely manner before they escalate; and</w:t>
      </w:r>
    </w:p>
    <w:p>
      <w:pPr>
        <w:pStyle w:val="Normal"/>
        <w:spacing w:lineRule="exact" w:line="246"/>
        <w:rPr>
          <w:rFonts w:ascii="Corbel" w:hAnsi="Corbel" w:eastAsia="Corbel" w:cs="Corbel"/>
          <w:sz w:val="23"/>
        </w:rPr>
      </w:pPr>
      <w:r>
        <w:rPr>
          <w:rFonts w:eastAsia="Corbel" w:cs="Corbel" w:ascii="Corbel" w:hAnsi="Corbel"/>
          <w:sz w:val="23"/>
        </w:rPr>
      </w:r>
    </w:p>
    <w:p>
      <w:pPr>
        <w:pStyle w:val="Normal"/>
        <w:numPr>
          <w:ilvl w:val="1"/>
          <w:numId w:val="6"/>
        </w:numPr>
        <w:tabs>
          <w:tab w:val="clear" w:pos="720"/>
          <w:tab w:val="left" w:pos="1141" w:leader="none"/>
        </w:tabs>
        <w:spacing w:lineRule="auto" w:line="220"/>
        <w:ind w:hanging="565" w:left="1140" w:right="40"/>
        <w:rPr>
          <w:rFonts w:ascii="Corbel" w:hAnsi="Corbel" w:eastAsia="Corbel" w:cs="Corbel"/>
          <w:sz w:val="23"/>
        </w:rPr>
      </w:pPr>
      <w:r>
        <w:rPr>
          <w:rFonts w:eastAsia="Corbel" w:cs="Corbel" w:ascii="Corbel" w:hAnsi="Corbel"/>
          <w:sz w:val="23"/>
        </w:rPr>
        <w:t>legal assistance services help empower people to understand and assert their legal rights and responsibilities and to address, or prevent, legal problems.</w:t>
      </w:r>
    </w:p>
    <w:p>
      <w:pPr>
        <w:pStyle w:val="Normal"/>
        <w:spacing w:lineRule="exact" w:line="21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Outputs</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7"/>
        </w:numPr>
        <w:tabs>
          <w:tab w:val="clear" w:pos="720"/>
          <w:tab w:val="left" w:pos="580" w:leader="none"/>
        </w:tabs>
        <w:spacing w:lineRule="atLeast" w:line="0"/>
        <w:ind w:hanging="575" w:left="580" w:right="0"/>
        <w:rPr>
          <w:rFonts w:ascii="Corbel" w:hAnsi="Corbel" w:eastAsia="Corbel" w:cs="Corbel"/>
          <w:sz w:val="23"/>
        </w:rPr>
      </w:pPr>
      <w:r>
        <w:rPr>
          <w:rFonts w:eastAsia="Corbel" w:cs="Corbel" w:ascii="Corbel" w:hAnsi="Corbel"/>
          <w:sz w:val="23"/>
        </w:rPr>
        <w:t>The objective and outcomes of this Agreement will be achieved through:</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1"/>
          <w:numId w:val="7"/>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the delivery of efficient and effective legal assistance services within each State;</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1"/>
          <w:numId w:val="7"/>
        </w:numPr>
        <w:tabs>
          <w:tab w:val="clear" w:pos="720"/>
          <w:tab w:val="left" w:pos="1140" w:leader="none"/>
        </w:tabs>
        <w:spacing w:lineRule="auto" w:line="220"/>
        <w:ind w:hanging="565" w:left="1140" w:right="280"/>
        <w:rPr>
          <w:rFonts w:ascii="Corbel" w:hAnsi="Corbel" w:eastAsia="Corbel" w:cs="Corbel"/>
          <w:sz w:val="23"/>
        </w:rPr>
      </w:pPr>
      <w:r>
        <w:rPr>
          <w:rFonts w:eastAsia="Corbel" w:cs="Corbel" w:ascii="Corbel" w:hAnsi="Corbel"/>
          <w:sz w:val="23"/>
        </w:rPr>
        <w:t>participation by the States and the legal assistance sector in collaborative service planning, with guidance provided in Schedule A; and</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1"/>
          <w:numId w:val="7"/>
        </w:numPr>
        <w:tabs>
          <w:tab w:val="clear" w:pos="720"/>
          <w:tab w:val="left" w:pos="1140" w:leader="none"/>
        </w:tabs>
        <w:spacing w:lineRule="auto" w:line="228"/>
        <w:ind w:hanging="566" w:left="1140" w:right="280"/>
        <w:rPr>
          <w:rFonts w:ascii="Corbel" w:hAnsi="Corbel" w:eastAsia="Corbel" w:cs="Corbel"/>
          <w:sz w:val="23"/>
        </w:rPr>
      </w:pPr>
      <w:r>
        <w:rPr>
          <w:rFonts w:eastAsia="Corbel" w:cs="Corbel" w:ascii="Corbel" w:hAnsi="Corbel"/>
          <w:sz w:val="23"/>
        </w:rPr>
        <w:t>provision of Commonwealth SACS supplementation to Eligible Service Providers impacted by the Pay Equity Orders.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20" w:right="870" w:gutter="0" w:header="0" w:top="1091" w:footer="0" w:bottom="159"/>
          <w:pgNumType w:fmt="decimal"/>
          <w:formProt w:val="false"/>
          <w:textDirection w:val="lrTb"/>
          <w:docGrid w:type="default" w:linePitch="360" w:charSpace="0"/>
        </w:sectPr>
        <w:pStyle w:val="Normal"/>
        <w:spacing w:lineRule="atLeast" w:line="0"/>
        <w:jc w:val="right"/>
        <w:rPr>
          <w:rFonts w:ascii="Corbel" w:hAnsi="Corbel" w:eastAsia="Corbel" w:cs="Corbel"/>
          <w:color w:val="3C4A67"/>
          <w:sz w:val="18"/>
        </w:rPr>
      </w:pPr>
      <w:r>
        <w:rPr>
          <w:rFonts w:eastAsia="Corbel" w:cs="Corbel" w:ascii="Corbel" w:hAnsi="Corbel"/>
          <w:color w:val="3C4A67"/>
          <w:sz w:val="18"/>
        </w:rPr>
        <w:t>Page | 3</w:t>
      </w:r>
    </w:p>
    <w:p>
      <w:pPr>
        <w:pStyle w:val="Normal"/>
        <w:spacing w:lineRule="atLeast" w:line="0"/>
        <w:ind w:left="20" w:right="0"/>
        <w:rPr/>
      </w:pPr>
      <w:bookmarkStart w:id="3" w:name="page4"/>
      <w:bookmarkEnd w:id="3"/>
      <w:r>
        <w:rPr>
          <w:rFonts w:eastAsia="Consolas" w:cs="Consolas" w:ascii="Consolas" w:hAnsi="Consolas"/>
          <w:color w:val="3C4A67"/>
          <w:sz w:val="32"/>
        </w:rPr>
        <w:t>PART 3 — ROLES AND RESPONSIBILITIES OF EACH PARTY</w:t>
      </w:r>
    </w:p>
    <w:p>
      <w:pPr>
        <w:pStyle w:val="Normal"/>
        <w:spacing w:lineRule="exact" w:line="210"/>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numPr>
          <w:ilvl w:val="0"/>
          <w:numId w:val="8"/>
        </w:numPr>
        <w:tabs>
          <w:tab w:val="clear" w:pos="720"/>
          <w:tab w:val="left" w:pos="580" w:leader="none"/>
        </w:tabs>
        <w:spacing w:lineRule="auto" w:line="220"/>
        <w:ind w:hanging="575" w:left="580" w:right="860"/>
        <w:rPr>
          <w:rFonts w:ascii="Corbel" w:hAnsi="Corbel" w:eastAsia="Corbel" w:cs="Corbel"/>
          <w:sz w:val="23"/>
        </w:rPr>
      </w:pPr>
      <w:r>
        <w:rPr>
          <w:rFonts w:eastAsia="Corbel" w:cs="Corbel" w:ascii="Corbel" w:hAnsi="Corbel"/>
          <w:sz w:val="23"/>
        </w:rPr>
        <w:t>To realise the objective and outcomes of this Agreement, each Party has specific roles and responsibilities, as outlined below.</w:t>
      </w:r>
    </w:p>
    <w:p>
      <w:pPr>
        <w:pStyle w:val="Normal"/>
        <w:spacing w:lineRule="exact" w:line="23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Roles of the Commonwealth</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9"/>
        </w:numPr>
        <w:tabs>
          <w:tab w:val="clear" w:pos="720"/>
          <w:tab w:val="left" w:pos="580" w:leader="none"/>
        </w:tabs>
        <w:spacing w:lineRule="atLeast" w:line="0"/>
        <w:ind w:hanging="575" w:left="580" w:right="0"/>
        <w:rPr>
          <w:rFonts w:ascii="Corbel" w:hAnsi="Corbel" w:eastAsia="Corbel" w:cs="Corbel"/>
          <w:sz w:val="23"/>
        </w:rPr>
      </w:pPr>
      <w:r>
        <w:rPr>
          <w:rFonts w:eastAsia="Corbel" w:cs="Corbel" w:ascii="Corbel" w:hAnsi="Corbel"/>
          <w:sz w:val="23"/>
        </w:rPr>
        <w:t>The Commonwealth agrees to be accountable for the following roles and responsibilities:</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1"/>
          <w:numId w:val="9"/>
        </w:numPr>
        <w:tabs>
          <w:tab w:val="clear" w:pos="720"/>
          <w:tab w:val="left" w:pos="1140" w:leader="none"/>
        </w:tabs>
        <w:spacing w:lineRule="auto" w:line="220"/>
        <w:ind w:hanging="565" w:left="1140" w:right="80"/>
        <w:rPr>
          <w:rFonts w:ascii="Corbel" w:hAnsi="Corbel" w:eastAsia="Corbel" w:cs="Corbel"/>
          <w:sz w:val="23"/>
        </w:rPr>
      </w:pPr>
      <w:r>
        <w:rPr>
          <w:rFonts w:eastAsia="Corbel" w:cs="Corbel" w:ascii="Corbel" w:hAnsi="Corbel"/>
          <w:sz w:val="23"/>
        </w:rPr>
        <w:t>providing a financial contribution to the States for the delivery of legal assistance services by legal aid commissions and community legal centres;</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1"/>
          <w:numId w:val="9"/>
        </w:numPr>
        <w:tabs>
          <w:tab w:val="clear" w:pos="720"/>
          <w:tab w:val="left" w:pos="1140" w:leader="none"/>
        </w:tabs>
        <w:spacing w:lineRule="auto" w:line="223"/>
        <w:ind w:hanging="565" w:left="1140" w:right="200"/>
        <w:rPr>
          <w:rFonts w:ascii="Corbel" w:hAnsi="Corbel" w:eastAsia="Corbel" w:cs="Corbel"/>
          <w:sz w:val="23"/>
        </w:rPr>
      </w:pPr>
      <w:r>
        <w:rPr>
          <w:rFonts w:eastAsia="Corbel" w:cs="Corbel" w:ascii="Corbel" w:hAnsi="Corbel"/>
          <w:sz w:val="23"/>
        </w:rPr>
        <w:t>monitoring and assessing performance in the delivery of legal assistance services under this Agreement to ensure that outputs are delivered and outcomes are achieved within the agreed timeframes;</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1"/>
          <w:numId w:val="9"/>
        </w:numPr>
        <w:tabs>
          <w:tab w:val="clear" w:pos="720"/>
          <w:tab w:val="left" w:pos="1140" w:leader="none"/>
        </w:tabs>
        <w:spacing w:lineRule="auto" w:line="220"/>
        <w:ind w:hanging="565" w:left="1140" w:right="840"/>
        <w:rPr>
          <w:rFonts w:ascii="Corbel" w:hAnsi="Corbel" w:eastAsia="Corbel" w:cs="Corbel"/>
          <w:sz w:val="23"/>
        </w:rPr>
      </w:pPr>
      <w:r>
        <w:rPr>
          <w:rFonts w:eastAsia="Corbel" w:cs="Corbel" w:ascii="Corbel" w:hAnsi="Corbel"/>
          <w:sz w:val="23"/>
        </w:rPr>
        <w:t>providing national guidance, oversight and support for collaborative service planning (Schedule A);</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1"/>
          <w:numId w:val="9"/>
        </w:numPr>
        <w:tabs>
          <w:tab w:val="clear" w:pos="720"/>
          <w:tab w:val="left" w:pos="1140" w:leader="none"/>
        </w:tabs>
        <w:spacing w:lineRule="auto" w:line="228"/>
        <w:ind w:hanging="565" w:left="1140" w:right="900"/>
        <w:rPr>
          <w:rFonts w:ascii="Corbel" w:hAnsi="Corbel" w:eastAsia="Corbel" w:cs="Corbel"/>
          <w:sz w:val="23"/>
        </w:rPr>
      </w:pPr>
      <w:r>
        <w:rPr>
          <w:rFonts w:eastAsia="Corbel" w:cs="Corbel" w:ascii="Corbel" w:hAnsi="Corbel"/>
          <w:sz w:val="23"/>
        </w:rPr>
        <w:t>specifying Commonwealth priorities and eligibility principles for the delivery of legal assistance services under this Agreement (Schedule B); and</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1"/>
          <w:numId w:val="9"/>
        </w:numPr>
        <w:tabs>
          <w:tab w:val="clear" w:pos="720"/>
          <w:tab w:val="left" w:pos="1141" w:leader="none"/>
        </w:tabs>
        <w:spacing w:lineRule="auto" w:line="220"/>
        <w:ind w:hanging="565" w:left="1140" w:right="360"/>
        <w:rPr>
          <w:rFonts w:ascii="Corbel" w:hAnsi="Corbel" w:eastAsia="Corbel" w:cs="Corbel"/>
          <w:sz w:val="23"/>
        </w:rPr>
      </w:pPr>
      <w:r>
        <w:rPr>
          <w:rFonts w:eastAsia="Corbel" w:cs="Corbel" w:ascii="Corbel" w:hAnsi="Corbel"/>
          <w:sz w:val="23"/>
        </w:rPr>
        <w:t>providing a forum to facilitate information sharing with the States regarding best practice delivery of legal assistance services.</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0"/>
          <w:numId w:val="9"/>
        </w:numPr>
        <w:tabs>
          <w:tab w:val="clear" w:pos="720"/>
          <w:tab w:val="left" w:pos="581" w:leader="none"/>
        </w:tabs>
        <w:spacing w:lineRule="auto" w:line="242"/>
        <w:ind w:hanging="575" w:left="580" w:right="420"/>
        <w:rPr>
          <w:rFonts w:ascii="Corbel" w:hAnsi="Corbel" w:eastAsia="Corbel" w:cs="Corbel"/>
          <w:sz w:val="21"/>
        </w:rPr>
      </w:pPr>
      <w:r>
        <w:rPr>
          <w:rFonts w:eastAsia="Corbel" w:cs="Corbel" w:ascii="Corbel" w:hAnsi="Corbel"/>
          <w:sz w:val="21"/>
        </w:rPr>
        <w:t>Separate to this Agreement, the Commonwealth will administer the Expensive Commonwealth Criminal Cases Fund, under which legal aid commissions can apply, pursuant to guidelines, for reimbursement of legal costs incurred in expensive, complex Commonwealth criminal cases.</w:t>
      </w:r>
    </w:p>
    <w:p>
      <w:pPr>
        <w:pStyle w:val="Normal"/>
        <w:spacing w:lineRule="exact" w:line="23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Roles of the States</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10"/>
        </w:numPr>
        <w:tabs>
          <w:tab w:val="clear" w:pos="720"/>
          <w:tab w:val="left" w:pos="580" w:leader="none"/>
        </w:tabs>
        <w:spacing w:lineRule="atLeast" w:line="0"/>
        <w:ind w:hanging="575" w:left="580" w:right="0"/>
        <w:rPr>
          <w:rFonts w:ascii="Corbel" w:hAnsi="Corbel" w:eastAsia="Corbel" w:cs="Corbel"/>
          <w:sz w:val="23"/>
        </w:rPr>
      </w:pPr>
      <w:r>
        <w:rPr>
          <w:rFonts w:eastAsia="Corbel" w:cs="Corbel" w:ascii="Corbel" w:hAnsi="Corbel"/>
          <w:sz w:val="23"/>
        </w:rPr>
        <w:t>The States agree to be accountable for the following roles and responsibilities:</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1"/>
          <w:numId w:val="10"/>
        </w:numPr>
        <w:tabs>
          <w:tab w:val="clear" w:pos="720"/>
          <w:tab w:val="left" w:pos="1140" w:leader="none"/>
        </w:tabs>
        <w:spacing w:lineRule="auto" w:line="223"/>
        <w:ind w:hanging="565" w:left="1140" w:right="340"/>
        <w:rPr>
          <w:rFonts w:ascii="Corbel" w:hAnsi="Corbel" w:eastAsia="Corbel" w:cs="Corbel"/>
          <w:sz w:val="23"/>
        </w:rPr>
      </w:pPr>
      <w:r>
        <w:rPr>
          <w:rFonts w:eastAsia="Corbel" w:cs="Corbel" w:ascii="Corbel" w:hAnsi="Corbel"/>
          <w:sz w:val="23"/>
        </w:rPr>
        <w:t>administering Commonwealth funding for the delivery of legal assistance services by legal aid commissions and community legal centres, in accordance with the Commonwealth priorities at Schedule B;</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1"/>
          <w:numId w:val="10"/>
        </w:numPr>
        <w:tabs>
          <w:tab w:val="clear" w:pos="720"/>
          <w:tab w:val="left" w:pos="1140" w:leader="none"/>
        </w:tabs>
        <w:spacing w:lineRule="auto" w:line="220"/>
        <w:ind w:hanging="565" w:left="1140" w:right="900"/>
        <w:rPr>
          <w:rFonts w:ascii="Corbel" w:hAnsi="Corbel" w:eastAsia="Corbel" w:cs="Corbel"/>
          <w:sz w:val="23"/>
        </w:rPr>
      </w:pPr>
      <w:r>
        <w:rPr>
          <w:rFonts w:eastAsia="Corbel" w:cs="Corbel" w:ascii="Corbel" w:hAnsi="Corbel"/>
          <w:sz w:val="23"/>
        </w:rPr>
        <w:t>in 2015-16 and 2016-17, distributing Commonwealth funding for the delivery of legal assistance services by specific community legal centres listed in Schedule C;</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1"/>
          <w:numId w:val="10"/>
        </w:numPr>
        <w:tabs>
          <w:tab w:val="clear" w:pos="720"/>
          <w:tab w:val="left" w:pos="1142" w:leader="none"/>
        </w:tabs>
        <w:spacing w:lineRule="auto" w:line="223"/>
        <w:ind w:hanging="565" w:left="1140" w:right="80"/>
        <w:jc w:val="both"/>
        <w:rPr>
          <w:rFonts w:ascii="Corbel" w:hAnsi="Corbel" w:eastAsia="Corbel" w:cs="Corbel"/>
          <w:sz w:val="23"/>
        </w:rPr>
      </w:pPr>
      <w:r>
        <w:rPr>
          <w:rFonts w:eastAsia="Corbel" w:cs="Corbel" w:ascii="Corbel" w:hAnsi="Corbel"/>
          <w:sz w:val="23"/>
        </w:rPr>
        <w:t>determining the methodology for the distribution of Commonwealth funding for the delivery of legal assistance services by community legal centres (except for the funding referred to in clause 14(b)), informed by the outcomes of collaborative service planning;</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1"/>
          <w:numId w:val="10"/>
        </w:numPr>
        <w:tabs>
          <w:tab w:val="clear" w:pos="720"/>
          <w:tab w:val="left" w:pos="1141" w:leader="none"/>
        </w:tabs>
        <w:spacing w:lineRule="auto" w:line="244"/>
        <w:ind w:hanging="567" w:left="1140" w:right="80"/>
        <w:rPr>
          <w:rFonts w:ascii="Corbel" w:hAnsi="Corbel" w:eastAsia="Corbel" w:cs="Corbel"/>
          <w:sz w:val="21"/>
        </w:rPr>
      </w:pPr>
      <w:r>
        <w:rPr>
          <w:rFonts w:eastAsia="Corbel" w:cs="Corbel" w:ascii="Corbel" w:hAnsi="Corbel"/>
          <w:sz w:val="21"/>
        </w:rPr>
        <w:t>ensuring that the Commonwealth supplementation for the SACS sector is distributed only to Eligible Service Providers, as defined in the National Partnership Agreement on Pay Equity for the SACS sector, through a clear and fair process that is consistent with the principles of procedural fairness set out in Schedule B of the SACS National Partnership Agreement;</w:t>
      </w:r>
    </w:p>
    <w:p>
      <w:pPr>
        <w:pStyle w:val="Normal"/>
        <w:spacing w:lineRule="exact" w:line="239"/>
        <w:rPr>
          <w:rFonts w:ascii="Corbel" w:hAnsi="Corbel" w:eastAsia="Corbel" w:cs="Corbel"/>
          <w:sz w:val="21"/>
        </w:rPr>
      </w:pPr>
      <w:r>
        <w:rPr>
          <w:rFonts w:eastAsia="Corbel" w:cs="Corbel" w:ascii="Corbel" w:hAnsi="Corbel"/>
          <w:sz w:val="21"/>
        </w:rPr>
      </w:r>
    </w:p>
    <w:p>
      <w:pPr>
        <w:pStyle w:val="Normal"/>
        <w:numPr>
          <w:ilvl w:val="1"/>
          <w:numId w:val="10"/>
        </w:numPr>
        <w:tabs>
          <w:tab w:val="clear" w:pos="720"/>
          <w:tab w:val="left" w:pos="1141" w:leader="none"/>
        </w:tabs>
        <w:spacing w:lineRule="auto" w:line="223"/>
        <w:ind w:hanging="565" w:left="1140" w:right="420"/>
        <w:rPr>
          <w:rFonts w:ascii="Corbel" w:hAnsi="Corbel" w:eastAsia="Corbel" w:cs="Corbel"/>
          <w:sz w:val="23"/>
        </w:rPr>
      </w:pPr>
      <w:r>
        <w:rPr>
          <w:rFonts w:eastAsia="Corbel" w:cs="Corbel" w:ascii="Corbel" w:hAnsi="Corbel"/>
          <w:sz w:val="23"/>
        </w:rPr>
        <w:t>undertaking collaborative service planning, including biannual meetings with the legal assistance sector, to improve coordination between service providers in the planning and delivery of services, with reference to the guidance at Schedule A;</w:t>
      </w:r>
    </w:p>
    <w:p>
      <w:pPr>
        <w:pStyle w:val="Normal"/>
        <w:spacing w:lineRule="exact" w:line="200"/>
        <w:rPr>
          <w:rFonts w:ascii="Corbel" w:hAnsi="Corbel" w:eastAsia="Corbel" w:cs="Corbel"/>
          <w:sz w:val="23"/>
        </w:rPr>
      </w:pPr>
      <w:r>
        <w:rPr>
          <w:rFonts w:eastAsia="Corbel" w:cs="Corbel" w:ascii="Corbel" w:hAnsi="Corbel"/>
          <w:sz w:val="23"/>
        </w:rPr>
      </w:r>
    </w:p>
    <w:p>
      <w:pPr>
        <w:pStyle w:val="Normal"/>
        <w:numPr>
          <w:ilvl w:val="1"/>
          <w:numId w:val="10"/>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facilitating surveys of legal aid commission and community legal centre clients;</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1"/>
          <w:numId w:val="10"/>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monitoring and assessing the delivery of legal assistance services under this Agreement; and</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20" w:right="870" w:gutter="0" w:header="0" w:top="1046" w:footer="0" w:bottom="159"/>
          <w:pgNumType w:fmt="decimal"/>
          <w:formProt w:val="false"/>
          <w:textDirection w:val="lrTb"/>
          <w:docGrid w:type="default" w:linePitch="360" w:charSpace="0"/>
        </w:sectPr>
        <w:pStyle w:val="Normal"/>
        <w:spacing w:lineRule="atLeast" w:line="0"/>
        <w:jc w:val="right"/>
        <w:rPr>
          <w:rFonts w:ascii="Corbel" w:hAnsi="Corbel" w:eastAsia="Corbel" w:cs="Corbel"/>
          <w:color w:val="3C4A67"/>
          <w:sz w:val="18"/>
        </w:rPr>
      </w:pPr>
      <w:r>
        <w:rPr>
          <w:rFonts w:eastAsia="Corbel" w:cs="Corbel" w:ascii="Corbel" w:hAnsi="Corbel"/>
          <w:color w:val="3C4A67"/>
          <w:sz w:val="18"/>
        </w:rPr>
        <w:t>Page | 4</w:t>
      </w:r>
    </w:p>
    <w:p>
      <w:pPr>
        <w:pStyle w:val="Normal"/>
        <w:numPr>
          <w:ilvl w:val="0"/>
          <w:numId w:val="11"/>
        </w:numPr>
        <w:tabs>
          <w:tab w:val="clear" w:pos="720"/>
          <w:tab w:val="left" w:pos="1140" w:leader="none"/>
        </w:tabs>
        <w:spacing w:lineRule="auto" w:line="220"/>
        <w:ind w:hanging="565" w:left="1140" w:right="740"/>
        <w:rPr>
          <w:rFonts w:ascii="Corbel" w:hAnsi="Corbel" w:eastAsia="Corbel" w:cs="Corbel"/>
          <w:sz w:val="23"/>
        </w:rPr>
      </w:pPr>
      <w:bookmarkStart w:id="4" w:name="page5"/>
      <w:bookmarkEnd w:id="4"/>
      <w:r>
        <w:rPr>
          <w:rFonts w:eastAsia="Corbel" w:cs="Corbel" w:ascii="Corbel" w:hAnsi="Corbel"/>
          <w:sz w:val="23"/>
        </w:rPr>
        <w:t>reporting to the Commonwealth on the delivery of legal assistance services under this Agreement, as set out in Part 4 – Performance Monitoring and Reporting.</w:t>
      </w:r>
    </w:p>
    <w:p>
      <w:pPr>
        <w:pStyle w:val="Normal"/>
        <w:spacing w:lineRule="exact" w:line="21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Shared roles</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12"/>
        </w:numPr>
        <w:tabs>
          <w:tab w:val="clear" w:pos="720"/>
          <w:tab w:val="left" w:pos="580" w:leader="none"/>
        </w:tabs>
        <w:spacing w:lineRule="atLeast" w:line="0"/>
        <w:ind w:hanging="575" w:left="580" w:right="0"/>
        <w:rPr>
          <w:rFonts w:ascii="Corbel" w:hAnsi="Corbel" w:eastAsia="Corbel" w:cs="Corbel"/>
          <w:sz w:val="23"/>
        </w:rPr>
      </w:pPr>
      <w:r>
        <w:rPr>
          <w:rFonts w:eastAsia="Corbel" w:cs="Corbel" w:ascii="Corbel" w:hAnsi="Corbel"/>
          <w:sz w:val="23"/>
        </w:rPr>
        <w:t>The Parties share the following roles and responsibilities:</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1"/>
          <w:numId w:val="12"/>
        </w:numPr>
        <w:tabs>
          <w:tab w:val="clear" w:pos="720"/>
          <w:tab w:val="left" w:pos="1141" w:leader="none"/>
        </w:tabs>
        <w:spacing w:lineRule="auto" w:line="220"/>
        <w:ind w:hanging="565" w:left="1140" w:right="340"/>
        <w:rPr>
          <w:rFonts w:ascii="Corbel" w:hAnsi="Corbel" w:eastAsia="Corbel" w:cs="Corbel"/>
          <w:sz w:val="23"/>
        </w:rPr>
      </w:pPr>
      <w:r>
        <w:rPr>
          <w:rFonts w:eastAsia="Corbel" w:cs="Corbel" w:ascii="Corbel" w:hAnsi="Corbel"/>
          <w:sz w:val="23"/>
        </w:rPr>
        <w:t>endorsing the methodology for the distribution of Commonwealth funding in 2015-16 and 2016-17 to specific community legal centres listed in Schedule C;</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1"/>
          <w:numId w:val="12"/>
        </w:numPr>
        <w:tabs>
          <w:tab w:val="clear" w:pos="720"/>
          <w:tab w:val="left" w:pos="1141" w:leader="none"/>
        </w:tabs>
        <w:spacing w:lineRule="auto" w:line="220"/>
        <w:ind w:hanging="565" w:left="1140" w:right="80"/>
        <w:rPr>
          <w:rFonts w:ascii="Corbel" w:hAnsi="Corbel" w:eastAsia="Corbel" w:cs="Corbel"/>
          <w:sz w:val="23"/>
        </w:rPr>
      </w:pPr>
      <w:r>
        <w:rPr>
          <w:rFonts w:eastAsia="Corbel" w:cs="Corbel" w:ascii="Corbel" w:hAnsi="Corbel"/>
          <w:sz w:val="23"/>
        </w:rPr>
        <w:t>participating in biannual jurisdictional forums with legal assistance sector representatives, established and coordinated by States, to consider issues affecting the legal assistance sector, share best practice service delivery models and strengthen networks between service providers;</w:t>
      </w:r>
    </w:p>
    <w:p>
      <w:pPr>
        <w:pStyle w:val="Normal"/>
        <w:spacing w:lineRule="exact" w:line="246"/>
        <w:rPr>
          <w:rFonts w:ascii="Corbel" w:hAnsi="Corbel" w:eastAsia="Corbel" w:cs="Corbel"/>
          <w:sz w:val="23"/>
        </w:rPr>
      </w:pPr>
      <w:r>
        <w:rPr>
          <w:rFonts w:eastAsia="Corbel" w:cs="Corbel" w:ascii="Corbel" w:hAnsi="Corbel"/>
          <w:sz w:val="23"/>
        </w:rPr>
      </w:r>
    </w:p>
    <w:p>
      <w:pPr>
        <w:pStyle w:val="Normal"/>
        <w:numPr>
          <w:ilvl w:val="1"/>
          <w:numId w:val="12"/>
        </w:numPr>
        <w:tabs>
          <w:tab w:val="clear" w:pos="720"/>
          <w:tab w:val="left" w:pos="1140" w:leader="none"/>
        </w:tabs>
        <w:spacing w:lineRule="auto" w:line="204"/>
        <w:ind w:hanging="565" w:left="1140" w:right="240"/>
        <w:rPr>
          <w:rFonts w:ascii="Corbel" w:hAnsi="Corbel" w:eastAsia="Corbel" w:cs="Corbel"/>
          <w:sz w:val="23"/>
        </w:rPr>
      </w:pPr>
      <w:r>
        <w:rPr>
          <w:rFonts w:eastAsia="Corbel" w:cs="Corbel" w:ascii="Corbel" w:hAnsi="Corbel"/>
          <w:sz w:val="23"/>
        </w:rPr>
        <w:t>agreeing the methodology for surveys of legal aid commission and community legal centre clients and a set of national survey questions</w:t>
      </w:r>
      <w:r>
        <w:rPr>
          <w:rFonts w:eastAsia="Corbel" w:cs="Corbel" w:ascii="Corbel" w:hAnsi="Corbel"/>
          <w:sz w:val="30"/>
          <w:vertAlign w:val="superscript"/>
        </w:rPr>
        <w:t>1</w:t>
      </w:r>
      <w:r>
        <w:rPr>
          <w:rFonts w:eastAsia="Corbel" w:cs="Corbel" w:ascii="Corbel" w:hAnsi="Corbel"/>
          <w:sz w:val="23"/>
        </w:rPr>
        <w:t>, with the States to facilitate the surveys in accordance with clause 14(f) of this Agreement;</w:t>
      </w:r>
    </w:p>
    <w:p>
      <w:pPr>
        <w:pStyle w:val="Normal"/>
        <w:spacing w:lineRule="exact" w:line="231"/>
        <w:rPr>
          <w:rFonts w:ascii="Corbel" w:hAnsi="Corbel" w:eastAsia="Corbel" w:cs="Corbel"/>
          <w:sz w:val="23"/>
        </w:rPr>
      </w:pPr>
      <w:r>
        <w:rPr>
          <w:rFonts w:eastAsia="Corbel" w:cs="Corbel" w:ascii="Corbel" w:hAnsi="Corbel"/>
          <w:sz w:val="23"/>
        </w:rPr>
      </w:r>
    </w:p>
    <w:p>
      <w:pPr>
        <w:pStyle w:val="Normal"/>
        <w:numPr>
          <w:ilvl w:val="1"/>
          <w:numId w:val="12"/>
        </w:numPr>
        <w:tabs>
          <w:tab w:val="clear" w:pos="720"/>
          <w:tab w:val="left" w:pos="1141" w:leader="none"/>
        </w:tabs>
        <w:spacing w:lineRule="auto" w:line="220"/>
        <w:ind w:hanging="565" w:left="1140" w:right="240"/>
        <w:rPr>
          <w:rFonts w:ascii="Corbel" w:hAnsi="Corbel" w:eastAsia="Corbel" w:cs="Corbel"/>
          <w:sz w:val="23"/>
        </w:rPr>
      </w:pPr>
      <w:r>
        <w:rPr>
          <w:rFonts w:eastAsia="Corbel" w:cs="Corbel" w:ascii="Corbel" w:hAnsi="Corbel"/>
          <w:sz w:val="23"/>
        </w:rPr>
        <w:t>meeting biannually on a bilateral basis with the Commonwealth to discuss the operation of this Agreement; and</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1"/>
          <w:numId w:val="12"/>
        </w:numPr>
        <w:tabs>
          <w:tab w:val="clear" w:pos="720"/>
          <w:tab w:val="left" w:pos="1140" w:leader="none"/>
        </w:tabs>
        <w:spacing w:lineRule="auto" w:line="220"/>
        <w:ind w:hanging="565" w:left="1140" w:right="460"/>
        <w:rPr>
          <w:rFonts w:ascii="Corbel" w:hAnsi="Corbel" w:eastAsia="Corbel" w:cs="Corbel"/>
          <w:sz w:val="23"/>
        </w:rPr>
      </w:pPr>
      <w:r>
        <w:rPr>
          <w:rFonts w:eastAsia="Corbel" w:cs="Corbel" w:ascii="Corbel" w:hAnsi="Corbel"/>
          <w:sz w:val="23"/>
        </w:rPr>
        <w:t>conducting evaluations and reviews of services and outputs delivered in accordance with Part 6 of this Agreement.</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0"/>
          <w:numId w:val="12"/>
        </w:numPr>
        <w:tabs>
          <w:tab w:val="clear" w:pos="720"/>
          <w:tab w:val="left" w:pos="581" w:leader="none"/>
        </w:tabs>
        <w:spacing w:lineRule="auto" w:line="220"/>
        <w:ind w:hanging="575" w:left="580" w:right="120"/>
        <w:rPr>
          <w:rFonts w:ascii="Corbel" w:hAnsi="Corbel" w:eastAsia="Corbel" w:cs="Corbel"/>
          <w:sz w:val="23"/>
        </w:rPr>
      </w:pPr>
      <w:r>
        <w:rPr>
          <w:rFonts w:eastAsia="Corbel" w:cs="Corbel" w:ascii="Corbel" w:hAnsi="Corbel"/>
          <w:sz w:val="23"/>
        </w:rPr>
        <w:t>The Parties will meet the requirements of Schedule E, clause 26 of the IGA FFR by ensuring that prior agreement is reached on the nature and content of any events, announcements, promotional material or publicity relating to activities under this Agreement, and that the roles of both Parties will be acknowledged and recognised appropriately.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pPr>
      <w:r>
        <w:rPr>
          <w:rFonts w:eastAsia="Consolas" w:cs="Consolas" w:ascii="Consolas" w:hAnsi="Consolas"/>
          <w:color w:val="3C4A67"/>
          <w:sz w:val="32"/>
        </w:rPr>
        <w:t>PART 4 — PERFORMANCE MONITORING AND REPORTING</w:t>
      </w:r>
    </w:p>
    <w:p>
      <w:pPr>
        <w:pStyle w:val="Normal"/>
        <w:spacing w:lineRule="exact" w:line="198"/>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Performance indicators</w:t>
      </w:r>
    </w:p>
    <w:p>
      <w:pPr>
        <w:pStyle w:val="Normal"/>
        <w:spacing w:lineRule="exact" w:line="123"/>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13"/>
        </w:numPr>
        <w:tabs>
          <w:tab w:val="clear" w:pos="720"/>
          <w:tab w:val="left" w:pos="581" w:leader="none"/>
        </w:tabs>
        <w:spacing w:lineRule="auto" w:line="228"/>
        <w:ind w:hanging="575" w:left="580" w:right="40"/>
        <w:rPr>
          <w:rFonts w:ascii="Corbel" w:hAnsi="Corbel" w:eastAsia="Corbel" w:cs="Corbel"/>
          <w:sz w:val="23"/>
        </w:rPr>
      </w:pPr>
      <w:r>
        <w:rPr>
          <w:rFonts w:eastAsia="Corbel" w:cs="Corbel" w:ascii="Corbel" w:hAnsi="Corbel"/>
          <w:sz w:val="23"/>
        </w:rPr>
        <w:t>Progress towards the objective and outcomes of this Agreement will be informed with reference to the following performance indicators: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1"/>
          <w:numId w:val="13"/>
        </w:numPr>
        <w:tabs>
          <w:tab w:val="clear" w:pos="720"/>
          <w:tab w:val="left" w:pos="1141" w:leader="none"/>
        </w:tabs>
        <w:spacing w:lineRule="auto" w:line="220"/>
        <w:ind w:hanging="565" w:left="1140" w:right="40"/>
        <w:rPr>
          <w:rFonts w:ascii="Corbel" w:hAnsi="Corbel" w:eastAsia="Corbel" w:cs="Corbel"/>
          <w:sz w:val="23"/>
        </w:rPr>
      </w:pPr>
      <w:r>
        <w:rPr>
          <w:rFonts w:eastAsia="Corbel" w:cs="Corbel" w:ascii="Corbel" w:hAnsi="Corbel"/>
          <w:sz w:val="23"/>
        </w:rPr>
        <w:t>the proportion of representation services delivered to priority clients. For reporting purposes, the States will report on a subset of priority clients comprising: children and young people (up to 24 years); people experiencing financial disadvantage; Indigenous Australians; older people (aged over 65 years); people experiencing, or at risk of, family violence; people residing in rural or remote areas; people who are culturally and linguistically diverse; and people with a disability or mental illness;</w:t>
      </w:r>
    </w:p>
    <w:p>
      <w:pPr>
        <w:pStyle w:val="Normal"/>
        <w:spacing w:lineRule="exact" w:line="249"/>
        <w:rPr>
          <w:rFonts w:ascii="Corbel" w:hAnsi="Corbel" w:eastAsia="Corbel" w:cs="Corbel"/>
          <w:sz w:val="23"/>
        </w:rPr>
      </w:pPr>
      <w:r>
        <w:rPr>
          <w:rFonts w:eastAsia="Corbel" w:cs="Corbel" w:ascii="Corbel" w:hAnsi="Corbel"/>
          <w:sz w:val="23"/>
        </w:rPr>
      </w:r>
    </w:p>
    <w:p>
      <w:pPr>
        <w:pStyle w:val="Normal"/>
        <w:numPr>
          <w:ilvl w:val="1"/>
          <w:numId w:val="13"/>
        </w:numPr>
        <w:tabs>
          <w:tab w:val="clear" w:pos="720"/>
          <w:tab w:val="left" w:pos="1140" w:leader="none"/>
        </w:tabs>
        <w:spacing w:lineRule="auto" w:line="220"/>
        <w:ind w:hanging="565" w:left="1140" w:right="180"/>
        <w:rPr>
          <w:rFonts w:ascii="Corbel" w:hAnsi="Corbel" w:eastAsia="Corbel" w:cs="Corbel"/>
          <w:sz w:val="23"/>
        </w:rPr>
      </w:pPr>
      <w:r>
        <w:rPr>
          <w:rFonts w:eastAsia="Corbel" w:cs="Corbel" w:ascii="Corbel" w:hAnsi="Corbel"/>
          <w:sz w:val="23"/>
        </w:rPr>
        <w:t>the proportion of clients receiving quality services that are delivered appropriately to match clients’ legal needs and levels of capability, as measured through client surveys;</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1"/>
          <w:numId w:val="13"/>
        </w:numPr>
        <w:tabs>
          <w:tab w:val="clear" w:pos="720"/>
          <w:tab w:val="left" w:pos="1140" w:leader="none"/>
        </w:tabs>
        <w:spacing w:lineRule="auto" w:line="220"/>
        <w:ind w:hanging="565" w:left="1140" w:right="100"/>
        <w:rPr>
          <w:rFonts w:ascii="Corbel" w:hAnsi="Corbel" w:eastAsia="Corbel" w:cs="Corbel"/>
          <w:sz w:val="23"/>
        </w:rPr>
      </w:pPr>
      <w:r>
        <w:rPr>
          <w:rFonts w:eastAsia="Corbel" w:cs="Corbel" w:ascii="Corbel" w:hAnsi="Corbel"/>
          <w:sz w:val="23"/>
        </w:rPr>
        <w:t>for legal aid commissions only, the number of facilitated resolution processes and the percentage of processes that result in a held conference reaching full or partial settlement of matters; and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3">
                <wp:simplePos x="0" y="0"/>
                <wp:positionH relativeFrom="column">
                  <wp:posOffset>7620</wp:posOffset>
                </wp:positionH>
                <wp:positionV relativeFrom="paragraph">
                  <wp:posOffset>338455</wp:posOffset>
                </wp:positionV>
                <wp:extent cx="1828800" cy="0"/>
                <wp:effectExtent l="0" t="5080" r="0" b="5080"/>
                <wp:wrapNone/>
                <wp:docPr id="2" name=""/>
                <a:graphic xmlns:a="http://schemas.openxmlformats.org/drawingml/2006/main">
                  <a:graphicData uri="http://schemas.microsoft.com/office/word/2010/wordprocessingShape">
                    <wps:wsp>
                      <wps:cNvSpPr/>
                      <wps:spPr>
                        <a:xfrm>
                          <a:off x="0" y="0"/>
                          <a:ext cx="1828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6pt,26.65pt" to="144.55pt,26.6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280" w:leader="none"/>
        </w:tabs>
        <w:spacing w:lineRule="auto" w:line="204"/>
        <w:ind w:hanging="275" w:left="280" w:right="60"/>
        <w:rPr>
          <w:rFonts w:ascii="Corbel" w:hAnsi="Corbel" w:eastAsia="Corbel" w:cs="Corbel"/>
          <w:sz w:val="24"/>
          <w:vertAlign w:val="superscript"/>
        </w:rPr>
      </w:pPr>
      <w:r>
        <w:rPr>
          <w:rFonts w:eastAsia="Corbel" w:cs="Corbel" w:ascii="Corbel" w:hAnsi="Corbel"/>
          <w:sz w:val="18"/>
        </w:rPr>
        <w:t>The national survey questions can be incorporated into existing State surveys and/or asked in conjunction with State-specific survey questions.</w:t>
      </w:r>
    </w:p>
    <w:p>
      <w:pPr>
        <w:pStyle w:val="Normal"/>
        <w:spacing w:lineRule="exact" w:line="21"/>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sectPr>
          <w:type w:val="nextPage"/>
          <w:pgSz w:w="11906" w:h="16838"/>
          <w:pgMar w:left="1120" w:right="870" w:gutter="0" w:header="0" w:top="1120" w:footer="0" w:bottom="159"/>
          <w:pgNumType w:fmt="decimal"/>
          <w:formProt w:val="false"/>
          <w:textDirection w:val="lrTb"/>
          <w:docGrid w:type="default" w:linePitch="360" w:charSpace="0"/>
        </w:sectPr>
        <w:pStyle w:val="Normal"/>
        <w:spacing w:lineRule="atLeast" w:line="0"/>
        <w:jc w:val="right"/>
        <w:rPr>
          <w:rFonts w:ascii="Corbel" w:hAnsi="Corbel" w:eastAsia="Corbel" w:cs="Corbel"/>
          <w:color w:val="3C4A67"/>
          <w:sz w:val="18"/>
        </w:rPr>
      </w:pPr>
      <w:r>
        <w:rPr>
          <w:rFonts w:eastAsia="Corbel" w:cs="Corbel" w:ascii="Corbel" w:hAnsi="Corbel"/>
          <w:color w:val="3C4A67"/>
          <w:sz w:val="18"/>
        </w:rPr>
        <w:t>Page | 5</w:t>
      </w:r>
    </w:p>
    <w:p>
      <w:pPr>
        <w:pStyle w:val="Normal"/>
        <w:numPr>
          <w:ilvl w:val="0"/>
          <w:numId w:val="15"/>
        </w:numPr>
        <w:tabs>
          <w:tab w:val="clear" w:pos="720"/>
          <w:tab w:val="left" w:pos="1140" w:leader="none"/>
        </w:tabs>
        <w:spacing w:lineRule="auto" w:line="242"/>
        <w:ind w:hanging="565" w:left="1140" w:right="20"/>
        <w:rPr>
          <w:rFonts w:ascii="Corbel" w:hAnsi="Corbel" w:eastAsia="Corbel" w:cs="Corbel"/>
          <w:sz w:val="21"/>
        </w:rPr>
      </w:pPr>
      <w:bookmarkStart w:id="5" w:name="page6"/>
      <w:bookmarkEnd w:id="5"/>
      <w:r>
        <w:rPr>
          <w:rFonts w:eastAsia="Corbel" w:cs="Corbel" w:ascii="Corbel" w:hAnsi="Corbel"/>
          <w:sz w:val="21"/>
        </w:rPr>
        <w:t>the number of legal assistance services delivered (comprising: information and referral; legal advice; legal task; duty lawyer services; dispute resolution; court/litigation and other representation; and community legal education), disaggregated by service type and law type.</w:t>
      </w:r>
    </w:p>
    <w:p>
      <w:pPr>
        <w:pStyle w:val="Normal"/>
        <w:spacing w:lineRule="exact" w:line="23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Performance benchmarks</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16"/>
        </w:numPr>
        <w:tabs>
          <w:tab w:val="clear" w:pos="720"/>
          <w:tab w:val="left" w:pos="580" w:leader="none"/>
        </w:tabs>
        <w:spacing w:lineRule="atLeast" w:line="0"/>
        <w:ind w:hanging="575" w:left="580" w:right="0"/>
        <w:rPr>
          <w:rFonts w:ascii="Corbel" w:hAnsi="Corbel" w:eastAsia="Corbel" w:cs="Corbel"/>
          <w:sz w:val="23"/>
        </w:rPr>
      </w:pPr>
      <w:r>
        <w:rPr>
          <w:rFonts w:eastAsia="Corbel" w:cs="Corbel" w:ascii="Corbel" w:hAnsi="Corbel"/>
          <w:sz w:val="23"/>
        </w:rPr>
        <w:t>The Parties agree to meet the following performance benchmarks:</w:t>
      </w:r>
    </w:p>
    <w:p>
      <w:pPr>
        <w:pStyle w:val="Normal"/>
        <w:spacing w:lineRule="exact" w:line="228"/>
        <w:rPr>
          <w:rFonts w:ascii="Corbel" w:hAnsi="Corbel" w:eastAsia="Corbel" w:cs="Corbel"/>
          <w:sz w:val="23"/>
        </w:rPr>
      </w:pPr>
      <w:r>
        <w:rPr>
          <w:rFonts w:eastAsia="Corbel" w:cs="Corbel" w:ascii="Corbel" w:hAnsi="Corbel"/>
          <w:sz w:val="23"/>
        </w:rPr>
      </w:r>
    </w:p>
    <w:p>
      <w:pPr>
        <w:pStyle w:val="Normal"/>
        <w:numPr>
          <w:ilvl w:val="1"/>
          <w:numId w:val="16"/>
        </w:numPr>
        <w:tabs>
          <w:tab w:val="clear" w:pos="720"/>
          <w:tab w:val="left" w:pos="1140" w:leader="none"/>
        </w:tabs>
        <w:spacing w:lineRule="auto" w:line="223"/>
        <w:ind w:hanging="565" w:left="1140" w:right="160"/>
        <w:rPr>
          <w:rFonts w:ascii="Corbel" w:hAnsi="Corbel" w:eastAsia="Corbel" w:cs="Corbel"/>
          <w:sz w:val="23"/>
        </w:rPr>
      </w:pPr>
      <w:r>
        <w:rPr>
          <w:rFonts w:eastAsia="Corbel" w:cs="Corbel" w:ascii="Corbel" w:hAnsi="Corbel"/>
          <w:sz w:val="23"/>
        </w:rPr>
        <w:t>for legal aid commissions, 95% or more of representation services are delivered to people experiencing financial disadvantage – to be achieved by each State in each six month period from 1 July 2015 onwards;</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1"/>
          <w:numId w:val="16"/>
        </w:numPr>
        <w:tabs>
          <w:tab w:val="clear" w:pos="720"/>
          <w:tab w:val="left" w:pos="1140" w:leader="none"/>
        </w:tabs>
        <w:spacing w:lineRule="auto" w:line="247"/>
        <w:ind w:hanging="564" w:left="1140" w:right="320"/>
        <w:rPr>
          <w:rFonts w:ascii="Corbel" w:hAnsi="Corbel" w:eastAsia="Corbel" w:cs="Corbel"/>
          <w:sz w:val="21"/>
        </w:rPr>
      </w:pPr>
      <w:r>
        <w:rPr>
          <w:rFonts w:eastAsia="Corbel" w:cs="Corbel" w:ascii="Corbel" w:hAnsi="Corbel"/>
          <w:sz w:val="21"/>
        </w:rPr>
        <w:t>for community legal centres, 85% or more of total representation services are delivered to people experiencing financial disadvantage – to be achieved by each State in aggregate across all community legal centres in each six month period between 1 July 2015 and</w:t>
      </w:r>
    </w:p>
    <w:p>
      <w:pPr>
        <w:pStyle w:val="Normal"/>
        <w:spacing w:lineRule="auto" w:line="228"/>
        <w:ind w:left="1140" w:right="0"/>
        <w:rPr>
          <w:rFonts w:ascii="Corbel" w:hAnsi="Corbel" w:eastAsia="Corbel" w:cs="Corbel"/>
          <w:sz w:val="23"/>
        </w:rPr>
      </w:pPr>
      <w:r>
        <w:rPr>
          <w:rFonts w:eastAsia="Corbel" w:cs="Corbel" w:ascii="Corbel" w:hAnsi="Corbel"/>
          <w:sz w:val="23"/>
        </w:rPr>
        <w:t>30 June 2017; and</w:t>
      </w:r>
    </w:p>
    <w:p>
      <w:pPr>
        <w:pStyle w:val="Normal"/>
        <w:spacing w:lineRule="exact" w:line="229"/>
        <w:rPr>
          <w:rFonts w:ascii="Corbel" w:hAnsi="Corbel" w:eastAsia="Corbel" w:cs="Corbel"/>
          <w:sz w:val="21"/>
        </w:rPr>
      </w:pPr>
      <w:r>
        <w:rPr>
          <w:rFonts w:eastAsia="Corbel" w:cs="Corbel" w:ascii="Corbel" w:hAnsi="Corbel"/>
          <w:sz w:val="21"/>
        </w:rPr>
      </w:r>
    </w:p>
    <w:p>
      <w:pPr>
        <w:pStyle w:val="Normal"/>
        <w:numPr>
          <w:ilvl w:val="1"/>
          <w:numId w:val="16"/>
        </w:numPr>
        <w:tabs>
          <w:tab w:val="clear" w:pos="720"/>
          <w:tab w:val="left" w:pos="1140" w:leader="none"/>
        </w:tabs>
        <w:spacing w:lineRule="auto" w:line="249"/>
        <w:ind w:hanging="565" w:left="1140" w:right="320"/>
        <w:rPr>
          <w:rFonts w:ascii="Corbel" w:hAnsi="Corbel" w:eastAsia="Corbel" w:cs="Corbel"/>
          <w:sz w:val="21"/>
        </w:rPr>
      </w:pPr>
      <w:r>
        <w:rPr>
          <w:rFonts w:eastAsia="Corbel" w:cs="Corbel" w:ascii="Corbel" w:hAnsi="Corbel"/>
          <w:sz w:val="21"/>
        </w:rPr>
        <w:t>for community legal centres, 90% or more of total representation services are delivered to people experiencing financial disadvantage – to be achieved by each State in aggregate across all community legal centres in each six month period from 1 July 2017 onwards.</w:t>
      </w:r>
    </w:p>
    <w:p>
      <w:pPr>
        <w:pStyle w:val="Normal"/>
        <w:spacing w:lineRule="exact" w:line="20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Milestones</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17"/>
        </w:numPr>
        <w:tabs>
          <w:tab w:val="clear" w:pos="720"/>
          <w:tab w:val="left" w:pos="580" w:leader="none"/>
        </w:tabs>
        <w:spacing w:lineRule="atLeast" w:line="0"/>
        <w:ind w:hanging="575" w:left="580" w:right="0"/>
        <w:rPr>
          <w:rFonts w:ascii="Corbel" w:hAnsi="Corbel" w:eastAsia="Corbel" w:cs="Corbel"/>
          <w:sz w:val="23"/>
        </w:rPr>
      </w:pPr>
      <w:r>
        <w:rPr>
          <w:rFonts w:eastAsia="Corbel" w:cs="Corbel" w:ascii="Corbel" w:hAnsi="Corbel"/>
          <w:sz w:val="23"/>
        </w:rPr>
        <w:t>The Parties agree to meet the following milestones:</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1"/>
          <w:numId w:val="17"/>
        </w:numPr>
        <w:tabs>
          <w:tab w:val="clear" w:pos="720"/>
          <w:tab w:val="left" w:pos="1140" w:leader="none"/>
        </w:tabs>
        <w:spacing w:lineRule="auto" w:line="228"/>
        <w:ind w:hanging="565" w:left="1140" w:right="480"/>
        <w:rPr>
          <w:rFonts w:ascii="Corbel" w:hAnsi="Corbel" w:eastAsia="Corbel" w:cs="Corbel"/>
          <w:sz w:val="23"/>
        </w:rPr>
      </w:pPr>
      <w:r>
        <w:rPr>
          <w:rFonts w:eastAsia="Corbel" w:cs="Corbel" w:ascii="Corbel" w:hAnsi="Corbel"/>
          <w:sz w:val="23"/>
        </w:rPr>
        <w:t>endorsement of the methodology for Commonwealth funding in 2015-16 and 2016-17 to specific community legal centres listed in Schedule C – upon signing this Agreement;</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1"/>
          <w:numId w:val="17"/>
        </w:numPr>
        <w:tabs>
          <w:tab w:val="clear" w:pos="720"/>
          <w:tab w:val="left" w:pos="1141" w:leader="none"/>
        </w:tabs>
        <w:spacing w:lineRule="auto" w:line="220"/>
        <w:ind w:hanging="566" w:left="1140" w:right="740"/>
        <w:rPr>
          <w:rFonts w:ascii="Corbel" w:hAnsi="Corbel" w:eastAsia="Corbel" w:cs="Corbel"/>
          <w:sz w:val="23"/>
        </w:rPr>
      </w:pPr>
      <w:r>
        <w:rPr>
          <w:rFonts w:eastAsia="Corbel" w:cs="Corbel" w:ascii="Corbel" w:hAnsi="Corbel"/>
          <w:sz w:val="23"/>
        </w:rPr>
        <w:t>report on the distribution of Commonwealth funding to community legal centres that outlines – annually from 2015-16:</w:t>
      </w:r>
    </w:p>
    <w:p>
      <w:pPr>
        <w:pStyle w:val="Normal"/>
        <w:spacing w:lineRule="exact" w:line="216"/>
        <w:rPr>
          <w:rFonts w:ascii="Corbel" w:hAnsi="Corbel" w:eastAsia="Corbel" w:cs="Corbel"/>
          <w:sz w:val="23"/>
        </w:rPr>
      </w:pPr>
      <w:r>
        <w:rPr>
          <w:rFonts w:eastAsia="Corbel" w:cs="Corbel" w:ascii="Corbel" w:hAnsi="Corbel"/>
          <w:sz w:val="23"/>
        </w:rPr>
      </w:r>
    </w:p>
    <w:p>
      <w:pPr>
        <w:pStyle w:val="Normal"/>
        <w:numPr>
          <w:ilvl w:val="2"/>
          <w:numId w:val="17"/>
        </w:numPr>
        <w:tabs>
          <w:tab w:val="clear" w:pos="720"/>
          <w:tab w:val="left" w:pos="1720" w:leader="none"/>
        </w:tabs>
        <w:spacing w:lineRule="atLeast" w:line="0"/>
        <w:ind w:hanging="575" w:left="1720" w:right="0"/>
        <w:rPr>
          <w:rFonts w:ascii="Corbel" w:hAnsi="Corbel" w:eastAsia="Corbel" w:cs="Corbel"/>
          <w:sz w:val="21"/>
        </w:rPr>
      </w:pPr>
      <w:r>
        <w:rPr>
          <w:rFonts w:eastAsia="Corbel" w:cs="Corbel" w:ascii="Corbel" w:hAnsi="Corbel"/>
          <w:sz w:val="23"/>
        </w:rPr>
        <w:t>the community legal centres that will receive funding in the relevant funding period;</w:t>
      </w:r>
    </w:p>
    <w:p>
      <w:pPr>
        <w:pStyle w:val="Normal"/>
        <w:spacing w:lineRule="exact" w:line="228"/>
        <w:rPr>
          <w:rFonts w:ascii="Corbel" w:hAnsi="Corbel" w:eastAsia="Corbel" w:cs="Corbel"/>
          <w:sz w:val="21"/>
        </w:rPr>
      </w:pPr>
      <w:r>
        <w:rPr>
          <w:rFonts w:eastAsia="Corbel" w:cs="Corbel" w:ascii="Corbel" w:hAnsi="Corbel"/>
          <w:sz w:val="21"/>
        </w:rPr>
      </w:r>
    </w:p>
    <w:p>
      <w:pPr>
        <w:pStyle w:val="Normal"/>
        <w:numPr>
          <w:ilvl w:val="2"/>
          <w:numId w:val="17"/>
        </w:numPr>
        <w:tabs>
          <w:tab w:val="clear" w:pos="720"/>
          <w:tab w:val="left" w:pos="1722" w:leader="none"/>
        </w:tabs>
        <w:spacing w:lineRule="auto" w:line="223"/>
        <w:ind w:hanging="575" w:left="1720" w:right="620"/>
        <w:rPr>
          <w:rFonts w:ascii="Corbel" w:hAnsi="Corbel" w:eastAsia="Corbel" w:cs="Corbel"/>
          <w:sz w:val="21"/>
        </w:rPr>
      </w:pPr>
      <w:r>
        <w:rPr>
          <w:rFonts w:eastAsia="Corbel" w:cs="Corbel" w:ascii="Corbel" w:hAnsi="Corbel"/>
          <w:sz w:val="23"/>
        </w:rPr>
        <w:t>the State and Commonwealth funding profile for each community legal centre, separately identifying funding from a Public Purpose Fund (or equivalent), where applicable;</w:t>
      </w:r>
    </w:p>
    <w:p>
      <w:pPr>
        <w:pStyle w:val="Normal"/>
        <w:spacing w:lineRule="exact" w:line="215"/>
        <w:rPr>
          <w:rFonts w:ascii="Corbel" w:hAnsi="Corbel" w:eastAsia="Corbel" w:cs="Corbel"/>
          <w:sz w:val="21"/>
        </w:rPr>
      </w:pPr>
      <w:r>
        <w:rPr>
          <w:rFonts w:eastAsia="Corbel" w:cs="Corbel" w:ascii="Corbel" w:hAnsi="Corbel"/>
          <w:sz w:val="21"/>
        </w:rPr>
      </w:r>
    </w:p>
    <w:p>
      <w:pPr>
        <w:pStyle w:val="Normal"/>
        <w:numPr>
          <w:ilvl w:val="2"/>
          <w:numId w:val="17"/>
        </w:numPr>
        <w:tabs>
          <w:tab w:val="clear" w:pos="720"/>
          <w:tab w:val="left" w:pos="1720" w:leader="none"/>
        </w:tabs>
        <w:spacing w:lineRule="atLeast" w:line="0"/>
        <w:ind w:hanging="575" w:left="1720" w:right="0"/>
        <w:rPr>
          <w:rFonts w:ascii="Corbel" w:hAnsi="Corbel" w:eastAsia="Corbel" w:cs="Corbel"/>
          <w:sz w:val="21"/>
        </w:rPr>
      </w:pPr>
      <w:r>
        <w:rPr>
          <w:rFonts w:eastAsia="Corbel" w:cs="Corbel" w:ascii="Corbel" w:hAnsi="Corbel"/>
          <w:sz w:val="23"/>
        </w:rPr>
        <w:t>the funding period (which may be longer than one year); and</w:t>
      </w:r>
    </w:p>
    <w:p>
      <w:pPr>
        <w:pStyle w:val="Normal"/>
        <w:spacing w:lineRule="exact" w:line="243"/>
        <w:rPr>
          <w:rFonts w:ascii="Corbel" w:hAnsi="Corbel" w:eastAsia="Corbel" w:cs="Corbel"/>
          <w:sz w:val="21"/>
        </w:rPr>
      </w:pPr>
      <w:r>
        <w:rPr>
          <w:rFonts w:eastAsia="Corbel" w:cs="Corbel" w:ascii="Corbel" w:hAnsi="Corbel"/>
          <w:sz w:val="21"/>
        </w:rPr>
      </w:r>
    </w:p>
    <w:p>
      <w:pPr>
        <w:pStyle w:val="Normal"/>
        <w:numPr>
          <w:ilvl w:val="2"/>
          <w:numId w:val="17"/>
        </w:numPr>
        <w:tabs>
          <w:tab w:val="clear" w:pos="720"/>
          <w:tab w:val="left" w:pos="1720" w:leader="none"/>
        </w:tabs>
        <w:spacing w:lineRule="auto" w:line="228"/>
        <w:ind w:hanging="575" w:left="1720" w:right="280"/>
        <w:rPr>
          <w:rFonts w:ascii="Corbel" w:hAnsi="Corbel" w:eastAsia="Corbel" w:cs="Corbel"/>
          <w:sz w:val="21"/>
        </w:rPr>
      </w:pPr>
      <w:r>
        <w:rPr>
          <w:rFonts w:eastAsia="Corbel" w:cs="Corbel" w:ascii="Corbel" w:hAnsi="Corbel"/>
          <w:sz w:val="23"/>
        </w:rPr>
        <w:t>the provision of Commonwealth SACS supplementation to Eligible Service Providers impacted by the Pay Equity Orders;</w:t>
      </w:r>
    </w:p>
    <w:p>
      <w:pPr>
        <w:pStyle w:val="Normal"/>
        <w:spacing w:lineRule="exact" w:line="229"/>
        <w:rPr>
          <w:rFonts w:ascii="Corbel" w:hAnsi="Corbel" w:eastAsia="Corbel" w:cs="Corbel"/>
          <w:sz w:val="21"/>
        </w:rPr>
      </w:pPr>
      <w:r>
        <w:rPr>
          <w:rFonts w:eastAsia="Corbel" w:cs="Corbel" w:ascii="Corbel" w:hAnsi="Corbel"/>
          <w:sz w:val="21"/>
        </w:rPr>
      </w:r>
    </w:p>
    <w:p>
      <w:pPr>
        <w:pStyle w:val="Normal"/>
        <w:numPr>
          <w:ilvl w:val="1"/>
          <w:numId w:val="17"/>
        </w:numPr>
        <w:tabs>
          <w:tab w:val="clear" w:pos="720"/>
          <w:tab w:val="left" w:pos="1140" w:leader="none"/>
        </w:tabs>
        <w:spacing w:lineRule="auto" w:line="220"/>
        <w:ind w:hanging="566" w:left="1140" w:right="60"/>
        <w:rPr>
          <w:rFonts w:ascii="Corbel" w:hAnsi="Corbel" w:eastAsia="Corbel" w:cs="Corbel"/>
          <w:sz w:val="23"/>
        </w:rPr>
      </w:pPr>
      <w:r>
        <w:rPr>
          <w:rFonts w:eastAsia="Corbel" w:cs="Corbel" w:ascii="Corbel" w:hAnsi="Corbel"/>
          <w:sz w:val="23"/>
        </w:rPr>
        <w:t>development of a Project Plan setting out how the collaborative service planning process will be implemented by 1 July 2016 – once in 2015-16;</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1"/>
          <w:numId w:val="17"/>
        </w:numPr>
        <w:tabs>
          <w:tab w:val="clear" w:pos="720"/>
          <w:tab w:val="left" w:pos="1140" w:leader="none"/>
        </w:tabs>
        <w:spacing w:lineRule="auto" w:line="220"/>
        <w:ind w:hanging="565" w:left="1140" w:right="240"/>
        <w:rPr>
          <w:rFonts w:ascii="Corbel" w:hAnsi="Corbel" w:eastAsia="Corbel" w:cs="Corbel"/>
          <w:sz w:val="23"/>
        </w:rPr>
      </w:pPr>
      <w:r>
        <w:rPr>
          <w:rFonts w:eastAsia="Corbel" w:cs="Corbel" w:ascii="Corbel" w:hAnsi="Corbel"/>
          <w:sz w:val="23"/>
        </w:rPr>
        <w:t>implementation of collaborative service planning and provision of a progress report against the Project Plan – once in 2015-16;</w:t>
      </w:r>
    </w:p>
    <w:p>
      <w:pPr>
        <w:pStyle w:val="Normal"/>
        <w:spacing w:lineRule="exact" w:line="215"/>
        <w:rPr>
          <w:rFonts w:ascii="Corbel" w:hAnsi="Corbel" w:eastAsia="Corbel" w:cs="Corbel"/>
          <w:sz w:val="23"/>
        </w:rPr>
      </w:pPr>
      <w:r>
        <w:rPr>
          <w:rFonts w:eastAsia="Corbel" w:cs="Corbel" w:ascii="Corbel" w:hAnsi="Corbel"/>
          <w:sz w:val="23"/>
        </w:rPr>
      </w:r>
    </w:p>
    <w:p>
      <w:pPr>
        <w:pStyle w:val="Normal"/>
        <w:numPr>
          <w:ilvl w:val="1"/>
          <w:numId w:val="17"/>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conduct collaborative service planning – annually from 2016-17 – including:</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2"/>
          <w:numId w:val="17"/>
        </w:numPr>
        <w:tabs>
          <w:tab w:val="clear" w:pos="720"/>
          <w:tab w:val="left" w:pos="1721" w:leader="none"/>
        </w:tabs>
        <w:spacing w:lineRule="auto" w:line="220"/>
        <w:ind w:hanging="575" w:left="1720" w:right="380"/>
        <w:rPr>
          <w:rFonts w:ascii="Corbel" w:hAnsi="Corbel" w:eastAsia="Corbel" w:cs="Corbel"/>
          <w:sz w:val="21"/>
        </w:rPr>
      </w:pPr>
      <w:r>
        <w:rPr>
          <w:rFonts w:eastAsia="Corbel" w:cs="Corbel" w:ascii="Corbel" w:hAnsi="Corbel"/>
          <w:sz w:val="23"/>
        </w:rPr>
        <w:t>use of quality data sources as an evidence base to identify priority client groups and their locations;</w:t>
      </w:r>
    </w:p>
    <w:p>
      <w:pPr>
        <w:pStyle w:val="Normal"/>
        <w:spacing w:lineRule="exact" w:line="216"/>
        <w:rPr>
          <w:rFonts w:ascii="Corbel" w:hAnsi="Corbel" w:eastAsia="Corbel" w:cs="Corbel"/>
          <w:sz w:val="21"/>
        </w:rPr>
      </w:pPr>
      <w:r>
        <w:rPr>
          <w:rFonts w:eastAsia="Corbel" w:cs="Corbel" w:ascii="Corbel" w:hAnsi="Corbel"/>
          <w:sz w:val="21"/>
        </w:rPr>
      </w:r>
    </w:p>
    <w:p>
      <w:pPr>
        <w:pStyle w:val="Normal"/>
        <w:numPr>
          <w:ilvl w:val="2"/>
          <w:numId w:val="17"/>
        </w:numPr>
        <w:tabs>
          <w:tab w:val="clear" w:pos="720"/>
          <w:tab w:val="left" w:pos="1720" w:leader="none"/>
        </w:tabs>
        <w:spacing w:lineRule="atLeast" w:line="0"/>
        <w:ind w:hanging="575" w:left="1720" w:right="0"/>
        <w:rPr>
          <w:rFonts w:ascii="Corbel" w:hAnsi="Corbel" w:eastAsia="Corbel" w:cs="Corbel"/>
          <w:sz w:val="21"/>
        </w:rPr>
      </w:pPr>
      <w:r>
        <w:rPr>
          <w:rFonts w:eastAsia="Corbel" w:cs="Corbel" w:ascii="Corbel" w:hAnsi="Corbel"/>
          <w:sz w:val="23"/>
        </w:rPr>
        <w:t>participation in biannual collaborative service planning meetings; and</w:t>
      </w:r>
    </w:p>
    <w:p>
      <w:pPr>
        <w:pStyle w:val="Normal"/>
        <w:spacing w:lineRule="exact" w:line="214"/>
        <w:rPr>
          <w:rFonts w:ascii="Corbel" w:hAnsi="Corbel" w:eastAsia="Corbel" w:cs="Corbel"/>
          <w:sz w:val="21"/>
        </w:rPr>
      </w:pPr>
      <w:r>
        <w:rPr>
          <w:rFonts w:eastAsia="Corbel" w:cs="Corbel" w:ascii="Corbel" w:hAnsi="Corbel"/>
          <w:sz w:val="21"/>
        </w:rPr>
      </w:r>
    </w:p>
    <w:p>
      <w:pPr>
        <w:pStyle w:val="Normal"/>
        <w:numPr>
          <w:ilvl w:val="2"/>
          <w:numId w:val="17"/>
        </w:numPr>
        <w:tabs>
          <w:tab w:val="clear" w:pos="720"/>
          <w:tab w:val="left" w:pos="1720" w:leader="none"/>
        </w:tabs>
        <w:spacing w:lineRule="atLeast" w:line="0"/>
        <w:ind w:hanging="575" w:left="1720" w:right="0"/>
        <w:rPr>
          <w:rFonts w:ascii="Corbel" w:hAnsi="Corbel" w:eastAsia="Corbel" w:cs="Corbel"/>
          <w:sz w:val="21"/>
        </w:rPr>
      </w:pPr>
      <w:r>
        <w:rPr>
          <w:rFonts w:eastAsia="Corbel" w:cs="Corbel" w:ascii="Corbel" w:hAnsi="Corbel"/>
          <w:sz w:val="23"/>
        </w:rPr>
        <w:t>provision of a report on key outcomes resulting from the service planning process;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20" w:right="870" w:gutter="0" w:header="0" w:top="1105" w:footer="0" w:bottom="159"/>
          <w:pgNumType w:fmt="decimal"/>
          <w:formProt w:val="false"/>
          <w:textDirection w:val="lrTb"/>
          <w:docGrid w:type="default" w:linePitch="360" w:charSpace="0"/>
        </w:sectPr>
        <w:pStyle w:val="Normal"/>
        <w:spacing w:lineRule="atLeast" w:line="0"/>
        <w:jc w:val="right"/>
        <w:rPr>
          <w:rFonts w:ascii="Corbel" w:hAnsi="Corbel" w:eastAsia="Corbel" w:cs="Corbel"/>
          <w:color w:val="3C4A67"/>
          <w:sz w:val="18"/>
        </w:rPr>
      </w:pPr>
      <w:r>
        <w:rPr>
          <w:rFonts w:eastAsia="Corbel" w:cs="Corbel" w:ascii="Corbel" w:hAnsi="Corbel"/>
          <w:color w:val="3C4A67"/>
          <w:sz w:val="18"/>
        </w:rPr>
        <w:t>Page | 6</w:t>
      </w:r>
    </w:p>
    <w:p>
      <w:pPr>
        <w:pStyle w:val="Normal"/>
        <w:numPr>
          <w:ilvl w:val="0"/>
          <w:numId w:val="18"/>
        </w:numPr>
        <w:tabs>
          <w:tab w:val="clear" w:pos="720"/>
          <w:tab w:val="left" w:pos="1260" w:leader="none"/>
        </w:tabs>
        <w:spacing w:lineRule="auto" w:line="220"/>
        <w:ind w:hanging="565" w:left="1260" w:right="300"/>
        <w:rPr>
          <w:rFonts w:ascii="Corbel" w:hAnsi="Corbel" w:eastAsia="Corbel" w:cs="Corbel"/>
          <w:sz w:val="23"/>
        </w:rPr>
      </w:pPr>
      <w:bookmarkStart w:id="6" w:name="page7"/>
      <w:bookmarkEnd w:id="6"/>
      <w:r>
        <w:rPr>
          <w:rFonts w:eastAsia="Corbel" w:cs="Corbel" w:ascii="Corbel" w:hAnsi="Corbel"/>
          <w:sz w:val="23"/>
        </w:rPr>
        <w:t>facilitate two surveys of legal aid commission clients and two surveys of community legal centre clients, using standardised questions developed by the Parties, to assess whether services are tailored to meet clients’ legal needs and capability levels – one survey per year from 2016-17, with a summary of survey results provided to the Commonwealth; and</w:t>
      </w:r>
    </w:p>
    <w:p>
      <w:pPr>
        <w:pStyle w:val="Normal"/>
        <w:spacing w:lineRule="exact" w:line="231"/>
        <w:rPr>
          <w:rFonts w:ascii="Corbel" w:hAnsi="Corbel" w:eastAsia="Corbel" w:cs="Corbel"/>
          <w:sz w:val="23"/>
        </w:rPr>
      </w:pPr>
      <w:r>
        <w:rPr>
          <w:rFonts w:eastAsia="Corbel" w:cs="Corbel" w:ascii="Corbel" w:hAnsi="Corbel"/>
          <w:sz w:val="23"/>
        </w:rPr>
      </w:r>
    </w:p>
    <w:p>
      <w:pPr>
        <w:pStyle w:val="Normal"/>
        <w:numPr>
          <w:ilvl w:val="0"/>
          <w:numId w:val="18"/>
        </w:numPr>
        <w:tabs>
          <w:tab w:val="clear" w:pos="720"/>
          <w:tab w:val="left" w:pos="1260" w:leader="none"/>
        </w:tabs>
        <w:spacing w:lineRule="auto" w:line="220"/>
        <w:ind w:hanging="565" w:left="1260" w:right="80"/>
        <w:rPr>
          <w:rFonts w:ascii="Corbel" w:hAnsi="Corbel" w:eastAsia="Corbel" w:cs="Corbel"/>
          <w:sz w:val="23"/>
        </w:rPr>
      </w:pPr>
      <w:r>
        <w:rPr>
          <w:rFonts w:eastAsia="Corbel" w:cs="Corbel" w:ascii="Corbel" w:hAnsi="Corbel"/>
          <w:sz w:val="23"/>
        </w:rPr>
        <w:t>conduct a case study within the sector of a service being delivered in a more effective, efficient or innovative way to better meet clients’ legal needs and capability levels, and/or resolve legal problems in a timely way – one case study per year, with a summary of the case study provided to the Commonwealth, from 2016-17.</w:t>
      </w:r>
    </w:p>
    <w:p>
      <w:pPr>
        <w:pStyle w:val="Normal"/>
        <w:spacing w:lineRule="exact" w:line="23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40" w:right="0"/>
        <w:rPr>
          <w:rFonts w:ascii="Corbel" w:hAnsi="Corbel" w:eastAsia="Corbel" w:cs="Corbel"/>
          <w:b/>
          <w:color w:val="3C4A67"/>
          <w:sz w:val="29"/>
        </w:rPr>
      </w:pPr>
      <w:r>
        <w:rPr>
          <w:rFonts w:eastAsia="Corbel" w:cs="Corbel" w:ascii="Corbel" w:hAnsi="Corbel"/>
          <w:b/>
          <w:color w:val="3C4A67"/>
          <w:sz w:val="29"/>
        </w:rPr>
        <w:t>Reporting arrangements</w:t>
      </w:r>
    </w:p>
    <w:p>
      <w:pPr>
        <w:pStyle w:val="Normal"/>
        <w:spacing w:lineRule="exact" w:line="123"/>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19"/>
        </w:numPr>
        <w:tabs>
          <w:tab w:val="clear" w:pos="720"/>
          <w:tab w:val="left" w:pos="700" w:leader="none"/>
        </w:tabs>
        <w:spacing w:lineRule="auto" w:line="232"/>
        <w:ind w:hanging="575" w:left="700" w:right="240"/>
        <w:rPr>
          <w:rFonts w:ascii="Corbel" w:hAnsi="Corbel" w:eastAsia="Corbel" w:cs="Corbel"/>
          <w:sz w:val="23"/>
        </w:rPr>
      </w:pPr>
      <w:r>
        <w:rPr>
          <w:rFonts w:eastAsia="Corbel" w:cs="Corbel" w:ascii="Corbel" w:hAnsi="Corbel"/>
          <w:sz w:val="23"/>
        </w:rPr>
        <w:t>The States will provide six-monthly reports to the Commonwealth demonstrating, in accordance with Table 1:</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1"/>
          <w:numId w:val="19"/>
        </w:numPr>
        <w:tabs>
          <w:tab w:val="clear" w:pos="720"/>
          <w:tab w:val="left" w:pos="1260" w:leader="none"/>
        </w:tabs>
        <w:spacing w:lineRule="atLeast" w:line="0"/>
        <w:ind w:hanging="565" w:left="1260" w:right="0"/>
        <w:rPr>
          <w:rFonts w:ascii="Corbel" w:hAnsi="Corbel" w:eastAsia="Corbel" w:cs="Corbel"/>
          <w:sz w:val="23"/>
        </w:rPr>
      </w:pPr>
      <w:r>
        <w:rPr>
          <w:rFonts w:eastAsia="Corbel" w:cs="Corbel" w:ascii="Corbel" w:hAnsi="Corbel"/>
          <w:sz w:val="23"/>
        </w:rPr>
        <w:t>performance against the relevant milestones for reporting periods specified in Table 1; and</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1"/>
          <w:numId w:val="19"/>
        </w:numPr>
        <w:tabs>
          <w:tab w:val="clear" w:pos="720"/>
          <w:tab w:val="left" w:pos="1260" w:leader="none"/>
        </w:tabs>
        <w:spacing w:lineRule="auto" w:line="220"/>
        <w:ind w:hanging="565" w:left="1260" w:right="240"/>
        <w:rPr>
          <w:rFonts w:ascii="Corbel" w:hAnsi="Corbel" w:eastAsia="Corbel" w:cs="Corbel"/>
          <w:sz w:val="23"/>
        </w:rPr>
      </w:pPr>
      <w:r>
        <w:rPr>
          <w:rFonts w:eastAsia="Corbel" w:cs="Corbel" w:ascii="Corbel" w:hAnsi="Corbel"/>
          <w:sz w:val="23"/>
        </w:rPr>
        <w:t>from the March 2016 report onwards, performance against indicators and benchmarks for the previous six month period (January to June for September report, July to December for March report).</w:t>
      </w:r>
    </w:p>
    <w:p>
      <w:pPr>
        <w:pStyle w:val="Normal"/>
        <w:spacing w:lineRule="exact" w:line="244"/>
        <w:rPr>
          <w:rFonts w:ascii="Corbel" w:hAnsi="Corbel" w:eastAsia="Corbel" w:cs="Corbel"/>
          <w:sz w:val="23"/>
        </w:rPr>
      </w:pPr>
      <w:r>
        <w:rPr>
          <w:rFonts w:eastAsia="Corbel" w:cs="Corbel" w:ascii="Corbel" w:hAnsi="Corbel"/>
          <w:sz w:val="23"/>
        </w:rPr>
      </w:r>
    </w:p>
    <w:p>
      <w:pPr>
        <w:pStyle w:val="Normal"/>
        <w:numPr>
          <w:ilvl w:val="0"/>
          <w:numId w:val="19"/>
        </w:numPr>
        <w:tabs>
          <w:tab w:val="clear" w:pos="720"/>
          <w:tab w:val="left" w:pos="701" w:leader="none"/>
        </w:tabs>
        <w:spacing w:lineRule="auto" w:line="232"/>
        <w:ind w:hanging="575" w:left="700" w:right="60"/>
        <w:rPr>
          <w:rFonts w:ascii="Corbel" w:hAnsi="Corbel" w:eastAsia="Corbel" w:cs="Corbel"/>
          <w:sz w:val="23"/>
        </w:rPr>
      </w:pPr>
      <w:r>
        <w:rPr>
          <w:rFonts w:eastAsia="Corbel" w:cs="Corbel" w:ascii="Corbel" w:hAnsi="Corbel"/>
          <w:sz w:val="23"/>
        </w:rPr>
        <w:t>When reporting on the relevant indicators and benchmarks, States will report separately on the services delivered by legal aid commissions and community legal centres. For services delivered by community legal centres, performance information is to be aggregated to the State level.</w:t>
      </w:r>
    </w:p>
    <w:p>
      <w:pPr>
        <w:pStyle w:val="Normal"/>
        <w:spacing w:lineRule="exact" w:line="259"/>
        <w:rPr>
          <w:rFonts w:ascii="Corbel" w:hAnsi="Corbel" w:eastAsia="Corbel" w:cs="Corbel"/>
          <w:sz w:val="23"/>
        </w:rPr>
      </w:pPr>
      <w:r>
        <w:rPr>
          <w:rFonts w:eastAsia="Corbel" w:cs="Corbel" w:ascii="Corbel" w:hAnsi="Corbel"/>
          <w:sz w:val="23"/>
        </w:rPr>
      </w:r>
    </w:p>
    <w:p>
      <w:pPr>
        <w:pStyle w:val="Normal"/>
        <w:numPr>
          <w:ilvl w:val="0"/>
          <w:numId w:val="19"/>
        </w:numPr>
        <w:tabs>
          <w:tab w:val="clear" w:pos="720"/>
          <w:tab w:val="left" w:pos="700" w:leader="none"/>
        </w:tabs>
        <w:spacing w:lineRule="auto" w:line="228"/>
        <w:ind w:hanging="575" w:left="700" w:right="20"/>
        <w:rPr>
          <w:rFonts w:ascii="Corbel" w:hAnsi="Corbel" w:eastAsia="Corbel" w:cs="Corbel"/>
          <w:sz w:val="23"/>
        </w:rPr>
      </w:pPr>
      <w:r>
        <w:rPr>
          <w:rFonts w:eastAsia="Corbel" w:cs="Corbel" w:ascii="Corbel" w:hAnsi="Corbel"/>
          <w:sz w:val="23"/>
        </w:rPr>
        <w:t>Table 1 summarises the performance indicators, benchmarks and milestones States are required to report for each six-month period.</w:t>
      </w:r>
    </w:p>
    <w:p>
      <w:pPr>
        <w:pStyle w:val="Normal"/>
        <w:spacing w:lineRule="exact" w:line="21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20" w:right="0"/>
        <w:rPr>
          <w:rFonts w:ascii="Consolas" w:hAnsi="Consolas" w:eastAsia="Consolas" w:cs="Consolas"/>
          <w:b/>
          <w:color w:val="3C4A67"/>
          <w:sz w:val="24"/>
        </w:rPr>
      </w:pPr>
      <w:r>
        <w:rPr>
          <w:rFonts w:eastAsia="Consolas" w:cs="Consolas" w:ascii="Consolas" w:hAnsi="Consolas"/>
          <w:b/>
          <w:color w:val="3C4A67"/>
          <w:sz w:val="24"/>
        </w:rPr>
        <w:t>Table 1: Reporting arrangements</w:t>
      </w:r>
    </w:p>
    <w:p>
      <w:pPr>
        <w:pStyle w:val="Normal"/>
        <w:spacing w:lineRule="exact" w:line="22"/>
        <w:rPr>
          <w:rFonts w:ascii="Times New Roman" w:hAnsi="Times New Roman" w:eastAsia="Times New Roman" w:cs="Times New Roman"/>
          <w:b/>
          <w:color w:val="3C4A67"/>
          <w:sz w:val="24"/>
        </w:rPr>
      </w:pPr>
      <w:r>
        <w:rPr>
          <w:rFonts w:eastAsia="Times New Roman" w:cs="Times New Roman" w:ascii="Times New Roman" w:hAnsi="Times New Roman"/>
          <w:b/>
          <w:color w:val="3C4A67"/>
          <w:sz w:val="24"/>
        </w:rPr>
      </w:r>
    </w:p>
    <w:tbl>
      <w:tblPr>
        <w:tblW w:w="10020" w:type="dxa"/>
        <w:jc w:val="left"/>
        <w:tblInd w:w="0" w:type="dxa"/>
        <w:tblLayout w:type="fixed"/>
        <w:tblCellMar>
          <w:top w:w="0" w:type="dxa"/>
          <w:left w:w="0" w:type="dxa"/>
          <w:bottom w:w="0" w:type="dxa"/>
          <w:right w:w="0" w:type="dxa"/>
        </w:tblCellMar>
      </w:tblPr>
      <w:tblGrid>
        <w:gridCol w:w="720"/>
        <w:gridCol w:w="4940"/>
        <w:gridCol w:w="2120"/>
        <w:gridCol w:w="2140"/>
        <w:gridCol w:w="100"/>
      </w:tblGrid>
      <w:tr>
        <w:trPr>
          <w:trHeight w:val="307" w:hRule="atLeast"/>
        </w:trPr>
        <w:tc>
          <w:tcPr>
            <w:tcW w:w="5660" w:type="dxa"/>
            <w:gridSpan w:val="2"/>
            <w:tcBorders>
              <w:top w:val="single" w:sz="8" w:space="0" w:color="000000"/>
              <w:left w:val="single" w:sz="8" w:space="0" w:color="000000"/>
              <w:right w:val="single" w:sz="8" w:space="0" w:color="000000"/>
            </w:tcBorders>
          </w:tcPr>
          <w:p>
            <w:pPr>
              <w:pStyle w:val="Normal"/>
              <w:spacing w:lineRule="atLeast" w:line="0"/>
              <w:ind w:left="240" w:right="0"/>
              <w:rPr>
                <w:rFonts w:ascii="Corbel" w:hAnsi="Corbel" w:eastAsia="Corbel" w:cs="Corbel"/>
                <w:b/>
                <w:sz w:val="23"/>
              </w:rPr>
            </w:pPr>
            <w:r>
              <w:rPr>
                <w:rFonts w:eastAsia="Corbel" w:cs="Corbel" w:ascii="Corbel" w:hAnsi="Corbel"/>
                <w:b/>
                <w:sz w:val="23"/>
              </w:rPr>
              <w:t>Performance indicators, benchmarks and milestones</w:t>
            </w:r>
          </w:p>
        </w:tc>
        <w:tc>
          <w:tcPr>
            <w:tcW w:w="2120" w:type="dxa"/>
            <w:tcBorders>
              <w:top w:val="single" w:sz="8" w:space="0" w:color="000000"/>
              <w:right w:val="single" w:sz="8" w:space="0" w:color="000000"/>
            </w:tcBorders>
          </w:tcPr>
          <w:p>
            <w:pPr>
              <w:pStyle w:val="Normal"/>
              <w:spacing w:lineRule="atLeast" w:line="0"/>
              <w:jc w:val="center"/>
              <w:rPr>
                <w:rFonts w:ascii="Corbel" w:hAnsi="Corbel" w:eastAsia="Corbel" w:cs="Corbel"/>
                <w:b/>
                <w:w w:val="97"/>
                <w:sz w:val="23"/>
              </w:rPr>
            </w:pPr>
            <w:r>
              <w:rPr>
                <w:rFonts w:eastAsia="Corbel" w:cs="Corbel" w:ascii="Corbel" w:hAnsi="Corbel"/>
                <w:b/>
                <w:w w:val="97"/>
                <w:sz w:val="23"/>
              </w:rPr>
              <w:t>Reporting period</w:t>
            </w:r>
          </w:p>
        </w:tc>
        <w:tc>
          <w:tcPr>
            <w:tcW w:w="2140" w:type="dxa"/>
            <w:tcBorders>
              <w:top w:val="single" w:sz="8" w:space="0" w:color="000000"/>
              <w:right w:val="single" w:sz="8" w:space="0" w:color="000000"/>
            </w:tcBorders>
          </w:tcPr>
          <w:p>
            <w:pPr>
              <w:pStyle w:val="Normal"/>
              <w:spacing w:lineRule="atLeast" w:line="0"/>
              <w:jc w:val="center"/>
              <w:rPr>
                <w:rFonts w:ascii="Corbel" w:hAnsi="Corbel" w:eastAsia="Corbel" w:cs="Corbel"/>
                <w:b/>
                <w:w w:val="99"/>
                <w:sz w:val="23"/>
              </w:rPr>
            </w:pPr>
            <w:r>
              <w:rPr>
                <w:rFonts w:eastAsia="Corbel" w:cs="Corbel" w:ascii="Corbel" w:hAnsi="Corbel"/>
                <w:b/>
                <w:w w:val="99"/>
                <w:sz w:val="23"/>
              </w:rPr>
              <w:t>Report due date</w:t>
            </w:r>
          </w:p>
        </w:tc>
        <w:tc>
          <w:tcPr>
            <w:tcW w:w="10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r>
      <w:tr>
        <w:trPr>
          <w:trHeight w:val="11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87"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60" w:type="dxa"/>
            <w:gridSpan w:val="2"/>
            <w:tcBorders/>
          </w:tcPr>
          <w:p>
            <w:pPr>
              <w:pStyle w:val="Normal"/>
              <w:spacing w:lineRule="atLeast" w:line="0"/>
              <w:ind w:left="1500" w:right="0"/>
              <w:rPr>
                <w:rFonts w:ascii="Corbel" w:hAnsi="Corbel" w:eastAsia="Corbel" w:cs="Corbel"/>
                <w:b/>
                <w:sz w:val="23"/>
              </w:rPr>
            </w:pPr>
            <w:r>
              <w:rPr>
                <w:rFonts w:eastAsia="Corbel" w:cs="Corbel" w:ascii="Corbel" w:hAnsi="Corbel"/>
                <w:b/>
                <w:sz w:val="23"/>
              </w:rPr>
              <w:t>Reporting for 2015-16 estimated financial contributions</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8"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9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91" w:hRule="atLeast"/>
        </w:trPr>
        <w:tc>
          <w:tcPr>
            <w:tcW w:w="720" w:type="dxa"/>
            <w:tcBorders>
              <w:left w:val="single" w:sz="8" w:space="0" w:color="000000"/>
            </w:tcBorders>
          </w:tcPr>
          <w:p>
            <w:pPr>
              <w:pStyle w:val="Normal"/>
              <w:spacing w:lineRule="atLeast" w:line="0"/>
              <w:ind w:left="480" w:right="0"/>
              <w:rPr>
                <w:rFonts w:ascii="Arial" w:hAnsi="Arial" w:eastAsia="Arial" w:cs="Arial"/>
                <w:sz w:val="24"/>
              </w:rPr>
            </w:pPr>
            <w:r>
              <w:rPr>
                <w:rFonts w:eastAsia="Arial" w:cs="Arial" w:ascii="Arial" w:hAnsi="Arial"/>
                <w:sz w:val="24"/>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Endorsement of the methodology for the</w:t>
            </w:r>
          </w:p>
        </w:tc>
        <w:tc>
          <w:tcPr>
            <w:tcW w:w="2120" w:type="dxa"/>
            <w:tcBorders>
              <w:right w:val="single" w:sz="8" w:space="0" w:color="000000"/>
            </w:tcBorders>
          </w:tcPr>
          <w:p>
            <w:pPr>
              <w:pStyle w:val="Normal"/>
              <w:spacing w:lineRule="atLeast" w:line="0"/>
              <w:jc w:val="center"/>
              <w:rPr>
                <w:rFonts w:ascii="Corbel" w:hAnsi="Corbel" w:eastAsia="Corbel" w:cs="Corbel"/>
                <w:w w:val="91"/>
                <w:sz w:val="23"/>
              </w:rPr>
            </w:pPr>
            <w:r>
              <w:rPr>
                <w:rFonts w:eastAsia="Corbel" w:cs="Corbel" w:ascii="Corbel" w:hAnsi="Corbel"/>
                <w:w w:val="91"/>
                <w:sz w:val="23"/>
              </w:rPr>
              <w:t>N/A</w:t>
            </w:r>
          </w:p>
        </w:tc>
        <w:tc>
          <w:tcPr>
            <w:tcW w:w="2140" w:type="dxa"/>
            <w:tcBorders>
              <w:right w:val="single" w:sz="8" w:space="0" w:color="000000"/>
            </w:tcBorders>
          </w:tcPr>
          <w:p>
            <w:pPr>
              <w:pStyle w:val="Normal"/>
              <w:spacing w:lineRule="atLeast" w:line="0"/>
              <w:jc w:val="center"/>
              <w:rPr/>
            </w:pPr>
            <w:r>
              <w:rPr>
                <w:rFonts w:eastAsia="Corbel" w:cs="Corbel" w:ascii="Corbel" w:hAnsi="Corbel"/>
                <w:b/>
                <w:w w:val="98"/>
                <w:sz w:val="23"/>
              </w:rPr>
              <w:t>N/A – signature of</w:t>
            </w:r>
          </w:p>
        </w:tc>
        <w:tc>
          <w:tcPr>
            <w:tcW w:w="10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r>
      <w:tr>
        <w:trPr>
          <w:trHeight w:val="259"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940" w:type="dxa"/>
            <w:tcBorders>
              <w:right w:val="single" w:sz="8" w:space="0" w:color="000000"/>
            </w:tcBorders>
          </w:tcPr>
          <w:p>
            <w:pPr>
              <w:pStyle w:val="Normal"/>
              <w:spacing w:lineRule="exact" w:line="259"/>
              <w:ind w:left="120" w:right="0"/>
              <w:rPr>
                <w:rFonts w:ascii="Corbel" w:hAnsi="Corbel" w:eastAsia="Corbel" w:cs="Corbel"/>
                <w:sz w:val="23"/>
              </w:rPr>
            </w:pPr>
            <w:r>
              <w:rPr>
                <w:rFonts w:eastAsia="Corbel" w:cs="Corbel" w:ascii="Corbel" w:hAnsi="Corbel"/>
                <w:sz w:val="23"/>
              </w:rPr>
              <w:t>distribution of Commonwealth funding to</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40" w:type="dxa"/>
            <w:tcBorders>
              <w:right w:val="single" w:sz="8" w:space="0" w:color="000000"/>
            </w:tcBorders>
          </w:tcPr>
          <w:p>
            <w:pPr>
              <w:pStyle w:val="Normal"/>
              <w:spacing w:lineRule="exact" w:line="259"/>
              <w:jc w:val="center"/>
              <w:rPr>
                <w:rFonts w:ascii="Corbel" w:hAnsi="Corbel" w:eastAsia="Corbel" w:cs="Corbel"/>
                <w:b/>
                <w:w w:val="98"/>
                <w:sz w:val="23"/>
              </w:rPr>
            </w:pPr>
            <w:r>
              <w:rPr>
                <w:rFonts w:eastAsia="Corbel" w:cs="Corbel" w:ascii="Corbel" w:hAnsi="Corbel"/>
                <w:b/>
                <w:w w:val="98"/>
                <w:sz w:val="23"/>
              </w:rPr>
              <w:t>this Agreement</w:t>
            </w:r>
          </w:p>
        </w:tc>
        <w:tc>
          <w:tcPr>
            <w:tcW w:w="100" w:type="dxa"/>
            <w:tcBorders/>
          </w:tcPr>
          <w:p>
            <w:pPr>
              <w:pStyle w:val="Normal"/>
              <w:snapToGrid w:val="false"/>
              <w:spacing w:lineRule="atLeast" w:line="0"/>
              <w:rPr>
                <w:rFonts w:ascii="Times New Roman" w:hAnsi="Times New Roman" w:eastAsia="Times New Roman" w:cs="Times New Roman"/>
                <w:b/>
                <w:w w:val="98"/>
                <w:sz w:val="22"/>
              </w:rPr>
            </w:pPr>
            <w:r>
              <w:rPr>
                <w:rFonts w:eastAsia="Times New Roman" w:cs="Times New Roman" w:ascii="Times New Roman" w:hAnsi="Times New Roman"/>
                <w:b/>
                <w:w w:val="98"/>
                <w:sz w:val="22"/>
              </w:rPr>
            </w:r>
          </w:p>
        </w:tc>
      </w:tr>
      <w:tr>
        <w:trPr>
          <w:trHeight w:val="266"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40" w:type="dxa"/>
            <w:vMerge w:val="restart"/>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community legal centres listed in Schedule C</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40" w:type="dxa"/>
            <w:tcBorders>
              <w:right w:val="single" w:sz="8" w:space="0" w:color="000000"/>
            </w:tcBorders>
          </w:tcPr>
          <w:p>
            <w:pPr>
              <w:pStyle w:val="Normal"/>
              <w:spacing w:lineRule="exact" w:line="266"/>
              <w:jc w:val="center"/>
              <w:rPr>
                <w:rFonts w:ascii="Corbel" w:hAnsi="Corbel" w:eastAsia="Corbel" w:cs="Corbel"/>
                <w:b/>
                <w:w w:val="98"/>
                <w:sz w:val="23"/>
              </w:rPr>
            </w:pPr>
            <w:r>
              <w:rPr>
                <w:rFonts w:eastAsia="Corbel" w:cs="Corbel" w:ascii="Corbel" w:hAnsi="Corbel"/>
                <w:b/>
                <w:w w:val="98"/>
                <w:sz w:val="23"/>
              </w:rPr>
              <w:t>constitutes</w:t>
            </w:r>
          </w:p>
        </w:tc>
        <w:tc>
          <w:tcPr>
            <w:tcW w:w="100" w:type="dxa"/>
            <w:tcBorders/>
          </w:tcPr>
          <w:p>
            <w:pPr>
              <w:pStyle w:val="Normal"/>
              <w:snapToGrid w:val="false"/>
              <w:spacing w:lineRule="atLeast" w:line="0"/>
              <w:rPr>
                <w:rFonts w:ascii="Times New Roman" w:hAnsi="Times New Roman" w:eastAsia="Times New Roman" w:cs="Times New Roman"/>
                <w:b/>
                <w:w w:val="98"/>
                <w:sz w:val="23"/>
              </w:rPr>
            </w:pPr>
            <w:r>
              <w:rPr>
                <w:rFonts w:eastAsia="Times New Roman" w:cs="Times New Roman" w:ascii="Times New Roman" w:hAnsi="Times New Roman"/>
                <w:b/>
                <w:w w:val="98"/>
                <w:sz w:val="23"/>
              </w:rPr>
            </w:r>
          </w:p>
        </w:tc>
      </w:tr>
      <w:tr>
        <w:trPr>
          <w:trHeight w:val="71"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9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40" w:type="dxa"/>
            <w:vMerge w:val="restart"/>
            <w:tcBorders>
              <w:right w:val="single" w:sz="8" w:space="0" w:color="000000"/>
            </w:tcBorders>
          </w:tcPr>
          <w:p>
            <w:pPr>
              <w:pStyle w:val="Normal"/>
              <w:spacing w:lineRule="exact" w:line="266"/>
              <w:jc w:val="center"/>
              <w:rPr>
                <w:rFonts w:ascii="Corbel" w:hAnsi="Corbel" w:eastAsia="Corbel" w:cs="Corbel"/>
                <w:b/>
                <w:w w:val="96"/>
                <w:sz w:val="23"/>
              </w:rPr>
            </w:pPr>
            <w:r>
              <w:rPr>
                <w:rFonts w:eastAsia="Corbel" w:cs="Corbel" w:ascii="Corbel" w:hAnsi="Corbel"/>
                <w:b/>
                <w:w w:val="96"/>
                <w:sz w:val="23"/>
              </w:rPr>
              <w:t>endorsement</w:t>
            </w:r>
          </w:p>
        </w:tc>
        <w:tc>
          <w:tcPr>
            <w:tcW w:w="100" w:type="dxa"/>
            <w:tcBorders/>
          </w:tcPr>
          <w:p>
            <w:pPr>
              <w:pStyle w:val="Normal"/>
              <w:snapToGrid w:val="false"/>
              <w:spacing w:lineRule="atLeast" w:line="0"/>
              <w:rPr>
                <w:rFonts w:ascii="Times New Roman" w:hAnsi="Times New Roman" w:eastAsia="Times New Roman" w:cs="Times New Roman"/>
                <w:b/>
                <w:w w:val="96"/>
                <w:sz w:val="6"/>
              </w:rPr>
            </w:pPr>
            <w:r>
              <w:rPr>
                <w:rFonts w:eastAsia="Times New Roman" w:cs="Times New Roman" w:ascii="Times New Roman" w:hAnsi="Times New Roman"/>
                <w:b/>
                <w:w w:val="96"/>
                <w:sz w:val="6"/>
              </w:rPr>
            </w:r>
          </w:p>
        </w:tc>
      </w:tr>
      <w:tr>
        <w:trPr>
          <w:trHeight w:val="195"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940" w:type="dxa"/>
            <w:vMerge w:val="restart"/>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(clause 19(a)).</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1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90"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9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76"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exact" w:line="272"/>
              <w:ind w:left="120" w:right="0"/>
              <w:rPr>
                <w:rFonts w:ascii="Corbel" w:hAnsi="Corbel" w:eastAsia="Corbel" w:cs="Corbel"/>
                <w:sz w:val="23"/>
              </w:rPr>
            </w:pPr>
            <w:r>
              <w:rPr>
                <w:rFonts w:eastAsia="Corbel" w:cs="Corbel" w:ascii="Corbel" w:hAnsi="Corbel"/>
                <w:sz w:val="23"/>
              </w:rPr>
              <w:t>Project Plan on collaborative service planning</w:t>
            </w:r>
          </w:p>
        </w:tc>
        <w:tc>
          <w:tcPr>
            <w:tcW w:w="2120" w:type="dxa"/>
            <w:tcBorders>
              <w:right w:val="single" w:sz="8" w:space="0" w:color="000000"/>
            </w:tcBorders>
          </w:tcPr>
          <w:p>
            <w:pPr>
              <w:pStyle w:val="Normal"/>
              <w:spacing w:lineRule="exact" w:line="275"/>
              <w:jc w:val="center"/>
              <w:rPr>
                <w:rFonts w:ascii="Corbel" w:hAnsi="Corbel" w:eastAsia="Corbel" w:cs="Corbel"/>
                <w:w w:val="98"/>
                <w:sz w:val="23"/>
              </w:rPr>
            </w:pPr>
            <w:r>
              <w:rPr>
                <w:rFonts w:eastAsia="Corbel" w:cs="Corbel" w:ascii="Corbel" w:hAnsi="Corbel"/>
                <w:w w:val="98"/>
                <w:sz w:val="23"/>
              </w:rPr>
              <w:t>2015-16</w:t>
            </w:r>
          </w:p>
        </w:tc>
        <w:tc>
          <w:tcPr>
            <w:tcW w:w="2140" w:type="dxa"/>
            <w:tcBorders>
              <w:right w:val="single" w:sz="8" w:space="0" w:color="000000"/>
            </w:tcBorders>
          </w:tcPr>
          <w:p>
            <w:pPr>
              <w:pStyle w:val="Normal"/>
              <w:spacing w:lineRule="exact" w:line="275"/>
              <w:jc w:val="center"/>
              <w:rPr>
                <w:rFonts w:ascii="Corbel" w:hAnsi="Corbel" w:eastAsia="Corbel" w:cs="Corbel"/>
                <w:b/>
                <w:w w:val="98"/>
                <w:sz w:val="23"/>
              </w:rPr>
            </w:pPr>
            <w:r>
              <w:rPr>
                <w:rFonts w:eastAsia="Corbel" w:cs="Corbel" w:ascii="Corbel" w:hAnsi="Corbel"/>
                <w:b/>
                <w:w w:val="98"/>
                <w:sz w:val="23"/>
              </w:rPr>
              <w:t>30 September 2015</w:t>
            </w:r>
          </w:p>
        </w:tc>
        <w:tc>
          <w:tcPr>
            <w:tcW w:w="100" w:type="dxa"/>
            <w:tcBorders/>
          </w:tcPr>
          <w:p>
            <w:pPr>
              <w:pStyle w:val="Normal"/>
              <w:snapToGrid w:val="false"/>
              <w:spacing w:lineRule="atLeast" w:line="0"/>
              <w:rPr>
                <w:rFonts w:ascii="Times New Roman" w:hAnsi="Times New Roman" w:eastAsia="Times New Roman" w:cs="Times New Roman"/>
                <w:b/>
                <w:w w:val="98"/>
                <w:sz w:val="23"/>
              </w:rPr>
            </w:pPr>
            <w:r>
              <w:rPr>
                <w:rFonts w:eastAsia="Times New Roman" w:cs="Times New Roman" w:ascii="Times New Roman" w:hAnsi="Times New Roman"/>
                <w:b/>
                <w:w w:val="98"/>
                <w:sz w:val="23"/>
              </w:rPr>
            </w:r>
          </w:p>
        </w:tc>
      </w:tr>
      <w:tr>
        <w:trPr>
          <w:trHeight w:val="266"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40" w:type="dxa"/>
            <w:tcBorders>
              <w:right w:val="single" w:sz="8" w:space="0" w:color="000000"/>
            </w:tcBorders>
          </w:tcPr>
          <w:p>
            <w:pPr>
              <w:pStyle w:val="Normal"/>
              <w:spacing w:lineRule="exact" w:line="266"/>
              <w:ind w:left="120" w:right="0"/>
              <w:rPr>
                <w:rFonts w:ascii="Corbel" w:hAnsi="Corbel" w:eastAsia="Corbel" w:cs="Corbel"/>
                <w:sz w:val="23"/>
              </w:rPr>
            </w:pPr>
            <w:r>
              <w:rPr>
                <w:rFonts w:eastAsia="Corbel" w:cs="Corbel" w:ascii="Corbel" w:hAnsi="Corbel"/>
                <w:sz w:val="23"/>
              </w:rPr>
              <w:t>(clause 19(c)); and</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4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Report on the distribution  of community legal</w:t>
            </w:r>
          </w:p>
        </w:tc>
        <w:tc>
          <w:tcPr>
            <w:tcW w:w="2120" w:type="dxa"/>
            <w:tcBorders>
              <w:right w:val="single" w:sz="8" w:space="0" w:color="000000"/>
            </w:tcBorders>
          </w:tcPr>
          <w:p>
            <w:pPr>
              <w:pStyle w:val="Normal"/>
              <w:spacing w:lineRule="atLeast" w:line="0"/>
              <w:jc w:val="center"/>
              <w:rPr>
                <w:rFonts w:ascii="Corbel" w:hAnsi="Corbel" w:eastAsia="Corbel" w:cs="Corbel"/>
                <w:w w:val="98"/>
                <w:sz w:val="23"/>
              </w:rPr>
            </w:pPr>
            <w:r>
              <w:rPr>
                <w:rFonts w:eastAsia="Corbel" w:cs="Corbel" w:ascii="Corbel" w:hAnsi="Corbel"/>
                <w:w w:val="98"/>
                <w:sz w:val="23"/>
              </w:rPr>
              <w:t>2015-16</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0"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40" w:type="dxa"/>
            <w:tcBorders>
              <w:right w:val="single" w:sz="8" w:space="0" w:color="000000"/>
            </w:tcBorders>
          </w:tcPr>
          <w:p>
            <w:pPr>
              <w:pStyle w:val="Normal"/>
              <w:spacing w:lineRule="exact" w:line="270"/>
              <w:ind w:left="120" w:right="0"/>
              <w:rPr>
                <w:rFonts w:ascii="Corbel" w:hAnsi="Corbel" w:eastAsia="Corbel" w:cs="Corbel"/>
                <w:sz w:val="23"/>
              </w:rPr>
            </w:pPr>
            <w:r>
              <w:rPr>
                <w:rFonts w:eastAsia="Corbel" w:cs="Corbel" w:ascii="Corbel" w:hAnsi="Corbel"/>
                <w:sz w:val="23"/>
              </w:rPr>
              <w:t>centre funding (clause 19(b)).</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128"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02"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60" w:type="dxa"/>
            <w:gridSpan w:val="2"/>
            <w:tcBorders/>
          </w:tcPr>
          <w:p>
            <w:pPr>
              <w:pStyle w:val="Normal"/>
              <w:spacing w:lineRule="atLeast" w:line="0"/>
              <w:ind w:left="1500" w:right="0"/>
              <w:rPr>
                <w:rFonts w:ascii="Corbel" w:hAnsi="Corbel" w:eastAsia="Corbel" w:cs="Corbel"/>
                <w:b/>
                <w:sz w:val="23"/>
              </w:rPr>
            </w:pPr>
            <w:r>
              <w:rPr>
                <w:rFonts w:eastAsia="Corbel" w:cs="Corbel" w:ascii="Corbel" w:hAnsi="Corbel"/>
                <w:b/>
                <w:sz w:val="23"/>
              </w:rPr>
              <w:t>Reporting for 2016-17 estimated financial contributions</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indicators (clause 17);</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July to Dec 2015</w:t>
            </w:r>
          </w:p>
        </w:tc>
        <w:tc>
          <w:tcPr>
            <w:tcW w:w="2140" w:type="dxa"/>
            <w:tcBorders>
              <w:right w:val="single" w:sz="8" w:space="0" w:color="000000"/>
            </w:tcBorders>
          </w:tcPr>
          <w:p>
            <w:pPr>
              <w:pStyle w:val="Normal"/>
              <w:spacing w:lineRule="atLeast" w:line="0"/>
              <w:jc w:val="center"/>
              <w:rPr>
                <w:rFonts w:ascii="Corbel" w:hAnsi="Corbel" w:eastAsia="Corbel" w:cs="Corbel"/>
                <w:b/>
                <w:w w:val="97"/>
                <w:sz w:val="23"/>
              </w:rPr>
            </w:pPr>
            <w:r>
              <w:rPr>
                <w:rFonts w:eastAsia="Corbel" w:cs="Corbel" w:ascii="Corbel" w:hAnsi="Corbel"/>
                <w:b/>
                <w:w w:val="97"/>
                <w:sz w:val="23"/>
              </w:rPr>
              <w:t>31 March 2016</w:t>
            </w:r>
          </w:p>
        </w:tc>
        <w:tc>
          <w:tcPr>
            <w:tcW w:w="100" w:type="dxa"/>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benchmarks (clause 18); and</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July to Dec 2015</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Progress report on the implementation of</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2016-17</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5"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collaborative service planning (clause 19(d)).</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indicators (clause 17);</w:t>
            </w:r>
          </w:p>
        </w:tc>
        <w:tc>
          <w:tcPr>
            <w:tcW w:w="2120" w:type="dxa"/>
            <w:tcBorders>
              <w:right w:val="single" w:sz="8" w:space="0" w:color="000000"/>
            </w:tcBorders>
          </w:tcPr>
          <w:p>
            <w:pPr>
              <w:pStyle w:val="Normal"/>
              <w:spacing w:lineRule="atLeast" w:line="0"/>
              <w:jc w:val="center"/>
              <w:rPr>
                <w:rFonts w:ascii="Corbel" w:hAnsi="Corbel" w:eastAsia="Corbel" w:cs="Corbel"/>
                <w:w w:val="98"/>
                <w:sz w:val="23"/>
              </w:rPr>
            </w:pPr>
            <w:r>
              <w:rPr>
                <w:rFonts w:eastAsia="Corbel" w:cs="Corbel" w:ascii="Corbel" w:hAnsi="Corbel"/>
                <w:w w:val="98"/>
                <w:sz w:val="23"/>
              </w:rPr>
              <w:t>Jan to June 2016</w:t>
            </w:r>
          </w:p>
        </w:tc>
        <w:tc>
          <w:tcPr>
            <w:tcW w:w="2140" w:type="dxa"/>
            <w:tcBorders>
              <w:right w:val="single" w:sz="8" w:space="0" w:color="000000"/>
            </w:tcBorders>
          </w:tcPr>
          <w:p>
            <w:pPr>
              <w:pStyle w:val="Normal"/>
              <w:spacing w:lineRule="atLeast" w:line="0"/>
              <w:jc w:val="center"/>
              <w:rPr>
                <w:rFonts w:ascii="Corbel" w:hAnsi="Corbel" w:eastAsia="Corbel" w:cs="Corbel"/>
                <w:b/>
                <w:w w:val="98"/>
                <w:sz w:val="23"/>
              </w:rPr>
            </w:pPr>
            <w:r>
              <w:rPr>
                <w:rFonts w:eastAsia="Corbel" w:cs="Corbel" w:ascii="Corbel" w:hAnsi="Corbel"/>
                <w:b/>
                <w:w w:val="98"/>
                <w:sz w:val="23"/>
              </w:rPr>
              <w:t>30 September 2016</w:t>
            </w:r>
          </w:p>
        </w:tc>
        <w:tc>
          <w:tcPr>
            <w:tcW w:w="10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benchmarks (clause 18); and</w:t>
            </w:r>
          </w:p>
        </w:tc>
        <w:tc>
          <w:tcPr>
            <w:tcW w:w="2120" w:type="dxa"/>
            <w:tcBorders>
              <w:right w:val="single" w:sz="8" w:space="0" w:color="000000"/>
            </w:tcBorders>
          </w:tcPr>
          <w:p>
            <w:pPr>
              <w:pStyle w:val="Normal"/>
              <w:spacing w:lineRule="atLeast" w:line="0"/>
              <w:jc w:val="center"/>
              <w:rPr>
                <w:rFonts w:ascii="Corbel" w:hAnsi="Corbel" w:eastAsia="Corbel" w:cs="Corbel"/>
                <w:w w:val="98"/>
                <w:sz w:val="23"/>
              </w:rPr>
            </w:pPr>
            <w:r>
              <w:rPr>
                <w:rFonts w:eastAsia="Corbel" w:cs="Corbel" w:ascii="Corbel" w:hAnsi="Corbel"/>
                <w:w w:val="98"/>
                <w:sz w:val="23"/>
              </w:rPr>
              <w:t>Jan to June 2016</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Report on the distribution of community legal</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2016-17</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5"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centre funding (clause 19(b)).</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57" w:hRule="atLeast"/>
        </w:trPr>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40" w:type="dxa"/>
            <w:gridSpan w:val="2"/>
            <w:tcBorders/>
          </w:tcPr>
          <w:p>
            <w:pPr>
              <w:pStyle w:val="Normal"/>
              <w:spacing w:lineRule="atLeast" w:line="0"/>
              <w:ind w:left="1700" w:right="0"/>
              <w:rPr/>
            </w:pPr>
            <w:r>
              <w:rPr/>
              <w:t>Page | 7</w:t>
            </w:r>
          </w:p>
        </w:tc>
      </w:tr>
    </w:tbl>
    <w:p>
      <w:pPr>
        <w:sectPr>
          <w:type w:val="nextPage"/>
          <w:pgSz w:w="11906" w:h="16838"/>
          <w:pgMar w:left="1000" w:right="890" w:gutter="0" w:header="0" w:top="1105" w:footer="0" w:bottom="159"/>
          <w:pgNumType w:fmt="decimal"/>
          <w:formProt w:val="false"/>
          <w:textDirection w:val="lrTb"/>
          <w:docGrid w:type="default" w:linePitch="360" w:charSpace="0"/>
        </w:sectPr>
      </w:pPr>
    </w:p>
    <w:tbl>
      <w:tblPr>
        <w:tblW w:w="10040" w:type="dxa"/>
        <w:jc w:val="left"/>
        <w:tblInd w:w="0" w:type="dxa"/>
        <w:tblLayout w:type="fixed"/>
        <w:tblCellMar>
          <w:top w:w="0" w:type="dxa"/>
          <w:left w:w="0" w:type="dxa"/>
          <w:bottom w:w="0" w:type="dxa"/>
          <w:right w:w="0" w:type="dxa"/>
        </w:tblCellMar>
      </w:tblPr>
      <w:tblGrid>
        <w:gridCol w:w="720"/>
        <w:gridCol w:w="4940"/>
        <w:gridCol w:w="2120"/>
        <w:gridCol w:w="2140"/>
        <w:gridCol w:w="120"/>
      </w:tblGrid>
      <w:tr>
        <w:trPr>
          <w:trHeight w:val="337" w:hRule="atLeast"/>
        </w:trPr>
        <w:tc>
          <w:tcPr>
            <w:tcW w:w="5660" w:type="dxa"/>
            <w:gridSpan w:val="2"/>
            <w:tcBorders>
              <w:top w:val="single" w:sz="8" w:space="0" w:color="000000"/>
              <w:left w:val="single" w:sz="8" w:space="0" w:color="000000"/>
              <w:right w:val="single" w:sz="8" w:space="0" w:color="000000"/>
            </w:tcBorders>
          </w:tcPr>
          <w:p>
            <w:pPr>
              <w:pStyle w:val="Normal"/>
              <w:spacing w:lineRule="atLeast" w:line="0"/>
              <w:ind w:left="240" w:right="0"/>
              <w:rPr>
                <w:rFonts w:ascii="Corbel" w:hAnsi="Corbel" w:eastAsia="Corbel" w:cs="Corbel"/>
                <w:b/>
                <w:sz w:val="23"/>
              </w:rPr>
            </w:pPr>
            <w:bookmarkStart w:id="7" w:name="page8"/>
            <w:bookmarkEnd w:id="7"/>
            <w:r>
              <w:rPr>
                <w:rFonts w:eastAsia="Corbel" w:cs="Corbel" w:ascii="Corbel" w:hAnsi="Corbel"/>
                <w:b/>
                <w:sz w:val="23"/>
              </w:rPr>
              <w:t>Performance indicators, benchmarks and milestones</w:t>
            </w:r>
          </w:p>
        </w:tc>
        <w:tc>
          <w:tcPr>
            <w:tcW w:w="2120" w:type="dxa"/>
            <w:tcBorders>
              <w:top w:val="single" w:sz="8" w:space="0" w:color="000000"/>
              <w:right w:val="single" w:sz="8" w:space="0" w:color="000000"/>
            </w:tcBorders>
          </w:tcPr>
          <w:p>
            <w:pPr>
              <w:pStyle w:val="Normal"/>
              <w:spacing w:lineRule="atLeast" w:line="0"/>
              <w:jc w:val="center"/>
              <w:rPr>
                <w:rFonts w:ascii="Corbel" w:hAnsi="Corbel" w:eastAsia="Corbel" w:cs="Corbel"/>
                <w:b/>
                <w:w w:val="97"/>
                <w:sz w:val="23"/>
              </w:rPr>
            </w:pPr>
            <w:r>
              <w:rPr>
                <w:rFonts w:eastAsia="Corbel" w:cs="Corbel" w:ascii="Corbel" w:hAnsi="Corbel"/>
                <w:b/>
                <w:w w:val="97"/>
                <w:sz w:val="23"/>
              </w:rPr>
              <w:t>Reporting period</w:t>
            </w:r>
          </w:p>
        </w:tc>
        <w:tc>
          <w:tcPr>
            <w:tcW w:w="2140" w:type="dxa"/>
            <w:tcBorders>
              <w:top w:val="single" w:sz="8" w:space="0" w:color="000000"/>
              <w:right w:val="single" w:sz="8" w:space="0" w:color="000000"/>
            </w:tcBorders>
          </w:tcPr>
          <w:p>
            <w:pPr>
              <w:pStyle w:val="Normal"/>
              <w:spacing w:lineRule="atLeast" w:line="0"/>
              <w:jc w:val="center"/>
              <w:rPr>
                <w:rFonts w:ascii="Corbel" w:hAnsi="Corbel" w:eastAsia="Corbel" w:cs="Corbel"/>
                <w:b/>
                <w:w w:val="99"/>
                <w:sz w:val="23"/>
              </w:rPr>
            </w:pPr>
            <w:r>
              <w:rPr>
                <w:rFonts w:eastAsia="Corbel" w:cs="Corbel" w:ascii="Corbel" w:hAnsi="Corbel"/>
                <w:b/>
                <w:w w:val="99"/>
                <w:sz w:val="23"/>
              </w:rPr>
              <w:t>Report due date</w:t>
            </w:r>
          </w:p>
        </w:tc>
        <w:tc>
          <w:tcPr>
            <w:tcW w:w="12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r>
      <w:tr>
        <w:trPr>
          <w:trHeight w:val="8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60" w:type="dxa"/>
            <w:gridSpan w:val="2"/>
            <w:tcBorders/>
          </w:tcPr>
          <w:p>
            <w:pPr>
              <w:pStyle w:val="Normal"/>
              <w:spacing w:lineRule="atLeast" w:line="0"/>
              <w:ind w:left="1500" w:right="0"/>
              <w:rPr>
                <w:rFonts w:ascii="Corbel" w:hAnsi="Corbel" w:eastAsia="Corbel" w:cs="Corbel"/>
                <w:b/>
                <w:sz w:val="23"/>
              </w:rPr>
            </w:pPr>
            <w:r>
              <w:rPr>
                <w:rFonts w:eastAsia="Corbel" w:cs="Corbel" w:ascii="Corbel" w:hAnsi="Corbel"/>
                <w:b/>
                <w:sz w:val="23"/>
              </w:rPr>
              <w:t>Reporting for 2017-18 estimated financial contributions</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indicators (clause 17);</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July to Dec 2016</w:t>
            </w:r>
          </w:p>
        </w:tc>
        <w:tc>
          <w:tcPr>
            <w:tcW w:w="2140" w:type="dxa"/>
            <w:tcBorders>
              <w:right w:val="single" w:sz="8" w:space="0" w:color="000000"/>
            </w:tcBorders>
          </w:tcPr>
          <w:p>
            <w:pPr>
              <w:pStyle w:val="Normal"/>
              <w:spacing w:lineRule="atLeast" w:line="0"/>
              <w:jc w:val="center"/>
              <w:rPr>
                <w:rFonts w:ascii="Corbel" w:hAnsi="Corbel" w:eastAsia="Corbel" w:cs="Corbel"/>
                <w:b/>
                <w:w w:val="97"/>
                <w:sz w:val="23"/>
              </w:rPr>
            </w:pPr>
            <w:r>
              <w:rPr>
                <w:rFonts w:eastAsia="Corbel" w:cs="Corbel" w:ascii="Corbel" w:hAnsi="Corbel"/>
                <w:b/>
                <w:w w:val="97"/>
                <w:sz w:val="23"/>
              </w:rPr>
              <w:t>31 March 2017</w:t>
            </w:r>
          </w:p>
        </w:tc>
        <w:tc>
          <w:tcPr>
            <w:tcW w:w="120" w:type="dxa"/>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benchmarks (clause 18);</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July to Dec 2016</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Conduct, and provide a summary on, a case study</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2016-17</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5"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within the sector (clause 19(g)); and</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Collaborative service planning (clause 19(e)).</w:t>
            </w:r>
          </w:p>
        </w:tc>
        <w:tc>
          <w:tcPr>
            <w:tcW w:w="2120" w:type="dxa"/>
            <w:tcBorders>
              <w:right w:val="single" w:sz="8" w:space="0" w:color="000000"/>
            </w:tcBorders>
          </w:tcPr>
          <w:p>
            <w:pPr>
              <w:pStyle w:val="Normal"/>
              <w:spacing w:lineRule="atLeast" w:line="0"/>
              <w:jc w:val="center"/>
              <w:rPr>
                <w:rFonts w:ascii="Corbel" w:hAnsi="Corbel" w:eastAsia="Corbel" w:cs="Corbel"/>
                <w:w w:val="97"/>
                <w:sz w:val="23"/>
              </w:rPr>
            </w:pPr>
            <w:r>
              <w:rPr>
                <w:rFonts w:eastAsia="Corbel" w:cs="Corbel" w:ascii="Corbel" w:hAnsi="Corbel"/>
                <w:w w:val="97"/>
                <w:sz w:val="23"/>
              </w:rPr>
              <w:t>2017-18</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indicators (clause 17);</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Jan to June 2017</w:t>
            </w:r>
          </w:p>
        </w:tc>
        <w:tc>
          <w:tcPr>
            <w:tcW w:w="2140" w:type="dxa"/>
            <w:tcBorders>
              <w:right w:val="single" w:sz="8" w:space="0" w:color="000000"/>
            </w:tcBorders>
          </w:tcPr>
          <w:p>
            <w:pPr>
              <w:pStyle w:val="Normal"/>
              <w:spacing w:lineRule="atLeast" w:line="0"/>
              <w:jc w:val="center"/>
              <w:rPr>
                <w:rFonts w:ascii="Corbel" w:hAnsi="Corbel" w:eastAsia="Corbel" w:cs="Corbel"/>
                <w:b/>
                <w:w w:val="98"/>
                <w:sz w:val="23"/>
              </w:rPr>
            </w:pPr>
            <w:r>
              <w:rPr>
                <w:rFonts w:eastAsia="Corbel" w:cs="Corbel" w:ascii="Corbel" w:hAnsi="Corbel"/>
                <w:b/>
                <w:w w:val="98"/>
                <w:sz w:val="23"/>
              </w:rPr>
              <w:t>30 September 2017</w:t>
            </w:r>
          </w:p>
        </w:tc>
        <w:tc>
          <w:tcPr>
            <w:tcW w:w="12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r>
      <w:tr>
        <w:trPr>
          <w:trHeight w:val="420"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benchmarks (clause 18);</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Jan to June 2017</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Facilitate and provide a summary on, a client</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2016-17</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0"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40" w:type="dxa"/>
            <w:tcBorders>
              <w:right w:val="single" w:sz="8" w:space="0" w:color="000000"/>
            </w:tcBorders>
          </w:tcPr>
          <w:p>
            <w:pPr>
              <w:pStyle w:val="Normal"/>
              <w:spacing w:lineRule="exact" w:line="270"/>
              <w:ind w:left="120" w:right="0"/>
              <w:rPr>
                <w:rFonts w:ascii="Corbel" w:hAnsi="Corbel" w:eastAsia="Corbel" w:cs="Corbel"/>
                <w:sz w:val="23"/>
              </w:rPr>
            </w:pPr>
            <w:r>
              <w:rPr>
                <w:rFonts w:eastAsia="Corbel" w:cs="Corbel" w:ascii="Corbel" w:hAnsi="Corbel"/>
                <w:sz w:val="23"/>
              </w:rPr>
              <w:t>survey (clause 19(f)); and</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Report on the distribution of community legal</w:t>
            </w:r>
          </w:p>
        </w:tc>
        <w:tc>
          <w:tcPr>
            <w:tcW w:w="2120" w:type="dxa"/>
            <w:tcBorders>
              <w:right w:val="single" w:sz="8" w:space="0" w:color="000000"/>
            </w:tcBorders>
          </w:tcPr>
          <w:p>
            <w:pPr>
              <w:pStyle w:val="Normal"/>
              <w:spacing w:lineRule="atLeast" w:line="0"/>
              <w:jc w:val="center"/>
              <w:rPr>
                <w:rFonts w:ascii="Corbel" w:hAnsi="Corbel" w:eastAsia="Corbel" w:cs="Corbel"/>
                <w:w w:val="97"/>
                <w:sz w:val="23"/>
              </w:rPr>
            </w:pPr>
            <w:r>
              <w:rPr>
                <w:rFonts w:eastAsia="Corbel" w:cs="Corbel" w:ascii="Corbel" w:hAnsi="Corbel"/>
                <w:w w:val="97"/>
                <w:sz w:val="23"/>
              </w:rPr>
              <w:t>2017-18</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0"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40" w:type="dxa"/>
            <w:tcBorders>
              <w:right w:val="single" w:sz="8" w:space="0" w:color="000000"/>
            </w:tcBorders>
          </w:tcPr>
          <w:p>
            <w:pPr>
              <w:pStyle w:val="Normal"/>
              <w:spacing w:lineRule="exact" w:line="270"/>
              <w:ind w:left="120" w:right="0"/>
              <w:rPr>
                <w:rFonts w:ascii="Corbel" w:hAnsi="Corbel" w:eastAsia="Corbel" w:cs="Corbel"/>
                <w:sz w:val="23"/>
              </w:rPr>
            </w:pPr>
            <w:r>
              <w:rPr>
                <w:rFonts w:eastAsia="Corbel" w:cs="Corbel" w:ascii="Corbel" w:hAnsi="Corbel"/>
                <w:sz w:val="23"/>
              </w:rPr>
              <w:t>centre funding (clause 19(b)).</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8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60" w:type="dxa"/>
            <w:gridSpan w:val="2"/>
            <w:tcBorders/>
          </w:tcPr>
          <w:p>
            <w:pPr>
              <w:pStyle w:val="Normal"/>
              <w:spacing w:lineRule="atLeast" w:line="0"/>
              <w:ind w:left="1500" w:right="0"/>
              <w:rPr>
                <w:rFonts w:ascii="Corbel" w:hAnsi="Corbel" w:eastAsia="Corbel" w:cs="Corbel"/>
                <w:b/>
                <w:sz w:val="23"/>
              </w:rPr>
            </w:pPr>
            <w:r>
              <w:rPr>
                <w:rFonts w:eastAsia="Corbel" w:cs="Corbel" w:ascii="Corbel" w:hAnsi="Corbel"/>
                <w:b/>
                <w:sz w:val="23"/>
              </w:rPr>
              <w:t>Reporting for 2018-19 estimated financial contributions</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8"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94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17"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indicators (clause 17);</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July to Dec 2017</w:t>
            </w:r>
          </w:p>
        </w:tc>
        <w:tc>
          <w:tcPr>
            <w:tcW w:w="2140" w:type="dxa"/>
            <w:tcBorders>
              <w:right w:val="single" w:sz="8" w:space="0" w:color="000000"/>
            </w:tcBorders>
          </w:tcPr>
          <w:p>
            <w:pPr>
              <w:pStyle w:val="Normal"/>
              <w:spacing w:lineRule="atLeast" w:line="0"/>
              <w:jc w:val="center"/>
              <w:rPr>
                <w:rFonts w:ascii="Corbel" w:hAnsi="Corbel" w:eastAsia="Corbel" w:cs="Corbel"/>
                <w:b/>
                <w:w w:val="97"/>
                <w:sz w:val="23"/>
              </w:rPr>
            </w:pPr>
            <w:r>
              <w:rPr>
                <w:rFonts w:eastAsia="Corbel" w:cs="Corbel" w:ascii="Corbel" w:hAnsi="Corbel"/>
                <w:b/>
                <w:w w:val="97"/>
                <w:sz w:val="23"/>
              </w:rPr>
              <w:t>31 March 2018</w:t>
            </w:r>
          </w:p>
        </w:tc>
        <w:tc>
          <w:tcPr>
            <w:tcW w:w="120" w:type="dxa"/>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benchmarks (clause 18);</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July to Dec 2017</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Conduct, and provide a summary on, a case study</w:t>
            </w:r>
          </w:p>
        </w:tc>
        <w:tc>
          <w:tcPr>
            <w:tcW w:w="2120" w:type="dxa"/>
            <w:tcBorders>
              <w:right w:val="single" w:sz="8" w:space="0" w:color="000000"/>
            </w:tcBorders>
          </w:tcPr>
          <w:p>
            <w:pPr>
              <w:pStyle w:val="Normal"/>
              <w:spacing w:lineRule="atLeast" w:line="0"/>
              <w:jc w:val="center"/>
              <w:rPr>
                <w:rFonts w:ascii="Corbel" w:hAnsi="Corbel" w:eastAsia="Corbel" w:cs="Corbel"/>
                <w:w w:val="97"/>
                <w:sz w:val="23"/>
              </w:rPr>
            </w:pPr>
            <w:r>
              <w:rPr>
                <w:rFonts w:eastAsia="Corbel" w:cs="Corbel" w:ascii="Corbel" w:hAnsi="Corbel"/>
                <w:w w:val="97"/>
                <w:sz w:val="23"/>
              </w:rPr>
              <w:t>2017-18</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5"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within the sector (clause 19(g)); and</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0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Collaborative service planning (clause 19(e)).</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2018-19</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indicators (clause 17);</w:t>
            </w:r>
          </w:p>
        </w:tc>
        <w:tc>
          <w:tcPr>
            <w:tcW w:w="2120" w:type="dxa"/>
            <w:tcBorders>
              <w:right w:val="single" w:sz="8" w:space="0" w:color="000000"/>
            </w:tcBorders>
          </w:tcPr>
          <w:p>
            <w:pPr>
              <w:pStyle w:val="Normal"/>
              <w:spacing w:lineRule="atLeast" w:line="0"/>
              <w:jc w:val="center"/>
              <w:rPr>
                <w:rFonts w:ascii="Corbel" w:hAnsi="Corbel" w:eastAsia="Corbel" w:cs="Corbel"/>
                <w:w w:val="98"/>
                <w:sz w:val="23"/>
              </w:rPr>
            </w:pPr>
            <w:r>
              <w:rPr>
                <w:rFonts w:eastAsia="Corbel" w:cs="Corbel" w:ascii="Corbel" w:hAnsi="Corbel"/>
                <w:w w:val="98"/>
                <w:sz w:val="23"/>
              </w:rPr>
              <w:t>Jan to June 2018</w:t>
            </w:r>
          </w:p>
        </w:tc>
        <w:tc>
          <w:tcPr>
            <w:tcW w:w="2140" w:type="dxa"/>
            <w:tcBorders>
              <w:right w:val="single" w:sz="8" w:space="0" w:color="000000"/>
            </w:tcBorders>
          </w:tcPr>
          <w:p>
            <w:pPr>
              <w:pStyle w:val="Normal"/>
              <w:spacing w:lineRule="atLeast" w:line="0"/>
              <w:jc w:val="center"/>
              <w:rPr>
                <w:rFonts w:ascii="Corbel" w:hAnsi="Corbel" w:eastAsia="Corbel" w:cs="Corbel"/>
                <w:b/>
                <w:w w:val="98"/>
                <w:sz w:val="23"/>
              </w:rPr>
            </w:pPr>
            <w:r>
              <w:rPr>
                <w:rFonts w:eastAsia="Corbel" w:cs="Corbel" w:ascii="Corbel" w:hAnsi="Corbel"/>
                <w:b/>
                <w:w w:val="98"/>
                <w:sz w:val="23"/>
              </w:rPr>
              <w:t>30 September 2018</w:t>
            </w:r>
          </w:p>
        </w:tc>
        <w:tc>
          <w:tcPr>
            <w:tcW w:w="12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benchmarks (clause 18);</w:t>
            </w:r>
          </w:p>
        </w:tc>
        <w:tc>
          <w:tcPr>
            <w:tcW w:w="2120" w:type="dxa"/>
            <w:tcBorders>
              <w:right w:val="single" w:sz="8" w:space="0" w:color="000000"/>
            </w:tcBorders>
          </w:tcPr>
          <w:p>
            <w:pPr>
              <w:pStyle w:val="Normal"/>
              <w:spacing w:lineRule="atLeast" w:line="0"/>
              <w:jc w:val="center"/>
              <w:rPr>
                <w:rFonts w:ascii="Corbel" w:hAnsi="Corbel" w:eastAsia="Corbel" w:cs="Corbel"/>
                <w:w w:val="98"/>
                <w:sz w:val="23"/>
              </w:rPr>
            </w:pPr>
            <w:r>
              <w:rPr>
                <w:rFonts w:eastAsia="Corbel" w:cs="Corbel" w:ascii="Corbel" w:hAnsi="Corbel"/>
                <w:w w:val="98"/>
                <w:sz w:val="23"/>
              </w:rPr>
              <w:t>Jan to June 2018</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Facilitate, and provide a summary on, a client</w:t>
            </w:r>
          </w:p>
        </w:tc>
        <w:tc>
          <w:tcPr>
            <w:tcW w:w="2120" w:type="dxa"/>
            <w:tcBorders>
              <w:right w:val="single" w:sz="8" w:space="0" w:color="000000"/>
            </w:tcBorders>
          </w:tcPr>
          <w:p>
            <w:pPr>
              <w:pStyle w:val="Normal"/>
              <w:spacing w:lineRule="atLeast" w:line="0"/>
              <w:jc w:val="center"/>
              <w:rPr>
                <w:rFonts w:ascii="Corbel" w:hAnsi="Corbel" w:eastAsia="Corbel" w:cs="Corbel"/>
                <w:w w:val="97"/>
                <w:sz w:val="23"/>
              </w:rPr>
            </w:pPr>
            <w:r>
              <w:rPr>
                <w:rFonts w:eastAsia="Corbel" w:cs="Corbel" w:ascii="Corbel" w:hAnsi="Corbel"/>
                <w:w w:val="97"/>
                <w:sz w:val="23"/>
              </w:rPr>
              <w:t>2017-18</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5"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survey (clause 19(f)); and</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0"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Report on the distribution of community legal</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2018-19</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0"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40" w:type="dxa"/>
            <w:tcBorders>
              <w:right w:val="single" w:sz="8" w:space="0" w:color="000000"/>
            </w:tcBorders>
          </w:tcPr>
          <w:p>
            <w:pPr>
              <w:pStyle w:val="Normal"/>
              <w:spacing w:lineRule="exact" w:line="270"/>
              <w:ind w:left="120" w:right="0"/>
              <w:rPr>
                <w:rFonts w:ascii="Corbel" w:hAnsi="Corbel" w:eastAsia="Corbel" w:cs="Corbel"/>
                <w:sz w:val="23"/>
              </w:rPr>
            </w:pPr>
            <w:r>
              <w:rPr>
                <w:rFonts w:eastAsia="Corbel" w:cs="Corbel" w:ascii="Corbel" w:hAnsi="Corbel"/>
                <w:sz w:val="23"/>
              </w:rPr>
              <w:t>centre funding (clause 19(b)).</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8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60" w:type="dxa"/>
            <w:gridSpan w:val="2"/>
            <w:tcBorders/>
          </w:tcPr>
          <w:p>
            <w:pPr>
              <w:pStyle w:val="Normal"/>
              <w:spacing w:lineRule="atLeast" w:line="0"/>
              <w:ind w:left="1500" w:right="0"/>
              <w:rPr>
                <w:rFonts w:ascii="Corbel" w:hAnsi="Corbel" w:eastAsia="Corbel" w:cs="Corbel"/>
                <w:b/>
                <w:sz w:val="23"/>
              </w:rPr>
            </w:pPr>
            <w:r>
              <w:rPr>
                <w:rFonts w:eastAsia="Corbel" w:cs="Corbel" w:ascii="Corbel" w:hAnsi="Corbel"/>
                <w:b/>
                <w:sz w:val="23"/>
              </w:rPr>
              <w:t>Reporting for 2019-20 estimated financial contributions</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9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32"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indicators (clause 17);</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July to Dec 2018</w:t>
            </w:r>
          </w:p>
        </w:tc>
        <w:tc>
          <w:tcPr>
            <w:tcW w:w="2140" w:type="dxa"/>
            <w:tcBorders>
              <w:right w:val="single" w:sz="8" w:space="0" w:color="000000"/>
            </w:tcBorders>
          </w:tcPr>
          <w:p>
            <w:pPr>
              <w:pStyle w:val="Normal"/>
              <w:spacing w:lineRule="atLeast" w:line="0"/>
              <w:jc w:val="center"/>
              <w:rPr>
                <w:rFonts w:ascii="Corbel" w:hAnsi="Corbel" w:eastAsia="Corbel" w:cs="Corbel"/>
                <w:b/>
                <w:w w:val="97"/>
                <w:sz w:val="23"/>
              </w:rPr>
            </w:pPr>
            <w:r>
              <w:rPr>
                <w:rFonts w:eastAsia="Corbel" w:cs="Corbel" w:ascii="Corbel" w:hAnsi="Corbel"/>
                <w:b/>
                <w:w w:val="97"/>
                <w:sz w:val="23"/>
              </w:rPr>
              <w:t>31 March 2019</w:t>
            </w:r>
          </w:p>
        </w:tc>
        <w:tc>
          <w:tcPr>
            <w:tcW w:w="120" w:type="dxa"/>
            <w:tcBorders/>
          </w:tcPr>
          <w:p>
            <w:pPr>
              <w:pStyle w:val="Normal"/>
              <w:snapToGrid w:val="false"/>
              <w:spacing w:lineRule="atLeast" w:line="0"/>
              <w:rPr>
                <w:rFonts w:ascii="Times New Roman" w:hAnsi="Times New Roman" w:eastAsia="Times New Roman" w:cs="Times New Roman"/>
                <w:b/>
                <w:w w:val="97"/>
                <w:sz w:val="24"/>
              </w:rPr>
            </w:pPr>
            <w:r>
              <w:rPr>
                <w:rFonts w:eastAsia="Times New Roman" w:cs="Times New Roman" w:ascii="Times New Roman" w:hAnsi="Times New Roman"/>
                <w:b/>
                <w:w w:val="97"/>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benchmarks (clause 18);</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July to Dec 2018</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Conduct, and provide a summary on, a case study</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2018-19</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5"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within the sector (clause 19(g)); and</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0"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Collaborative service planning (clause 19(e)).</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2019-20</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8"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32"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indicators (clause 17);</w:t>
            </w:r>
          </w:p>
        </w:tc>
        <w:tc>
          <w:tcPr>
            <w:tcW w:w="2120" w:type="dxa"/>
            <w:tcBorders>
              <w:right w:val="single" w:sz="8" w:space="0" w:color="000000"/>
            </w:tcBorders>
          </w:tcPr>
          <w:p>
            <w:pPr>
              <w:pStyle w:val="Normal"/>
              <w:spacing w:lineRule="atLeast" w:line="0"/>
              <w:jc w:val="center"/>
              <w:rPr>
                <w:rFonts w:ascii="Corbel" w:hAnsi="Corbel" w:eastAsia="Corbel" w:cs="Corbel"/>
                <w:w w:val="98"/>
                <w:sz w:val="23"/>
              </w:rPr>
            </w:pPr>
            <w:r>
              <w:rPr>
                <w:rFonts w:eastAsia="Corbel" w:cs="Corbel" w:ascii="Corbel" w:hAnsi="Corbel"/>
                <w:w w:val="98"/>
                <w:sz w:val="23"/>
              </w:rPr>
              <w:t>Jan to June 2019</w:t>
            </w:r>
          </w:p>
        </w:tc>
        <w:tc>
          <w:tcPr>
            <w:tcW w:w="2140" w:type="dxa"/>
            <w:tcBorders>
              <w:right w:val="single" w:sz="8" w:space="0" w:color="000000"/>
            </w:tcBorders>
          </w:tcPr>
          <w:p>
            <w:pPr>
              <w:pStyle w:val="Normal"/>
              <w:spacing w:lineRule="atLeast" w:line="0"/>
              <w:jc w:val="center"/>
              <w:rPr>
                <w:rFonts w:ascii="Corbel" w:hAnsi="Corbel" w:eastAsia="Corbel" w:cs="Corbel"/>
                <w:b/>
                <w:w w:val="98"/>
                <w:sz w:val="23"/>
              </w:rPr>
            </w:pPr>
            <w:r>
              <w:rPr>
                <w:rFonts w:eastAsia="Corbel" w:cs="Corbel" w:ascii="Corbel" w:hAnsi="Corbel"/>
                <w:b/>
                <w:w w:val="98"/>
                <w:sz w:val="23"/>
              </w:rPr>
              <w:t>30 September 2019</w:t>
            </w:r>
          </w:p>
        </w:tc>
        <w:tc>
          <w:tcPr>
            <w:tcW w:w="120" w:type="dxa"/>
            <w:tcBorders/>
          </w:tcPr>
          <w:p>
            <w:pPr>
              <w:pStyle w:val="Normal"/>
              <w:snapToGrid w:val="false"/>
              <w:spacing w:lineRule="atLeast" w:line="0"/>
              <w:rPr>
                <w:rFonts w:ascii="Times New Roman" w:hAnsi="Times New Roman" w:eastAsia="Times New Roman" w:cs="Times New Roman"/>
                <w:b/>
                <w:w w:val="98"/>
                <w:sz w:val="24"/>
              </w:rPr>
            </w:pPr>
            <w:r>
              <w:rPr>
                <w:rFonts w:eastAsia="Times New Roman" w:cs="Times New Roman" w:ascii="Times New Roman" w:hAnsi="Times New Roman"/>
                <w:b/>
                <w:w w:val="98"/>
                <w:sz w:val="24"/>
              </w:rPr>
            </w:r>
          </w:p>
        </w:tc>
      </w:tr>
      <w:tr>
        <w:trPr>
          <w:trHeight w:val="420"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Performance benchmarks (clause 18);</w:t>
            </w:r>
          </w:p>
        </w:tc>
        <w:tc>
          <w:tcPr>
            <w:tcW w:w="2120" w:type="dxa"/>
            <w:tcBorders>
              <w:right w:val="single" w:sz="8" w:space="0" w:color="000000"/>
            </w:tcBorders>
          </w:tcPr>
          <w:p>
            <w:pPr>
              <w:pStyle w:val="Normal"/>
              <w:spacing w:lineRule="atLeast" w:line="0"/>
              <w:jc w:val="center"/>
              <w:rPr>
                <w:rFonts w:ascii="Corbel" w:hAnsi="Corbel" w:eastAsia="Corbel" w:cs="Corbel"/>
                <w:w w:val="98"/>
                <w:sz w:val="23"/>
              </w:rPr>
            </w:pPr>
            <w:r>
              <w:rPr>
                <w:rFonts w:eastAsia="Corbel" w:cs="Corbel" w:ascii="Corbel" w:hAnsi="Corbel"/>
                <w:w w:val="98"/>
                <w:sz w:val="23"/>
              </w:rPr>
              <w:t>Jan to June 2019</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0"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Facilitate, and provide a summary on, a client</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2018-19</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0"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40" w:type="dxa"/>
            <w:tcBorders>
              <w:right w:val="single" w:sz="8" w:space="0" w:color="000000"/>
            </w:tcBorders>
          </w:tcPr>
          <w:p>
            <w:pPr>
              <w:pStyle w:val="Normal"/>
              <w:spacing w:lineRule="exact" w:line="270"/>
              <w:ind w:left="120" w:right="0"/>
              <w:rPr>
                <w:rFonts w:ascii="Corbel" w:hAnsi="Corbel" w:eastAsia="Corbel" w:cs="Corbel"/>
                <w:sz w:val="23"/>
              </w:rPr>
            </w:pPr>
            <w:r>
              <w:rPr>
                <w:rFonts w:eastAsia="Corbel" w:cs="Corbel" w:ascii="Corbel" w:hAnsi="Corbel"/>
                <w:sz w:val="23"/>
              </w:rPr>
              <w:t>survey (clause 19(f)); and</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35" w:hRule="atLeast"/>
        </w:trPr>
        <w:tc>
          <w:tcPr>
            <w:tcW w:w="720" w:type="dxa"/>
            <w:tcBorders>
              <w:left w:val="single" w:sz="8" w:space="0" w:color="000000"/>
            </w:tcBorders>
          </w:tcPr>
          <w:p>
            <w:pPr>
              <w:pStyle w:val="Normal"/>
              <w:spacing w:lineRule="atLeast" w:line="0"/>
              <w:ind w:left="480" w:right="0"/>
              <w:rPr>
                <w:rFonts w:ascii="Arial" w:hAnsi="Arial" w:eastAsia="Arial" w:cs="Arial"/>
                <w:sz w:val="23"/>
              </w:rPr>
            </w:pPr>
            <w:r>
              <w:rPr>
                <w:rFonts w:eastAsia="Arial" w:cs="Arial" w:ascii="Arial" w:hAnsi="Arial"/>
                <w:sz w:val="23"/>
              </w:rPr>
              <w:t>•</w:t>
            </w:r>
          </w:p>
        </w:tc>
        <w:tc>
          <w:tcPr>
            <w:tcW w:w="4940" w:type="dxa"/>
            <w:tcBorders>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Report on the distribution of community legal</w:t>
            </w:r>
          </w:p>
        </w:tc>
        <w:tc>
          <w:tcPr>
            <w:tcW w:w="2120" w:type="dxa"/>
            <w:tcBorders>
              <w:right w:val="single" w:sz="8" w:space="0" w:color="000000"/>
            </w:tcBorders>
          </w:tcPr>
          <w:p>
            <w:pPr>
              <w:pStyle w:val="Normal"/>
              <w:spacing w:lineRule="atLeast" w:line="0"/>
              <w:jc w:val="center"/>
              <w:rPr>
                <w:rFonts w:ascii="Corbel" w:hAnsi="Corbel" w:eastAsia="Corbel" w:cs="Corbel"/>
                <w:sz w:val="23"/>
              </w:rPr>
            </w:pPr>
            <w:r>
              <w:rPr>
                <w:rFonts w:eastAsia="Corbel" w:cs="Corbel" w:ascii="Corbel" w:hAnsi="Corbel"/>
                <w:sz w:val="23"/>
              </w:rPr>
              <w:t>2019-20</w:t>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0" w:hRule="atLeast"/>
        </w:trPr>
        <w:tc>
          <w:tcPr>
            <w:tcW w:w="720" w:type="dxa"/>
            <w:tcBorders>
              <w:lef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940" w:type="dxa"/>
            <w:tcBorders>
              <w:right w:val="single" w:sz="8" w:space="0" w:color="000000"/>
            </w:tcBorders>
          </w:tcPr>
          <w:p>
            <w:pPr>
              <w:pStyle w:val="Normal"/>
              <w:spacing w:lineRule="exact" w:line="270"/>
              <w:ind w:left="120" w:right="0"/>
              <w:rPr>
                <w:rFonts w:ascii="Corbel" w:hAnsi="Corbel" w:eastAsia="Corbel" w:cs="Corbel"/>
                <w:sz w:val="23"/>
              </w:rPr>
            </w:pPr>
            <w:r>
              <w:rPr>
                <w:rFonts w:eastAsia="Corbel" w:cs="Corbel" w:ascii="Corbel" w:hAnsi="Corbel"/>
                <w:sz w:val="23"/>
              </w:rPr>
              <w:t>centre funding (clause 19(b)).</w:t>
            </w:r>
          </w:p>
        </w:tc>
        <w:tc>
          <w:tcPr>
            <w:tcW w:w="2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83" w:hRule="atLeast"/>
        </w:trPr>
        <w:tc>
          <w:tcPr>
            <w:tcW w:w="720" w:type="dxa"/>
            <w:tcBorders>
              <w:lef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9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52" w:hRule="atLeast"/>
        </w:trPr>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tcPr>
          <w:p>
            <w:pPr>
              <w:pStyle w:val="Normal"/>
              <w:spacing w:lineRule="atLeast" w:line="0"/>
              <w:ind w:left="1700" w:right="0"/>
              <w:rPr>
                <w:rFonts w:ascii="Corbel" w:hAnsi="Corbel" w:eastAsia="Corbel" w:cs="Corbel"/>
                <w:color w:val="3C4A67"/>
                <w:w w:val="92"/>
                <w:sz w:val="18"/>
              </w:rPr>
            </w:pPr>
            <w:r>
              <w:rPr>
                <w:rFonts w:eastAsia="Corbel" w:cs="Corbel" w:ascii="Corbel" w:hAnsi="Corbel"/>
                <w:color w:val="3C4A67"/>
                <w:w w:val="92"/>
                <w:sz w:val="18"/>
              </w:rPr>
              <w:t>Page | 8</w:t>
            </w:r>
          </w:p>
        </w:tc>
      </w:tr>
    </w:tbl>
    <w:p>
      <w:pPr>
        <w:sectPr>
          <w:type w:val="nextPage"/>
          <w:pgSz w:w="11906" w:h="16838"/>
          <w:pgMar w:left="1000" w:right="870" w:gutter="0" w:header="0" w:top="1105" w:footer="0" w:bottom="159"/>
          <w:pgNumType w:fmt="decimal"/>
          <w:formProt w:val="false"/>
          <w:textDirection w:val="lrTb"/>
          <w:docGrid w:type="default" w:linePitch="360" w:charSpace="0"/>
        </w:sectPr>
      </w:pPr>
    </w:p>
    <w:p>
      <w:pPr>
        <w:pStyle w:val="Normal"/>
        <w:numPr>
          <w:ilvl w:val="0"/>
          <w:numId w:val="20"/>
        </w:numPr>
        <w:tabs>
          <w:tab w:val="clear" w:pos="720"/>
          <w:tab w:val="left" w:pos="580" w:leader="none"/>
        </w:tabs>
        <w:spacing w:lineRule="atLeast" w:line="0"/>
        <w:ind w:hanging="575" w:left="580" w:right="0"/>
        <w:rPr>
          <w:rFonts w:ascii="Corbel" w:hAnsi="Corbel" w:eastAsia="Corbel" w:cs="Corbel"/>
          <w:sz w:val="23"/>
        </w:rPr>
      </w:pPr>
      <w:bookmarkStart w:id="8" w:name="page9"/>
      <w:bookmarkEnd w:id="8"/>
      <w:r>
        <w:rPr>
          <w:rFonts w:eastAsia="Corbel" w:cs="Corbel" w:ascii="Corbel" w:hAnsi="Corbel"/>
          <w:sz w:val="23"/>
        </w:rPr>
        <w:t>The States will also provide the Commonwealth with a final report due by 30 September 2020:</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1"/>
          <w:numId w:val="20"/>
        </w:numPr>
        <w:tabs>
          <w:tab w:val="clear" w:pos="720"/>
          <w:tab w:val="left" w:pos="1140" w:leader="none"/>
        </w:tabs>
        <w:spacing w:lineRule="auto" w:line="232"/>
        <w:ind w:hanging="565" w:left="1140" w:right="1240"/>
        <w:rPr>
          <w:rFonts w:ascii="Corbel" w:hAnsi="Corbel" w:eastAsia="Corbel" w:cs="Corbel"/>
          <w:sz w:val="23"/>
        </w:rPr>
      </w:pPr>
      <w:r>
        <w:rPr>
          <w:rFonts w:eastAsia="Corbel" w:cs="Corbel" w:ascii="Corbel" w:hAnsi="Corbel"/>
          <w:sz w:val="23"/>
        </w:rPr>
        <w:t>including the summary of a case study, conducted in 2019-20 in accordance with clause 19(g);</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1"/>
          <w:numId w:val="20"/>
        </w:numPr>
        <w:tabs>
          <w:tab w:val="clear" w:pos="720"/>
          <w:tab w:val="left" w:pos="1140" w:leader="none"/>
        </w:tabs>
        <w:spacing w:lineRule="auto" w:line="232"/>
        <w:ind w:hanging="565" w:left="1140" w:right="40"/>
        <w:rPr>
          <w:rFonts w:ascii="Corbel" w:hAnsi="Corbel" w:eastAsia="Corbel" w:cs="Corbel"/>
          <w:sz w:val="23"/>
        </w:rPr>
      </w:pPr>
      <w:r>
        <w:rPr>
          <w:rFonts w:eastAsia="Corbel" w:cs="Corbel" w:ascii="Corbel" w:hAnsi="Corbel"/>
          <w:sz w:val="23"/>
        </w:rPr>
        <w:t>including a summary of client survey results, for a survey conducted in 2019-20 in accordance with clause 19(f);</w:t>
      </w:r>
    </w:p>
    <w:p>
      <w:pPr>
        <w:pStyle w:val="Normal"/>
        <w:spacing w:lineRule="exact" w:line="260"/>
        <w:rPr>
          <w:rFonts w:ascii="Corbel" w:hAnsi="Corbel" w:eastAsia="Corbel" w:cs="Corbel"/>
          <w:sz w:val="23"/>
        </w:rPr>
      </w:pPr>
      <w:r>
        <w:rPr>
          <w:rFonts w:eastAsia="Corbel" w:cs="Corbel" w:ascii="Corbel" w:hAnsi="Corbel"/>
          <w:sz w:val="23"/>
        </w:rPr>
      </w:r>
    </w:p>
    <w:p>
      <w:pPr>
        <w:pStyle w:val="Normal"/>
        <w:numPr>
          <w:ilvl w:val="1"/>
          <w:numId w:val="20"/>
        </w:numPr>
        <w:tabs>
          <w:tab w:val="clear" w:pos="720"/>
          <w:tab w:val="left" w:pos="1140" w:leader="none"/>
        </w:tabs>
        <w:spacing w:lineRule="auto" w:line="228"/>
        <w:ind w:hanging="565" w:left="1140" w:right="360"/>
        <w:rPr>
          <w:rFonts w:ascii="Corbel" w:hAnsi="Corbel" w:eastAsia="Corbel" w:cs="Corbel"/>
          <w:sz w:val="23"/>
        </w:rPr>
      </w:pPr>
      <w:r>
        <w:rPr>
          <w:rFonts w:eastAsia="Corbel" w:cs="Corbel" w:ascii="Corbel" w:hAnsi="Corbel"/>
          <w:sz w:val="23"/>
        </w:rPr>
        <w:t>demonstrating for the six month period (July to December 2019) performance against the indicators and benchmarks in accordance with clauses 17 and 18; and</w:t>
      </w:r>
    </w:p>
    <w:p>
      <w:pPr>
        <w:pStyle w:val="Normal"/>
        <w:spacing w:lineRule="exact" w:line="259"/>
        <w:rPr>
          <w:rFonts w:ascii="Corbel" w:hAnsi="Corbel" w:eastAsia="Corbel" w:cs="Corbel"/>
          <w:sz w:val="23"/>
        </w:rPr>
      </w:pPr>
      <w:r>
        <w:rPr>
          <w:rFonts w:eastAsia="Corbel" w:cs="Corbel" w:ascii="Corbel" w:hAnsi="Corbel"/>
          <w:sz w:val="23"/>
        </w:rPr>
      </w:r>
    </w:p>
    <w:p>
      <w:pPr>
        <w:pStyle w:val="Normal"/>
        <w:numPr>
          <w:ilvl w:val="1"/>
          <w:numId w:val="20"/>
        </w:numPr>
        <w:tabs>
          <w:tab w:val="clear" w:pos="720"/>
          <w:tab w:val="left" w:pos="1140" w:leader="none"/>
        </w:tabs>
        <w:spacing w:lineRule="auto" w:line="232"/>
        <w:ind w:hanging="565" w:left="1140" w:right="540"/>
        <w:rPr>
          <w:rFonts w:ascii="Corbel" w:hAnsi="Corbel" w:eastAsia="Corbel" w:cs="Corbel"/>
          <w:sz w:val="23"/>
        </w:rPr>
      </w:pPr>
      <w:r>
        <w:rPr>
          <w:rFonts w:eastAsia="Corbel" w:cs="Corbel" w:ascii="Corbel" w:hAnsi="Corbel"/>
          <w:sz w:val="23"/>
        </w:rPr>
        <w:t>demonstrating for the six month period (January to June 2020) performance against the indicators and benchmarks in accordance with clauses 17 and 18.</w:t>
      </w:r>
    </w:p>
    <w:p>
      <w:pPr>
        <w:pStyle w:val="Normal"/>
        <w:spacing w:lineRule="exact" w:line="260"/>
        <w:rPr>
          <w:rFonts w:ascii="Corbel" w:hAnsi="Corbel" w:eastAsia="Corbel" w:cs="Corbel"/>
          <w:sz w:val="23"/>
        </w:rPr>
      </w:pPr>
      <w:r>
        <w:rPr>
          <w:rFonts w:eastAsia="Corbel" w:cs="Corbel" w:ascii="Corbel" w:hAnsi="Corbel"/>
          <w:sz w:val="23"/>
        </w:rPr>
      </w:r>
    </w:p>
    <w:p>
      <w:pPr>
        <w:pStyle w:val="Normal"/>
        <w:numPr>
          <w:ilvl w:val="0"/>
          <w:numId w:val="20"/>
        </w:numPr>
        <w:tabs>
          <w:tab w:val="clear" w:pos="720"/>
          <w:tab w:val="left" w:pos="581" w:leader="none"/>
        </w:tabs>
        <w:spacing w:lineRule="auto" w:line="232"/>
        <w:ind w:hanging="575" w:left="580" w:right="160"/>
        <w:rPr>
          <w:rFonts w:ascii="Corbel" w:hAnsi="Corbel" w:eastAsia="Corbel" w:cs="Corbel"/>
          <w:sz w:val="23"/>
        </w:rPr>
      </w:pPr>
      <w:r>
        <w:rPr>
          <w:rFonts w:eastAsia="Corbel" w:cs="Corbel" w:ascii="Corbel" w:hAnsi="Corbel"/>
          <w:sz w:val="23"/>
        </w:rPr>
        <w:t>Where existing systems do not facilitate the collection of data required to be reported under this Agreement, the Parties will agree the proxies to be used for those items (or the item not reported) until such time as systems are implemented to record those items.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pPr>
      <w:r>
        <w:rPr>
          <w:rFonts w:eastAsia="Consolas" w:cs="Consolas" w:ascii="Consolas" w:hAnsi="Consolas"/>
          <w:color w:val="3C4A67"/>
          <w:sz w:val="32"/>
        </w:rPr>
        <w:t>PART 5 — FINANCIAL ARRANGEMENTS</w:t>
      </w:r>
    </w:p>
    <w:p>
      <w:pPr>
        <w:pStyle w:val="Normal"/>
        <w:spacing w:lineRule="exact" w:line="198"/>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Financial contributions</w:t>
      </w:r>
    </w:p>
    <w:p>
      <w:pPr>
        <w:pStyle w:val="Normal"/>
        <w:spacing w:lineRule="exact" w:line="13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21"/>
        </w:numPr>
        <w:tabs>
          <w:tab w:val="clear" w:pos="720"/>
          <w:tab w:val="left" w:pos="580" w:leader="none"/>
        </w:tabs>
        <w:spacing w:lineRule="auto" w:line="220"/>
        <w:ind w:hanging="575" w:left="580" w:right="160"/>
        <w:rPr>
          <w:rFonts w:ascii="Corbel" w:hAnsi="Corbel" w:eastAsia="Corbel" w:cs="Corbel"/>
          <w:sz w:val="23"/>
        </w:rPr>
      </w:pPr>
      <w:r>
        <w:rPr>
          <w:rFonts w:eastAsia="Corbel" w:cs="Corbel" w:ascii="Corbel" w:hAnsi="Corbel"/>
          <w:sz w:val="23"/>
        </w:rPr>
        <w:t>The Commonwealth will provide a total financial contribution to the States of $1266.539 million in respect of this Agreement, comprising:</w:t>
      </w:r>
    </w:p>
    <w:p>
      <w:pPr>
        <w:pStyle w:val="Normal"/>
        <w:spacing w:lineRule="exact" w:line="215"/>
        <w:rPr>
          <w:rFonts w:ascii="Corbel" w:hAnsi="Corbel" w:eastAsia="Corbel" w:cs="Corbel"/>
          <w:sz w:val="23"/>
        </w:rPr>
      </w:pPr>
      <w:r>
        <w:rPr>
          <w:rFonts w:eastAsia="Corbel" w:cs="Corbel" w:ascii="Corbel" w:hAnsi="Corbel"/>
          <w:sz w:val="23"/>
        </w:rPr>
      </w:r>
    </w:p>
    <w:p>
      <w:pPr>
        <w:pStyle w:val="Normal"/>
        <w:numPr>
          <w:ilvl w:val="1"/>
          <w:numId w:val="21"/>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$1070.651 million for legal aid commissions;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1"/>
          <w:numId w:val="21"/>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$136.419 million for community legal centres;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1"/>
          <w:numId w:val="21"/>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$37.599 million for specific community legal centres listed in Schedule C; and</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1"/>
          <w:numId w:val="21"/>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$21.870 million for SACS supplementation for community legal centres.</w:t>
      </w:r>
    </w:p>
    <w:p>
      <w:pPr>
        <w:pStyle w:val="Normal"/>
        <w:spacing w:lineRule="exact" w:line="228"/>
        <w:rPr>
          <w:rFonts w:ascii="Corbel" w:hAnsi="Corbel" w:eastAsia="Corbel" w:cs="Corbel"/>
          <w:sz w:val="23"/>
        </w:rPr>
      </w:pPr>
      <w:r>
        <w:rPr>
          <w:rFonts w:eastAsia="Corbel" w:cs="Corbel" w:ascii="Corbel" w:hAnsi="Corbel"/>
          <w:sz w:val="23"/>
        </w:rPr>
      </w:r>
    </w:p>
    <w:p>
      <w:pPr>
        <w:pStyle w:val="Normal"/>
        <w:numPr>
          <w:ilvl w:val="0"/>
          <w:numId w:val="21"/>
        </w:numPr>
        <w:tabs>
          <w:tab w:val="clear" w:pos="720"/>
          <w:tab w:val="left" w:pos="581" w:leader="none"/>
        </w:tabs>
        <w:spacing w:lineRule="auto" w:line="223"/>
        <w:ind w:hanging="576" w:left="580" w:right="240"/>
        <w:rPr>
          <w:rFonts w:ascii="Corbel" w:hAnsi="Corbel" w:eastAsia="Corbel" w:cs="Corbel"/>
          <w:sz w:val="23"/>
        </w:rPr>
      </w:pPr>
      <w:r>
        <w:rPr>
          <w:rFonts w:eastAsia="Corbel" w:cs="Corbel" w:ascii="Corbel" w:hAnsi="Corbel"/>
          <w:sz w:val="23"/>
        </w:rPr>
        <w:t xml:space="preserve">The Commonwealth’s estimated financial contribution to the operation of this Agreement, made through National Partnership payments to the States paid in accordance with </w:t>
      </w:r>
      <w:r>
        <w:rPr>
          <w:rFonts w:eastAsia="Corbel" w:cs="Corbel" w:ascii="Corbel" w:hAnsi="Corbel"/>
          <w:i/>
          <w:sz w:val="23"/>
        </w:rPr>
        <w:t>Schedule D — Payment Arrangements</w:t>
      </w:r>
      <w:r>
        <w:rPr>
          <w:rFonts w:eastAsia="Corbel" w:cs="Corbel" w:ascii="Corbel" w:hAnsi="Corbel"/>
          <w:sz w:val="23"/>
        </w:rPr>
        <w:t xml:space="preserve"> of the IGA FFR, is shown in Table 2.</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0"/>
          <w:numId w:val="21"/>
        </w:numPr>
        <w:tabs>
          <w:tab w:val="clear" w:pos="720"/>
          <w:tab w:val="left" w:pos="580" w:leader="none"/>
        </w:tabs>
        <w:spacing w:lineRule="auto" w:line="220"/>
        <w:ind w:hanging="575" w:left="580" w:right="1220"/>
        <w:rPr>
          <w:rFonts w:ascii="Corbel" w:hAnsi="Corbel" w:eastAsia="Corbel" w:cs="Corbel"/>
          <w:sz w:val="23"/>
        </w:rPr>
      </w:pPr>
      <w:r>
        <w:rPr>
          <w:rFonts w:eastAsia="Corbel" w:cs="Corbel" w:ascii="Corbel" w:hAnsi="Corbel"/>
          <w:sz w:val="23"/>
        </w:rPr>
        <w:t>The Commonwealth’s financial contribution will be allocated between the States using evidence-based funding allocation models from 2015-16.</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0"/>
          <w:numId w:val="21"/>
        </w:numPr>
        <w:tabs>
          <w:tab w:val="clear" w:pos="720"/>
          <w:tab w:val="left" w:pos="581" w:leader="none"/>
        </w:tabs>
        <w:spacing w:lineRule="auto" w:line="228"/>
        <w:ind w:hanging="575" w:left="580" w:right="300"/>
        <w:rPr>
          <w:rFonts w:ascii="Corbel" w:hAnsi="Corbel" w:eastAsia="Corbel" w:cs="Corbel"/>
          <w:sz w:val="23"/>
        </w:rPr>
      </w:pPr>
      <w:r>
        <w:rPr>
          <w:rFonts w:eastAsia="Corbel" w:cs="Corbel" w:ascii="Corbel" w:hAnsi="Corbel"/>
          <w:sz w:val="23"/>
        </w:rPr>
        <w:t>The Commonwealth’s financial contribution will not be reduced where the States secure funding from other activity partners through innovative and collaborative partnerships.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20" w:right="870" w:gutter="0" w:header="0" w:top="1106" w:footer="0" w:bottom="159"/>
          <w:pgNumType w:fmt="decimal"/>
          <w:formProt w:val="false"/>
          <w:textDirection w:val="lrTb"/>
          <w:docGrid w:type="default" w:linePitch="360" w:charSpace="0"/>
        </w:sectPr>
        <w:pStyle w:val="Normal"/>
        <w:spacing w:lineRule="atLeast" w:line="0"/>
        <w:jc w:val="right"/>
        <w:rPr>
          <w:rFonts w:ascii="Corbel" w:hAnsi="Corbel" w:eastAsia="Corbel" w:cs="Corbel"/>
          <w:color w:val="3C4A67"/>
          <w:sz w:val="18"/>
        </w:rPr>
      </w:pPr>
      <w:r>
        <w:rPr>
          <w:rFonts w:eastAsia="Corbel" w:cs="Corbel" w:ascii="Corbel" w:hAnsi="Corbel"/>
          <w:color w:val="3C4A67"/>
          <w:sz w:val="18"/>
        </w:rPr>
        <w:t>Page | 9</w:t>
      </w:r>
    </w:p>
    <w:p>
      <w:pPr>
        <w:pStyle w:val="Normal"/>
        <w:spacing w:lineRule="auto" w:line="211"/>
        <w:ind w:left="160" w:right="80"/>
        <w:rPr/>
      </w:pPr>
      <w:bookmarkStart w:id="9" w:name="page10"/>
      <w:bookmarkEnd w:id="9"/>
      <w:r>
        <w:rPr>
          <w:rFonts w:eastAsia="Consolas" w:cs="Consolas" w:ascii="Consolas" w:hAnsi="Consolas"/>
          <w:b/>
          <w:color w:val="3C4A67"/>
          <w:sz w:val="33"/>
          <w:vertAlign w:val="superscript"/>
        </w:rPr>
        <w:t>Table 2: Estimated Commonwealth financial contribution for legal assistance services</w:t>
      </w:r>
      <w:r>
        <w:rPr/>
        <w:t>2</w:t>
      </w:r>
    </w:p>
    <w:tbl>
      <w:tblPr>
        <w:tblW w:w="10060" w:type="dxa"/>
        <w:jc w:val="left"/>
        <w:tblInd w:w="0" w:type="dxa"/>
        <w:tblLayout w:type="fixed"/>
        <w:tblCellMar>
          <w:top w:w="0" w:type="dxa"/>
          <w:left w:w="0" w:type="dxa"/>
          <w:bottom w:w="0" w:type="dxa"/>
          <w:right w:w="0" w:type="dxa"/>
        </w:tblCellMar>
      </w:tblPr>
      <w:tblGrid>
        <w:gridCol w:w="3420"/>
        <w:gridCol w:w="1000"/>
        <w:gridCol w:w="1120"/>
        <w:gridCol w:w="1120"/>
        <w:gridCol w:w="1120"/>
        <w:gridCol w:w="1140"/>
        <w:gridCol w:w="1140"/>
      </w:tblGrid>
      <w:tr>
        <w:trPr>
          <w:trHeight w:val="302" w:hRule="atLeast"/>
        </w:trPr>
        <w:tc>
          <w:tcPr>
            <w:tcW w:w="3420" w:type="dxa"/>
            <w:tcBorders>
              <w:top w:val="single" w:sz="8" w:space="0" w:color="000000"/>
              <w:left w:val="single" w:sz="8" w:space="0" w:color="000000"/>
              <w:right w:val="single" w:sz="8" w:space="0" w:color="000000"/>
            </w:tcBorders>
          </w:tcPr>
          <w:p>
            <w:pPr>
              <w:pStyle w:val="Normal"/>
              <w:spacing w:lineRule="atLeast" w:line="0"/>
              <w:ind w:left="120" w:right="0"/>
              <w:rPr>
                <w:rFonts w:ascii="Corbel" w:hAnsi="Corbel" w:eastAsia="Corbel" w:cs="Corbel"/>
                <w:b/>
                <w:sz w:val="23"/>
              </w:rPr>
            </w:pPr>
            <w:r>
              <w:rPr>
                <w:rFonts w:eastAsia="Corbel" w:cs="Corbel" w:ascii="Corbel" w:hAnsi="Corbel"/>
                <w:b/>
                <w:sz w:val="23"/>
              </w:rPr>
              <w:t>($ million)</w:t>
            </w:r>
          </w:p>
        </w:tc>
        <w:tc>
          <w:tcPr>
            <w:tcW w:w="1000" w:type="dxa"/>
            <w:tcBorders>
              <w:top w:val="single" w:sz="8" w:space="0" w:color="000000"/>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2015-16</w:t>
            </w:r>
          </w:p>
        </w:tc>
        <w:tc>
          <w:tcPr>
            <w:tcW w:w="1120" w:type="dxa"/>
            <w:tcBorders>
              <w:top w:val="single" w:sz="8" w:space="0" w:color="000000"/>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2016-17</w:t>
            </w:r>
          </w:p>
        </w:tc>
        <w:tc>
          <w:tcPr>
            <w:tcW w:w="1120" w:type="dxa"/>
            <w:tcBorders>
              <w:top w:val="single" w:sz="8" w:space="0" w:color="000000"/>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2017-18</w:t>
            </w:r>
          </w:p>
        </w:tc>
        <w:tc>
          <w:tcPr>
            <w:tcW w:w="1120" w:type="dxa"/>
            <w:tcBorders>
              <w:top w:val="single" w:sz="8" w:space="0" w:color="000000"/>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2018-19</w:t>
            </w:r>
          </w:p>
        </w:tc>
        <w:tc>
          <w:tcPr>
            <w:tcW w:w="1140" w:type="dxa"/>
            <w:tcBorders>
              <w:top w:val="single" w:sz="8" w:space="0" w:color="000000"/>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2019-20</w:t>
            </w:r>
          </w:p>
        </w:tc>
        <w:tc>
          <w:tcPr>
            <w:tcW w:w="1140" w:type="dxa"/>
            <w:tcBorders>
              <w:top w:val="single" w:sz="8" w:space="0" w:color="000000"/>
              <w:right w:val="single" w:sz="8" w:space="0" w:color="000000"/>
            </w:tcBorders>
          </w:tcPr>
          <w:p>
            <w:pPr>
              <w:pStyle w:val="Normal"/>
              <w:spacing w:lineRule="atLeast" w:line="0"/>
              <w:ind w:right="8"/>
              <w:jc w:val="right"/>
              <w:rPr>
                <w:rFonts w:ascii="Corbel" w:hAnsi="Corbel" w:eastAsia="Corbel" w:cs="Corbel"/>
                <w:b/>
                <w:sz w:val="23"/>
              </w:rPr>
            </w:pPr>
            <w:r>
              <w:rPr>
                <w:rFonts w:eastAsia="Corbel" w:cs="Corbel" w:ascii="Corbel" w:hAnsi="Corbel"/>
                <w:b/>
                <w:sz w:val="23"/>
              </w:rPr>
              <w:t>Total</w:t>
            </w:r>
          </w:p>
        </w:tc>
      </w:tr>
      <w:tr>
        <w:trPr>
          <w:trHeight w:val="68" w:hRule="atLeast"/>
        </w:trPr>
        <w:tc>
          <w:tcPr>
            <w:tcW w:w="34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1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02" w:hRule="atLeast"/>
        </w:trPr>
        <w:tc>
          <w:tcPr>
            <w:tcW w:w="3420" w:type="dxa"/>
            <w:tcBorders>
              <w:left w:val="single" w:sz="8" w:space="0" w:color="000000"/>
              <w:right w:val="single" w:sz="8" w:space="0" w:color="000000"/>
            </w:tcBorders>
          </w:tcPr>
          <w:p>
            <w:pPr>
              <w:pStyle w:val="Normal"/>
              <w:spacing w:lineRule="atLeast" w:line="0"/>
              <w:ind w:left="120" w:right="0"/>
              <w:rPr>
                <w:rFonts w:ascii="Corbel" w:hAnsi="Corbel" w:eastAsia="Corbel" w:cs="Corbel"/>
                <w:b/>
                <w:sz w:val="23"/>
              </w:rPr>
            </w:pPr>
            <w:r>
              <w:rPr>
                <w:rFonts w:eastAsia="Corbel" w:cs="Corbel" w:ascii="Corbel" w:hAnsi="Corbel"/>
                <w:b/>
                <w:sz w:val="23"/>
              </w:rPr>
              <w:t>Estimated total budget</w:t>
            </w:r>
          </w:p>
        </w:tc>
        <w:tc>
          <w:tcPr>
            <w:tcW w:w="1000" w:type="dxa"/>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250.942</w:t>
            </w:r>
          </w:p>
        </w:tc>
        <w:tc>
          <w:tcPr>
            <w:tcW w:w="1120" w:type="dxa"/>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257.144</w:t>
            </w:r>
          </w:p>
        </w:tc>
        <w:tc>
          <w:tcPr>
            <w:tcW w:w="1120" w:type="dxa"/>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248.714</w:t>
            </w:r>
          </w:p>
        </w:tc>
        <w:tc>
          <w:tcPr>
            <w:tcW w:w="1120" w:type="dxa"/>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252.901</w:t>
            </w:r>
          </w:p>
        </w:tc>
        <w:tc>
          <w:tcPr>
            <w:tcW w:w="1140" w:type="dxa"/>
            <w:tcBorders>
              <w:right w:val="single" w:sz="8" w:space="0" w:color="000000"/>
            </w:tcBorders>
          </w:tcPr>
          <w:p>
            <w:pPr>
              <w:pStyle w:val="Normal"/>
              <w:spacing w:lineRule="atLeast" w:line="0"/>
              <w:ind w:right="68"/>
              <w:jc w:val="right"/>
              <w:rPr>
                <w:rFonts w:ascii="Corbel" w:hAnsi="Corbel" w:eastAsia="Corbel" w:cs="Corbel"/>
                <w:b/>
                <w:sz w:val="23"/>
              </w:rPr>
            </w:pPr>
            <w:r>
              <w:rPr>
                <w:rFonts w:eastAsia="Corbel" w:cs="Corbel" w:ascii="Corbel" w:hAnsi="Corbel"/>
                <w:b/>
                <w:sz w:val="23"/>
              </w:rPr>
              <w:t>256.838</w:t>
            </w:r>
          </w:p>
        </w:tc>
        <w:tc>
          <w:tcPr>
            <w:tcW w:w="1140" w:type="dxa"/>
            <w:tcBorders>
              <w:right w:val="single" w:sz="8" w:space="0" w:color="000000"/>
            </w:tcBorders>
          </w:tcPr>
          <w:p>
            <w:pPr>
              <w:pStyle w:val="Normal"/>
              <w:spacing w:lineRule="atLeast" w:line="0"/>
              <w:ind w:right="68"/>
              <w:jc w:val="right"/>
              <w:rPr>
                <w:rFonts w:ascii="Corbel" w:hAnsi="Corbel" w:eastAsia="Corbel" w:cs="Corbel"/>
                <w:b/>
                <w:sz w:val="23"/>
              </w:rPr>
            </w:pPr>
            <w:r>
              <w:rPr>
                <w:rFonts w:eastAsia="Corbel" w:cs="Corbel" w:ascii="Corbel" w:hAnsi="Corbel"/>
                <w:b/>
                <w:sz w:val="23"/>
              </w:rPr>
              <w:t>1266.539</w:t>
            </w:r>
          </w:p>
        </w:tc>
      </w:tr>
      <w:tr>
        <w:trPr>
          <w:trHeight w:val="68" w:hRule="atLeast"/>
        </w:trPr>
        <w:tc>
          <w:tcPr>
            <w:tcW w:w="34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1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72" w:hRule="atLeast"/>
        </w:trPr>
        <w:tc>
          <w:tcPr>
            <w:tcW w:w="3420" w:type="dxa"/>
            <w:tcBorders>
              <w:left w:val="single" w:sz="8" w:space="0" w:color="000000"/>
              <w:right w:val="single" w:sz="8" w:space="0" w:color="000000"/>
            </w:tcBorders>
          </w:tcPr>
          <w:p>
            <w:pPr>
              <w:pStyle w:val="Normal"/>
              <w:spacing w:lineRule="exact" w:line="272"/>
              <w:ind w:left="120" w:right="0"/>
              <w:rPr>
                <w:rFonts w:ascii="Corbel" w:hAnsi="Corbel" w:eastAsia="Corbel" w:cs="Corbel"/>
                <w:b/>
                <w:sz w:val="23"/>
              </w:rPr>
            </w:pPr>
            <w:r>
              <w:rPr>
                <w:rFonts w:eastAsia="Corbel" w:cs="Corbel" w:ascii="Corbel" w:hAnsi="Corbel"/>
                <w:b/>
                <w:sz w:val="23"/>
              </w:rPr>
              <w:t>New South Wales</w:t>
            </w:r>
          </w:p>
        </w:tc>
        <w:tc>
          <w:tcPr>
            <w:tcW w:w="100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74.648</w:t>
            </w:r>
          </w:p>
        </w:tc>
        <w:tc>
          <w:tcPr>
            <w:tcW w:w="112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76.625</w:t>
            </w:r>
          </w:p>
        </w:tc>
        <w:tc>
          <w:tcPr>
            <w:tcW w:w="112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74.486</w:t>
            </w:r>
          </w:p>
        </w:tc>
        <w:tc>
          <w:tcPr>
            <w:tcW w:w="112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75.492</w:t>
            </w:r>
          </w:p>
        </w:tc>
        <w:tc>
          <w:tcPr>
            <w:tcW w:w="114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76.419</w:t>
            </w:r>
          </w:p>
        </w:tc>
        <w:tc>
          <w:tcPr>
            <w:tcW w:w="114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377.670</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40" w:right="0"/>
              <w:rPr>
                <w:rFonts w:ascii="Corbel" w:hAnsi="Corbel" w:eastAsia="Corbel" w:cs="Corbel"/>
                <w:sz w:val="23"/>
              </w:rPr>
            </w:pPr>
            <w:r>
              <w:rPr>
                <w:rFonts w:eastAsia="Corbel" w:cs="Corbel" w:ascii="Corbel" w:hAnsi="Corbel"/>
                <w:sz w:val="23"/>
              </w:rPr>
              <w:t>Legal aid commissions</w:t>
            </w:r>
          </w:p>
        </w:tc>
        <w:tc>
          <w:tcPr>
            <w:tcW w:w="100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63.208</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64.072</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64.822</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65.583</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66.248</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323.933</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Community legal centres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6.865</w:t>
            </w:r>
          </w:p>
        </w:tc>
        <w:tc>
          <w:tcPr>
            <w:tcW w:w="1120" w:type="dxa"/>
            <w:tcBorders>
              <w:right w:val="single" w:sz="8" w:space="0" w:color="000000"/>
            </w:tcBorders>
          </w:tcPr>
          <w:p>
            <w:pPr>
              <w:pStyle w:val="Normal"/>
              <w:spacing w:lineRule="atLeast" w:line="0"/>
              <w:ind w:right="28"/>
              <w:jc w:val="right"/>
              <w:rPr>
                <w:rFonts w:ascii="Corbel" w:hAnsi="Corbel" w:eastAsia="Corbel" w:cs="Corbel"/>
                <w:i/>
                <w:i/>
                <w:sz w:val="23"/>
              </w:rPr>
            </w:pPr>
            <w:r>
              <w:rPr>
                <w:rFonts w:eastAsia="Corbel" w:cs="Corbel" w:ascii="Corbel" w:hAnsi="Corbel"/>
                <w:i/>
                <w:sz w:val="23"/>
              </w:rPr>
              <w:t>7.853</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9.016</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9.137</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9.269</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42.139</w:t>
            </w:r>
          </w:p>
        </w:tc>
      </w:tr>
      <w:tr>
        <w:trPr>
          <w:trHeight w:val="274" w:hRule="atLeast"/>
        </w:trPr>
        <w:tc>
          <w:tcPr>
            <w:tcW w:w="3420" w:type="dxa"/>
            <w:tcBorders>
              <w:left w:val="single" w:sz="8" w:space="0" w:color="000000"/>
              <w:right w:val="single" w:sz="8" w:space="0" w:color="000000"/>
            </w:tcBorders>
          </w:tcPr>
          <w:p>
            <w:pPr>
              <w:pStyle w:val="Normal"/>
              <w:spacing w:lineRule="exact" w:line="270"/>
              <w:ind w:left="400" w:right="0"/>
              <w:rPr>
                <w:rFonts w:ascii="Corbel" w:hAnsi="Corbel" w:eastAsia="Corbel" w:cs="Corbel"/>
                <w:i/>
                <w:i/>
                <w:sz w:val="23"/>
              </w:rPr>
            </w:pPr>
            <w:r>
              <w:rPr>
                <w:rFonts w:eastAsia="Corbel" w:cs="Corbel" w:ascii="Corbel" w:hAnsi="Corbel"/>
                <w:i/>
                <w:sz w:val="23"/>
              </w:rPr>
              <w:t>Community legal centres</w:t>
            </w:r>
          </w:p>
        </w:tc>
        <w:tc>
          <w:tcPr>
            <w:tcW w:w="100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4.204</w:t>
            </w:r>
          </w:p>
        </w:tc>
        <w:tc>
          <w:tcPr>
            <w:tcW w:w="1120" w:type="dxa"/>
            <w:tcBorders>
              <w:right w:val="single" w:sz="8" w:space="0" w:color="000000"/>
            </w:tcBorders>
          </w:tcPr>
          <w:p>
            <w:pPr>
              <w:pStyle w:val="Normal"/>
              <w:spacing w:lineRule="exact" w:line="274"/>
              <w:jc w:val="right"/>
              <w:rPr>
                <w:rFonts w:ascii="Corbel" w:hAnsi="Corbel" w:eastAsia="Corbel" w:cs="Corbel"/>
                <w:i/>
                <w:i/>
                <w:sz w:val="23"/>
              </w:rPr>
            </w:pPr>
            <w:r>
              <w:rPr>
                <w:rFonts w:eastAsia="Corbel" w:cs="Corbel" w:ascii="Corbel" w:hAnsi="Corbel"/>
                <w:i/>
                <w:sz w:val="23"/>
              </w:rPr>
              <w:t>4.204</w:t>
            </w:r>
          </w:p>
        </w:tc>
        <w:tc>
          <w:tcPr>
            <w:tcW w:w="112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w:t>
            </w:r>
          </w:p>
        </w:tc>
        <w:tc>
          <w:tcPr>
            <w:tcW w:w="1120" w:type="dxa"/>
            <w:tcBorders>
              <w:right w:val="single" w:sz="8" w:space="0" w:color="000000"/>
            </w:tcBorders>
          </w:tcPr>
          <w:p>
            <w:pPr>
              <w:pStyle w:val="Normal"/>
              <w:spacing w:lineRule="exact" w:line="274"/>
              <w:jc w:val="right"/>
              <w:rPr>
                <w:rFonts w:ascii="Corbel" w:hAnsi="Corbel" w:eastAsia="Corbel" w:cs="Corbel"/>
                <w:i/>
                <w:i/>
                <w:sz w:val="23"/>
              </w:rPr>
            </w:pPr>
            <w:r>
              <w:rPr>
                <w:rFonts w:eastAsia="Corbel" w:cs="Corbel" w:ascii="Corbel" w:hAnsi="Corbel"/>
                <w:i/>
                <w:sz w:val="23"/>
              </w:rPr>
              <w:t>-</w:t>
            </w:r>
          </w:p>
        </w:tc>
        <w:tc>
          <w:tcPr>
            <w:tcW w:w="114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w:t>
            </w:r>
          </w:p>
        </w:tc>
        <w:tc>
          <w:tcPr>
            <w:tcW w:w="114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8.409</w:t>
            </w:r>
          </w:p>
        </w:tc>
      </w:tr>
      <w:tr>
        <w:trPr>
          <w:trHeight w:val="266" w:hRule="atLeast"/>
        </w:trPr>
        <w:tc>
          <w:tcPr>
            <w:tcW w:w="3420" w:type="dxa"/>
            <w:tcBorders>
              <w:left w:val="single" w:sz="8" w:space="0" w:color="000000"/>
              <w:right w:val="single" w:sz="8" w:space="0" w:color="000000"/>
            </w:tcBorders>
          </w:tcPr>
          <w:p>
            <w:pPr>
              <w:pStyle w:val="Normal"/>
              <w:spacing w:lineRule="exact" w:line="266"/>
              <w:ind w:left="400" w:right="0"/>
              <w:rPr>
                <w:rFonts w:ascii="Corbel" w:hAnsi="Corbel" w:eastAsia="Corbel" w:cs="Corbel"/>
                <w:i/>
                <w:i/>
                <w:sz w:val="23"/>
              </w:rPr>
            </w:pPr>
            <w:r>
              <w:rPr>
                <w:rFonts w:eastAsia="Corbel" w:cs="Corbel" w:ascii="Corbel" w:hAnsi="Corbel"/>
                <w:i/>
                <w:sz w:val="23"/>
              </w:rPr>
              <w:t>(Schedule C)</w:t>
            </w:r>
          </w:p>
        </w:tc>
        <w:tc>
          <w:tcPr>
            <w:tcW w:w="100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5"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SACS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0.371</w:t>
            </w:r>
          </w:p>
        </w:tc>
        <w:tc>
          <w:tcPr>
            <w:tcW w:w="1120" w:type="dxa"/>
            <w:tcBorders>
              <w:right w:val="single" w:sz="8" w:space="0" w:color="000000"/>
            </w:tcBorders>
          </w:tcPr>
          <w:p>
            <w:pPr>
              <w:pStyle w:val="Normal"/>
              <w:spacing w:lineRule="atLeast" w:line="0"/>
              <w:jc w:val="right"/>
              <w:rPr>
                <w:rFonts w:ascii="Corbel" w:hAnsi="Corbel" w:eastAsia="Corbel" w:cs="Corbel"/>
                <w:i/>
                <w:i/>
                <w:sz w:val="23"/>
              </w:rPr>
            </w:pPr>
            <w:r>
              <w:rPr>
                <w:rFonts w:eastAsia="Corbel" w:cs="Corbel" w:ascii="Corbel" w:hAnsi="Corbel"/>
                <w:i/>
                <w:sz w:val="23"/>
              </w:rPr>
              <w:t>0.496</w:t>
            </w:r>
          </w:p>
        </w:tc>
        <w:tc>
          <w:tcPr>
            <w:tcW w:w="1120" w:type="dxa"/>
            <w:tcBorders>
              <w:right w:val="single" w:sz="8" w:space="0" w:color="000000"/>
            </w:tcBorders>
          </w:tcPr>
          <w:p>
            <w:pPr>
              <w:pStyle w:val="Normal"/>
              <w:spacing w:lineRule="atLeast" w:line="0"/>
              <w:jc w:val="right"/>
              <w:rPr>
                <w:rFonts w:ascii="Corbel" w:hAnsi="Corbel" w:eastAsia="Corbel" w:cs="Corbel"/>
                <w:i/>
                <w:i/>
                <w:sz w:val="23"/>
              </w:rPr>
            </w:pPr>
            <w:r>
              <w:rPr>
                <w:rFonts w:eastAsia="Corbel" w:cs="Corbel" w:ascii="Corbel" w:hAnsi="Corbel"/>
                <w:i/>
                <w:sz w:val="23"/>
              </w:rPr>
              <w:t>0.648</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0.772</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0.902</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3.189</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sz w:val="23"/>
              </w:rPr>
            </w:pPr>
            <w:r>
              <w:rPr>
                <w:rFonts w:eastAsia="Corbel" w:cs="Corbel" w:ascii="Corbel" w:hAnsi="Corbel"/>
                <w:sz w:val="23"/>
              </w:rPr>
              <w:t>Community legal centres total</w:t>
            </w:r>
          </w:p>
        </w:tc>
        <w:tc>
          <w:tcPr>
            <w:tcW w:w="100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11.44</w:t>
            </w:r>
          </w:p>
        </w:tc>
        <w:tc>
          <w:tcPr>
            <w:tcW w:w="112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12.553</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9.664</w:t>
            </w:r>
          </w:p>
        </w:tc>
        <w:tc>
          <w:tcPr>
            <w:tcW w:w="112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9.909</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10.171</w:t>
            </w:r>
          </w:p>
        </w:tc>
        <w:tc>
          <w:tcPr>
            <w:tcW w:w="11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53.737</w:t>
            </w:r>
          </w:p>
        </w:tc>
      </w:tr>
      <w:tr>
        <w:trPr>
          <w:trHeight w:val="23" w:hRule="atLeast"/>
        </w:trPr>
        <w:tc>
          <w:tcPr>
            <w:tcW w:w="34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72" w:hRule="atLeast"/>
        </w:trPr>
        <w:tc>
          <w:tcPr>
            <w:tcW w:w="3420" w:type="dxa"/>
            <w:tcBorders>
              <w:left w:val="single" w:sz="8" w:space="0" w:color="000000"/>
              <w:right w:val="single" w:sz="8" w:space="0" w:color="000000"/>
            </w:tcBorders>
          </w:tcPr>
          <w:p>
            <w:pPr>
              <w:pStyle w:val="Normal"/>
              <w:spacing w:lineRule="exact" w:line="272"/>
              <w:ind w:left="120" w:right="0"/>
              <w:rPr>
                <w:rFonts w:ascii="Corbel" w:hAnsi="Corbel" w:eastAsia="Corbel" w:cs="Corbel"/>
                <w:b/>
                <w:sz w:val="23"/>
              </w:rPr>
            </w:pPr>
            <w:r>
              <w:rPr>
                <w:rFonts w:eastAsia="Corbel" w:cs="Corbel" w:ascii="Corbel" w:hAnsi="Corbel"/>
                <w:b/>
                <w:sz w:val="23"/>
              </w:rPr>
              <w:t>Victoria</w:t>
            </w:r>
          </w:p>
        </w:tc>
        <w:tc>
          <w:tcPr>
            <w:tcW w:w="100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57.579</w:t>
            </w:r>
          </w:p>
        </w:tc>
        <w:tc>
          <w:tcPr>
            <w:tcW w:w="112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59.158</w:t>
            </w:r>
          </w:p>
        </w:tc>
        <w:tc>
          <w:tcPr>
            <w:tcW w:w="112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57.077</w:t>
            </w:r>
          </w:p>
        </w:tc>
        <w:tc>
          <w:tcPr>
            <w:tcW w:w="112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58.017</w:t>
            </w:r>
          </w:p>
        </w:tc>
        <w:tc>
          <w:tcPr>
            <w:tcW w:w="114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58.896</w:t>
            </w:r>
          </w:p>
        </w:tc>
        <w:tc>
          <w:tcPr>
            <w:tcW w:w="114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290.727</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sz w:val="23"/>
              </w:rPr>
            </w:pPr>
            <w:r>
              <w:rPr>
                <w:rFonts w:eastAsia="Corbel" w:cs="Corbel" w:ascii="Corbel" w:hAnsi="Corbel"/>
                <w:sz w:val="23"/>
              </w:rPr>
              <w:t>Legal aid commissions</w:t>
            </w:r>
          </w:p>
        </w:tc>
        <w:tc>
          <w:tcPr>
            <w:tcW w:w="100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47.912</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48.642</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49.287</w:t>
            </w:r>
          </w:p>
        </w:tc>
        <w:tc>
          <w:tcPr>
            <w:tcW w:w="112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49.939</w:t>
            </w:r>
          </w:p>
        </w:tc>
        <w:tc>
          <w:tcPr>
            <w:tcW w:w="11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50.518</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246.298</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Community legal centres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5.424</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6.085</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6.836</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6.938</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7.046</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32.329</w:t>
            </w:r>
          </w:p>
        </w:tc>
      </w:tr>
      <w:tr>
        <w:trPr>
          <w:trHeight w:val="274" w:hRule="atLeast"/>
        </w:trPr>
        <w:tc>
          <w:tcPr>
            <w:tcW w:w="3420" w:type="dxa"/>
            <w:tcBorders>
              <w:left w:val="single" w:sz="8" w:space="0" w:color="000000"/>
              <w:right w:val="single" w:sz="8" w:space="0" w:color="000000"/>
            </w:tcBorders>
          </w:tcPr>
          <w:p>
            <w:pPr>
              <w:pStyle w:val="Normal"/>
              <w:spacing w:lineRule="exact" w:line="274"/>
              <w:ind w:left="400" w:right="0"/>
              <w:rPr>
                <w:rFonts w:ascii="Corbel" w:hAnsi="Corbel" w:eastAsia="Corbel" w:cs="Corbel"/>
                <w:i/>
                <w:i/>
                <w:sz w:val="23"/>
              </w:rPr>
            </w:pPr>
            <w:r>
              <w:rPr>
                <w:rFonts w:eastAsia="Corbel" w:cs="Corbel" w:ascii="Corbel" w:hAnsi="Corbel"/>
                <w:i/>
                <w:sz w:val="23"/>
              </w:rPr>
              <w:t>Community legal centres</w:t>
            </w:r>
          </w:p>
        </w:tc>
        <w:tc>
          <w:tcPr>
            <w:tcW w:w="100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3.652</w:t>
            </w:r>
          </w:p>
        </w:tc>
        <w:tc>
          <w:tcPr>
            <w:tcW w:w="112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3.652</w:t>
            </w:r>
          </w:p>
        </w:tc>
        <w:tc>
          <w:tcPr>
            <w:tcW w:w="112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w:t>
            </w:r>
          </w:p>
        </w:tc>
        <w:tc>
          <w:tcPr>
            <w:tcW w:w="1120" w:type="dxa"/>
            <w:tcBorders>
              <w:right w:val="single" w:sz="8" w:space="0" w:color="000000"/>
            </w:tcBorders>
          </w:tcPr>
          <w:p>
            <w:pPr>
              <w:pStyle w:val="Normal"/>
              <w:spacing w:lineRule="exact" w:line="274"/>
              <w:jc w:val="right"/>
              <w:rPr>
                <w:rFonts w:ascii="Corbel" w:hAnsi="Corbel" w:eastAsia="Corbel" w:cs="Corbel"/>
                <w:i/>
                <w:i/>
                <w:sz w:val="23"/>
              </w:rPr>
            </w:pPr>
            <w:r>
              <w:rPr>
                <w:rFonts w:eastAsia="Corbel" w:cs="Corbel" w:ascii="Corbel" w:hAnsi="Corbel"/>
                <w:i/>
                <w:sz w:val="23"/>
              </w:rPr>
              <w:t>-</w:t>
            </w:r>
          </w:p>
        </w:tc>
        <w:tc>
          <w:tcPr>
            <w:tcW w:w="114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w:t>
            </w:r>
          </w:p>
        </w:tc>
        <w:tc>
          <w:tcPr>
            <w:tcW w:w="114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7.304</w:t>
            </w:r>
          </w:p>
        </w:tc>
      </w:tr>
      <w:tr>
        <w:trPr>
          <w:trHeight w:val="266" w:hRule="atLeast"/>
        </w:trPr>
        <w:tc>
          <w:tcPr>
            <w:tcW w:w="3420" w:type="dxa"/>
            <w:tcBorders>
              <w:left w:val="single" w:sz="8" w:space="0" w:color="000000"/>
              <w:right w:val="single" w:sz="8" w:space="0" w:color="000000"/>
            </w:tcBorders>
          </w:tcPr>
          <w:p>
            <w:pPr>
              <w:pStyle w:val="Normal"/>
              <w:spacing w:lineRule="exact" w:line="266"/>
              <w:ind w:left="400" w:right="0"/>
              <w:rPr>
                <w:rFonts w:ascii="Corbel" w:hAnsi="Corbel" w:eastAsia="Corbel" w:cs="Corbel"/>
                <w:i/>
                <w:i/>
                <w:sz w:val="23"/>
              </w:rPr>
            </w:pPr>
            <w:r>
              <w:rPr>
                <w:rFonts w:eastAsia="Corbel" w:cs="Corbel" w:ascii="Corbel" w:hAnsi="Corbel"/>
                <w:i/>
                <w:sz w:val="23"/>
              </w:rPr>
              <w:t>(Schedule C)</w:t>
            </w:r>
          </w:p>
        </w:tc>
        <w:tc>
          <w:tcPr>
            <w:tcW w:w="100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5"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SACS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0.591</w:t>
            </w:r>
          </w:p>
        </w:tc>
        <w:tc>
          <w:tcPr>
            <w:tcW w:w="1120" w:type="dxa"/>
            <w:tcBorders>
              <w:right w:val="single" w:sz="8" w:space="0" w:color="000000"/>
            </w:tcBorders>
          </w:tcPr>
          <w:p>
            <w:pPr>
              <w:pStyle w:val="Normal"/>
              <w:spacing w:lineRule="atLeast" w:line="0"/>
              <w:ind w:right="28"/>
              <w:jc w:val="right"/>
              <w:rPr>
                <w:rFonts w:ascii="Corbel" w:hAnsi="Corbel" w:eastAsia="Corbel" w:cs="Corbel"/>
                <w:i/>
                <w:i/>
                <w:sz w:val="23"/>
              </w:rPr>
            </w:pPr>
            <w:r>
              <w:rPr>
                <w:rFonts w:eastAsia="Corbel" w:cs="Corbel" w:ascii="Corbel" w:hAnsi="Corbel"/>
                <w:i/>
                <w:sz w:val="23"/>
              </w:rPr>
              <w:t>0.779</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0.954</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1.140</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1.332</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4.796</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sz w:val="23"/>
              </w:rPr>
            </w:pPr>
            <w:r>
              <w:rPr>
                <w:rFonts w:eastAsia="Corbel" w:cs="Corbel" w:ascii="Corbel" w:hAnsi="Corbel"/>
                <w:sz w:val="23"/>
              </w:rPr>
              <w:t>Community legal centres total</w:t>
            </w:r>
          </w:p>
        </w:tc>
        <w:tc>
          <w:tcPr>
            <w:tcW w:w="100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9.667</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10.516</w:t>
            </w:r>
          </w:p>
        </w:tc>
        <w:tc>
          <w:tcPr>
            <w:tcW w:w="112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7.79</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8.078</w:t>
            </w:r>
          </w:p>
        </w:tc>
        <w:tc>
          <w:tcPr>
            <w:tcW w:w="11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8.378</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44.429</w:t>
            </w:r>
          </w:p>
        </w:tc>
      </w:tr>
      <w:tr>
        <w:trPr>
          <w:trHeight w:val="23" w:hRule="atLeast"/>
        </w:trPr>
        <w:tc>
          <w:tcPr>
            <w:tcW w:w="34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72" w:hRule="atLeast"/>
        </w:trPr>
        <w:tc>
          <w:tcPr>
            <w:tcW w:w="3420" w:type="dxa"/>
            <w:tcBorders>
              <w:left w:val="single" w:sz="8" w:space="0" w:color="000000"/>
              <w:right w:val="single" w:sz="8" w:space="0" w:color="000000"/>
            </w:tcBorders>
          </w:tcPr>
          <w:p>
            <w:pPr>
              <w:pStyle w:val="Normal"/>
              <w:spacing w:lineRule="exact" w:line="272"/>
              <w:ind w:left="120" w:right="0"/>
              <w:rPr>
                <w:rFonts w:ascii="Corbel" w:hAnsi="Corbel" w:eastAsia="Corbel" w:cs="Corbel"/>
                <w:b/>
                <w:sz w:val="23"/>
              </w:rPr>
            </w:pPr>
            <w:r>
              <w:rPr>
                <w:rFonts w:eastAsia="Corbel" w:cs="Corbel" w:ascii="Corbel" w:hAnsi="Corbel"/>
                <w:b/>
                <w:sz w:val="23"/>
              </w:rPr>
              <w:t>Queensland</w:t>
            </w:r>
          </w:p>
        </w:tc>
        <w:tc>
          <w:tcPr>
            <w:tcW w:w="100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50.060</w:t>
            </w:r>
          </w:p>
        </w:tc>
        <w:tc>
          <w:tcPr>
            <w:tcW w:w="112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51.401</w:t>
            </w:r>
          </w:p>
        </w:tc>
        <w:tc>
          <w:tcPr>
            <w:tcW w:w="112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50.106</w:t>
            </w:r>
          </w:p>
        </w:tc>
        <w:tc>
          <w:tcPr>
            <w:tcW w:w="112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51.027</w:t>
            </w:r>
          </w:p>
        </w:tc>
        <w:tc>
          <w:tcPr>
            <w:tcW w:w="114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51.900</w:t>
            </w:r>
          </w:p>
        </w:tc>
        <w:tc>
          <w:tcPr>
            <w:tcW w:w="114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254.494</w:t>
            </w:r>
          </w:p>
        </w:tc>
      </w:tr>
      <w:tr>
        <w:trPr>
          <w:trHeight w:val="285"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sz w:val="23"/>
              </w:rPr>
            </w:pPr>
            <w:r>
              <w:rPr>
                <w:rFonts w:eastAsia="Corbel" w:cs="Corbel" w:ascii="Corbel" w:hAnsi="Corbel"/>
                <w:sz w:val="23"/>
              </w:rPr>
              <w:t>Legal aid commissions</w:t>
            </w:r>
          </w:p>
        </w:tc>
        <w:tc>
          <w:tcPr>
            <w:tcW w:w="100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41.691</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42.456</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43.148</w:t>
            </w:r>
          </w:p>
        </w:tc>
        <w:tc>
          <w:tcPr>
            <w:tcW w:w="112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43.850</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44.493</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215.638</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Community legal centres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4.869</w:t>
            </w:r>
          </w:p>
        </w:tc>
        <w:tc>
          <w:tcPr>
            <w:tcW w:w="1120" w:type="dxa"/>
            <w:tcBorders>
              <w:right w:val="single" w:sz="8" w:space="0" w:color="000000"/>
            </w:tcBorders>
          </w:tcPr>
          <w:p>
            <w:pPr>
              <w:pStyle w:val="Normal"/>
              <w:spacing w:lineRule="atLeast" w:line="0"/>
              <w:ind w:right="28"/>
              <w:jc w:val="right"/>
              <w:rPr>
                <w:rFonts w:ascii="Corbel" w:hAnsi="Corbel" w:eastAsia="Corbel" w:cs="Corbel"/>
                <w:i/>
                <w:i/>
                <w:sz w:val="23"/>
              </w:rPr>
            </w:pPr>
            <w:r>
              <w:rPr>
                <w:rFonts w:eastAsia="Corbel" w:cs="Corbel" w:ascii="Corbel" w:hAnsi="Corbel"/>
                <w:i/>
                <w:sz w:val="23"/>
              </w:rPr>
              <w:t>5.331</w:t>
            </w:r>
          </w:p>
        </w:tc>
        <w:tc>
          <w:tcPr>
            <w:tcW w:w="1120" w:type="dxa"/>
            <w:tcBorders>
              <w:right w:val="single" w:sz="8" w:space="0" w:color="000000"/>
            </w:tcBorders>
          </w:tcPr>
          <w:p>
            <w:pPr>
              <w:pStyle w:val="Normal"/>
              <w:spacing w:lineRule="atLeast" w:line="0"/>
              <w:ind w:right="28"/>
              <w:jc w:val="right"/>
              <w:rPr>
                <w:rFonts w:ascii="Corbel" w:hAnsi="Corbel" w:eastAsia="Corbel" w:cs="Corbel"/>
                <w:i/>
                <w:i/>
                <w:sz w:val="23"/>
              </w:rPr>
            </w:pPr>
            <w:r>
              <w:rPr>
                <w:rFonts w:eastAsia="Corbel" w:cs="Corbel" w:ascii="Corbel" w:hAnsi="Corbel"/>
                <w:i/>
                <w:sz w:val="23"/>
              </w:rPr>
              <w:t>5.712</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5.812</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5.919</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27.644</w:t>
            </w:r>
          </w:p>
        </w:tc>
      </w:tr>
      <w:tr>
        <w:trPr>
          <w:trHeight w:val="289"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Community legal centres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2.512</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2.512</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w:t>
            </w:r>
          </w:p>
        </w:tc>
        <w:tc>
          <w:tcPr>
            <w:tcW w:w="1120" w:type="dxa"/>
            <w:tcBorders>
              <w:right w:val="single" w:sz="8" w:space="0" w:color="000000"/>
            </w:tcBorders>
          </w:tcPr>
          <w:p>
            <w:pPr>
              <w:pStyle w:val="Normal"/>
              <w:spacing w:lineRule="atLeast" w:line="0"/>
              <w:jc w:val="right"/>
              <w:rPr>
                <w:rFonts w:ascii="Corbel" w:hAnsi="Corbel" w:eastAsia="Corbel" w:cs="Corbel"/>
                <w:i/>
                <w:i/>
                <w:sz w:val="23"/>
              </w:rPr>
            </w:pPr>
            <w:r>
              <w:rPr>
                <w:rFonts w:eastAsia="Corbel" w:cs="Corbel" w:ascii="Corbel" w:hAnsi="Corbel"/>
                <w:i/>
                <w:sz w:val="23"/>
              </w:rPr>
              <w:t>-</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5.023</w:t>
            </w:r>
          </w:p>
        </w:tc>
      </w:tr>
      <w:tr>
        <w:trPr>
          <w:trHeight w:val="266" w:hRule="atLeast"/>
        </w:trPr>
        <w:tc>
          <w:tcPr>
            <w:tcW w:w="3420" w:type="dxa"/>
            <w:tcBorders>
              <w:left w:val="single" w:sz="8" w:space="0" w:color="000000"/>
              <w:right w:val="single" w:sz="8" w:space="0" w:color="000000"/>
            </w:tcBorders>
          </w:tcPr>
          <w:p>
            <w:pPr>
              <w:pStyle w:val="Normal"/>
              <w:spacing w:lineRule="exact" w:line="266"/>
              <w:ind w:left="400" w:right="0"/>
              <w:rPr>
                <w:rFonts w:ascii="Corbel" w:hAnsi="Corbel" w:eastAsia="Corbel" w:cs="Corbel"/>
                <w:i/>
                <w:i/>
                <w:sz w:val="23"/>
              </w:rPr>
            </w:pPr>
            <w:r>
              <w:rPr>
                <w:rFonts w:eastAsia="Corbel" w:cs="Corbel" w:ascii="Corbel" w:hAnsi="Corbel"/>
                <w:i/>
                <w:sz w:val="23"/>
              </w:rPr>
              <w:t>(Schedule C)</w:t>
            </w:r>
          </w:p>
        </w:tc>
        <w:tc>
          <w:tcPr>
            <w:tcW w:w="100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5"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SACS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0.988</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1.102</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1.246</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1.365</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1.488</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6.189</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sz w:val="23"/>
              </w:rPr>
            </w:pPr>
            <w:r>
              <w:rPr>
                <w:rFonts w:eastAsia="Corbel" w:cs="Corbel" w:ascii="Corbel" w:hAnsi="Corbel"/>
                <w:sz w:val="23"/>
              </w:rPr>
              <w:t>Community legal centres total</w:t>
            </w:r>
          </w:p>
        </w:tc>
        <w:tc>
          <w:tcPr>
            <w:tcW w:w="100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8.369</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8.945</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6.958</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7.177</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7.407</w:t>
            </w:r>
          </w:p>
        </w:tc>
        <w:tc>
          <w:tcPr>
            <w:tcW w:w="11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38.856</w:t>
            </w:r>
          </w:p>
        </w:tc>
      </w:tr>
      <w:tr>
        <w:trPr>
          <w:trHeight w:val="23" w:hRule="atLeast"/>
        </w:trPr>
        <w:tc>
          <w:tcPr>
            <w:tcW w:w="34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72" w:hRule="atLeast"/>
        </w:trPr>
        <w:tc>
          <w:tcPr>
            <w:tcW w:w="3420" w:type="dxa"/>
            <w:tcBorders>
              <w:left w:val="single" w:sz="8" w:space="0" w:color="000000"/>
              <w:right w:val="single" w:sz="8" w:space="0" w:color="000000"/>
            </w:tcBorders>
          </w:tcPr>
          <w:p>
            <w:pPr>
              <w:pStyle w:val="Normal"/>
              <w:spacing w:lineRule="exact" w:line="272"/>
              <w:ind w:left="120" w:right="0"/>
              <w:rPr>
                <w:rFonts w:ascii="Corbel" w:hAnsi="Corbel" w:eastAsia="Corbel" w:cs="Corbel"/>
                <w:b/>
                <w:sz w:val="23"/>
              </w:rPr>
            </w:pPr>
            <w:r>
              <w:rPr>
                <w:rFonts w:eastAsia="Corbel" w:cs="Corbel" w:ascii="Corbel" w:hAnsi="Corbel"/>
                <w:b/>
                <w:sz w:val="23"/>
              </w:rPr>
              <w:t>Western Australia</w:t>
            </w:r>
          </w:p>
        </w:tc>
        <w:tc>
          <w:tcPr>
            <w:tcW w:w="100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29.021</w:t>
            </w:r>
          </w:p>
        </w:tc>
        <w:tc>
          <w:tcPr>
            <w:tcW w:w="112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29.851</w:t>
            </w:r>
          </w:p>
        </w:tc>
        <w:tc>
          <w:tcPr>
            <w:tcW w:w="112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28.801</w:t>
            </w:r>
          </w:p>
        </w:tc>
        <w:tc>
          <w:tcPr>
            <w:tcW w:w="112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29.543</w:t>
            </w:r>
          </w:p>
        </w:tc>
        <w:tc>
          <w:tcPr>
            <w:tcW w:w="114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30.260</w:t>
            </w:r>
          </w:p>
        </w:tc>
        <w:tc>
          <w:tcPr>
            <w:tcW w:w="114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147.476</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sz w:val="23"/>
              </w:rPr>
            </w:pPr>
            <w:r>
              <w:rPr>
                <w:rFonts w:eastAsia="Corbel" w:cs="Corbel" w:ascii="Corbel" w:hAnsi="Corbel"/>
                <w:sz w:val="23"/>
              </w:rPr>
              <w:t>Legal aid commissions</w:t>
            </w:r>
          </w:p>
        </w:tc>
        <w:tc>
          <w:tcPr>
            <w:tcW w:w="100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23.480</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24.030</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24.538</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25.053</w:t>
            </w:r>
          </w:p>
        </w:tc>
        <w:tc>
          <w:tcPr>
            <w:tcW w:w="11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25.534</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122.635</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Community legal centres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2.329</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2.478</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3.523</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3.600</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3.680</w:t>
            </w:r>
          </w:p>
        </w:tc>
        <w:tc>
          <w:tcPr>
            <w:tcW w:w="1140" w:type="dxa"/>
            <w:tcBorders>
              <w:right w:val="single" w:sz="8" w:space="0" w:color="000000"/>
            </w:tcBorders>
          </w:tcPr>
          <w:p>
            <w:pPr>
              <w:pStyle w:val="Normal"/>
              <w:spacing w:lineRule="atLeast" w:line="0"/>
              <w:ind w:right="28"/>
              <w:jc w:val="right"/>
              <w:rPr>
                <w:rFonts w:ascii="Corbel" w:hAnsi="Corbel" w:eastAsia="Corbel" w:cs="Corbel"/>
                <w:i/>
                <w:i/>
                <w:sz w:val="23"/>
              </w:rPr>
            </w:pPr>
            <w:r>
              <w:rPr>
                <w:rFonts w:eastAsia="Corbel" w:cs="Corbel" w:ascii="Corbel" w:hAnsi="Corbel"/>
                <w:i/>
                <w:sz w:val="23"/>
              </w:rPr>
              <w:t>15.611</w:t>
            </w:r>
          </w:p>
        </w:tc>
      </w:tr>
      <w:tr>
        <w:trPr>
          <w:trHeight w:val="274" w:hRule="atLeast"/>
        </w:trPr>
        <w:tc>
          <w:tcPr>
            <w:tcW w:w="3420" w:type="dxa"/>
            <w:tcBorders>
              <w:left w:val="single" w:sz="8" w:space="0" w:color="000000"/>
              <w:right w:val="single" w:sz="8" w:space="0" w:color="000000"/>
            </w:tcBorders>
          </w:tcPr>
          <w:p>
            <w:pPr>
              <w:pStyle w:val="Normal"/>
              <w:spacing w:lineRule="exact" w:line="274"/>
              <w:ind w:left="400" w:right="0"/>
              <w:rPr>
                <w:rFonts w:ascii="Corbel" w:hAnsi="Corbel" w:eastAsia="Corbel" w:cs="Corbel"/>
                <w:i/>
                <w:i/>
                <w:sz w:val="23"/>
              </w:rPr>
            </w:pPr>
            <w:r>
              <w:rPr>
                <w:rFonts w:eastAsia="Corbel" w:cs="Corbel" w:ascii="Corbel" w:hAnsi="Corbel"/>
                <w:i/>
                <w:sz w:val="23"/>
              </w:rPr>
              <w:t>Community legal centres</w:t>
            </w:r>
          </w:p>
        </w:tc>
        <w:tc>
          <w:tcPr>
            <w:tcW w:w="100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2.718</w:t>
            </w:r>
          </w:p>
        </w:tc>
        <w:tc>
          <w:tcPr>
            <w:tcW w:w="112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2.718</w:t>
            </w:r>
          </w:p>
        </w:tc>
        <w:tc>
          <w:tcPr>
            <w:tcW w:w="112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w:t>
            </w:r>
          </w:p>
        </w:tc>
        <w:tc>
          <w:tcPr>
            <w:tcW w:w="1120" w:type="dxa"/>
            <w:tcBorders>
              <w:right w:val="single" w:sz="8" w:space="0" w:color="000000"/>
            </w:tcBorders>
          </w:tcPr>
          <w:p>
            <w:pPr>
              <w:pStyle w:val="Normal"/>
              <w:spacing w:lineRule="exact" w:line="274"/>
              <w:jc w:val="right"/>
              <w:rPr>
                <w:rFonts w:ascii="Corbel" w:hAnsi="Corbel" w:eastAsia="Corbel" w:cs="Corbel"/>
                <w:i/>
                <w:i/>
                <w:sz w:val="23"/>
              </w:rPr>
            </w:pPr>
            <w:r>
              <w:rPr>
                <w:rFonts w:eastAsia="Corbel" w:cs="Corbel" w:ascii="Corbel" w:hAnsi="Corbel"/>
                <w:i/>
                <w:sz w:val="23"/>
              </w:rPr>
              <w:t>-</w:t>
            </w:r>
          </w:p>
        </w:tc>
        <w:tc>
          <w:tcPr>
            <w:tcW w:w="114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w:t>
            </w:r>
          </w:p>
        </w:tc>
        <w:tc>
          <w:tcPr>
            <w:tcW w:w="1140" w:type="dxa"/>
            <w:tcBorders>
              <w:right w:val="single" w:sz="8" w:space="0" w:color="000000"/>
            </w:tcBorders>
          </w:tcPr>
          <w:p>
            <w:pPr>
              <w:pStyle w:val="Normal"/>
              <w:spacing w:lineRule="exact" w:line="274"/>
              <w:ind w:right="28"/>
              <w:jc w:val="right"/>
              <w:rPr>
                <w:rFonts w:ascii="Corbel" w:hAnsi="Corbel" w:eastAsia="Corbel" w:cs="Corbel"/>
                <w:i/>
                <w:i/>
                <w:sz w:val="23"/>
              </w:rPr>
            </w:pPr>
            <w:r>
              <w:rPr>
                <w:rFonts w:eastAsia="Corbel" w:cs="Corbel" w:ascii="Corbel" w:hAnsi="Corbel"/>
                <w:i/>
                <w:sz w:val="23"/>
              </w:rPr>
              <w:t>5.435</w:t>
            </w:r>
          </w:p>
        </w:tc>
      </w:tr>
      <w:tr>
        <w:trPr>
          <w:trHeight w:val="266" w:hRule="atLeast"/>
        </w:trPr>
        <w:tc>
          <w:tcPr>
            <w:tcW w:w="3420" w:type="dxa"/>
            <w:tcBorders>
              <w:left w:val="single" w:sz="8" w:space="0" w:color="000000"/>
              <w:right w:val="single" w:sz="8" w:space="0" w:color="000000"/>
            </w:tcBorders>
          </w:tcPr>
          <w:p>
            <w:pPr>
              <w:pStyle w:val="Normal"/>
              <w:spacing w:lineRule="exact" w:line="266"/>
              <w:ind w:left="400" w:right="0"/>
              <w:rPr>
                <w:rFonts w:ascii="Corbel" w:hAnsi="Corbel" w:eastAsia="Corbel" w:cs="Corbel"/>
                <w:i/>
                <w:i/>
                <w:sz w:val="23"/>
              </w:rPr>
            </w:pPr>
            <w:r>
              <w:rPr>
                <w:rFonts w:eastAsia="Corbel" w:cs="Corbel" w:ascii="Corbel" w:hAnsi="Corbel"/>
                <w:i/>
                <w:sz w:val="23"/>
              </w:rPr>
              <w:t>(Schedule C)</w:t>
            </w:r>
          </w:p>
        </w:tc>
        <w:tc>
          <w:tcPr>
            <w:tcW w:w="100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5"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SACS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0.494</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0.625</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0.740</w:t>
            </w:r>
          </w:p>
        </w:tc>
        <w:tc>
          <w:tcPr>
            <w:tcW w:w="1120" w:type="dxa"/>
            <w:tcBorders>
              <w:right w:val="single" w:sz="8" w:space="0" w:color="000000"/>
            </w:tcBorders>
          </w:tcPr>
          <w:p>
            <w:pPr>
              <w:pStyle w:val="Normal"/>
              <w:spacing w:lineRule="atLeast" w:line="0"/>
              <w:jc w:val="right"/>
              <w:rPr>
                <w:rFonts w:ascii="Corbel" w:hAnsi="Corbel" w:eastAsia="Corbel" w:cs="Corbel"/>
                <w:i/>
                <w:i/>
                <w:sz w:val="23"/>
              </w:rPr>
            </w:pPr>
            <w:r>
              <w:rPr>
                <w:rFonts w:eastAsia="Corbel" w:cs="Corbel" w:ascii="Corbel" w:hAnsi="Corbel"/>
                <w:i/>
                <w:sz w:val="23"/>
              </w:rPr>
              <w:t>0.890</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1.046</w:t>
            </w:r>
          </w:p>
        </w:tc>
        <w:tc>
          <w:tcPr>
            <w:tcW w:w="1140" w:type="dxa"/>
            <w:tcBorders>
              <w:right w:val="single" w:sz="8" w:space="0" w:color="000000"/>
            </w:tcBorders>
          </w:tcPr>
          <w:p>
            <w:pPr>
              <w:pStyle w:val="Normal"/>
              <w:spacing w:lineRule="atLeast" w:line="0"/>
              <w:ind w:right="28"/>
              <w:jc w:val="right"/>
              <w:rPr>
                <w:rFonts w:ascii="Corbel" w:hAnsi="Corbel" w:eastAsia="Corbel" w:cs="Corbel"/>
                <w:i/>
                <w:i/>
                <w:sz w:val="23"/>
              </w:rPr>
            </w:pPr>
            <w:r>
              <w:rPr>
                <w:rFonts w:eastAsia="Corbel" w:cs="Corbel" w:ascii="Corbel" w:hAnsi="Corbel"/>
                <w:i/>
                <w:sz w:val="23"/>
              </w:rPr>
              <w:t>3.795</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sz w:val="23"/>
              </w:rPr>
            </w:pPr>
            <w:r>
              <w:rPr>
                <w:rFonts w:eastAsia="Corbel" w:cs="Corbel" w:ascii="Corbel" w:hAnsi="Corbel"/>
                <w:sz w:val="23"/>
              </w:rPr>
              <w:t>Community legal centres total</w:t>
            </w:r>
          </w:p>
        </w:tc>
        <w:tc>
          <w:tcPr>
            <w:tcW w:w="100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5.541</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5.821</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4.263</w:t>
            </w:r>
          </w:p>
        </w:tc>
        <w:tc>
          <w:tcPr>
            <w:tcW w:w="112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4.49</w:t>
            </w:r>
          </w:p>
        </w:tc>
        <w:tc>
          <w:tcPr>
            <w:tcW w:w="11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4.726</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24.841</w:t>
            </w:r>
          </w:p>
        </w:tc>
      </w:tr>
      <w:tr>
        <w:trPr>
          <w:trHeight w:val="23" w:hRule="atLeast"/>
        </w:trPr>
        <w:tc>
          <w:tcPr>
            <w:tcW w:w="34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72" w:hRule="atLeast"/>
        </w:trPr>
        <w:tc>
          <w:tcPr>
            <w:tcW w:w="3420" w:type="dxa"/>
            <w:tcBorders>
              <w:left w:val="single" w:sz="8" w:space="0" w:color="000000"/>
              <w:right w:val="single" w:sz="8" w:space="0" w:color="000000"/>
            </w:tcBorders>
          </w:tcPr>
          <w:p>
            <w:pPr>
              <w:pStyle w:val="Normal"/>
              <w:spacing w:lineRule="exact" w:line="272"/>
              <w:ind w:left="120" w:right="0"/>
              <w:rPr>
                <w:rFonts w:ascii="Corbel" w:hAnsi="Corbel" w:eastAsia="Corbel" w:cs="Corbel"/>
                <w:b/>
                <w:sz w:val="23"/>
              </w:rPr>
            </w:pPr>
            <w:r>
              <w:rPr>
                <w:rFonts w:eastAsia="Corbel" w:cs="Corbel" w:ascii="Corbel" w:hAnsi="Corbel"/>
                <w:b/>
                <w:sz w:val="23"/>
              </w:rPr>
              <w:t>South Australia</w:t>
            </w:r>
          </w:p>
        </w:tc>
        <w:tc>
          <w:tcPr>
            <w:tcW w:w="100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19.483</w:t>
            </w:r>
          </w:p>
        </w:tc>
        <w:tc>
          <w:tcPr>
            <w:tcW w:w="112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19.789</w:t>
            </w:r>
          </w:p>
        </w:tc>
        <w:tc>
          <w:tcPr>
            <w:tcW w:w="112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18.816</w:t>
            </w:r>
          </w:p>
        </w:tc>
        <w:tc>
          <w:tcPr>
            <w:tcW w:w="112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19.068</w:t>
            </w:r>
          </w:p>
        </w:tc>
        <w:tc>
          <w:tcPr>
            <w:tcW w:w="114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19.302</w:t>
            </w:r>
          </w:p>
        </w:tc>
        <w:tc>
          <w:tcPr>
            <w:tcW w:w="114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96.458</w:t>
            </w:r>
          </w:p>
        </w:tc>
      </w:tr>
      <w:tr>
        <w:trPr>
          <w:trHeight w:val="285"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sz w:val="23"/>
              </w:rPr>
            </w:pPr>
            <w:r>
              <w:rPr>
                <w:rFonts w:eastAsia="Corbel" w:cs="Corbel" w:ascii="Corbel" w:hAnsi="Corbel"/>
                <w:sz w:val="23"/>
              </w:rPr>
              <w:t>Legal aid commissions</w:t>
            </w:r>
          </w:p>
        </w:tc>
        <w:tc>
          <w:tcPr>
            <w:tcW w:w="100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15.699</w:t>
            </w:r>
          </w:p>
        </w:tc>
        <w:tc>
          <w:tcPr>
            <w:tcW w:w="112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15.879</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16.034</w:t>
            </w:r>
          </w:p>
        </w:tc>
        <w:tc>
          <w:tcPr>
            <w:tcW w:w="112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16.191</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16.326</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80.129</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Community legal centres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0.348</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0.411</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2.418</w:t>
            </w:r>
          </w:p>
        </w:tc>
        <w:tc>
          <w:tcPr>
            <w:tcW w:w="1120" w:type="dxa"/>
            <w:tcBorders>
              <w:right w:val="single" w:sz="8" w:space="0" w:color="000000"/>
            </w:tcBorders>
          </w:tcPr>
          <w:p>
            <w:pPr>
              <w:pStyle w:val="Normal"/>
              <w:spacing w:lineRule="atLeast" w:line="0"/>
              <w:jc w:val="right"/>
              <w:rPr>
                <w:rFonts w:ascii="Corbel" w:hAnsi="Corbel" w:eastAsia="Corbel" w:cs="Corbel"/>
                <w:i/>
                <w:i/>
                <w:sz w:val="23"/>
              </w:rPr>
            </w:pPr>
            <w:r>
              <w:rPr>
                <w:rFonts w:eastAsia="Corbel" w:cs="Corbel" w:ascii="Corbel" w:hAnsi="Corbel"/>
                <w:i/>
                <w:sz w:val="23"/>
              </w:rPr>
              <w:t>2.444</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2.472</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8.092</w:t>
            </w:r>
          </w:p>
        </w:tc>
      </w:tr>
      <w:tr>
        <w:trPr>
          <w:trHeight w:val="289"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Community legal centres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3.188</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3.188</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w:t>
            </w:r>
          </w:p>
        </w:tc>
        <w:tc>
          <w:tcPr>
            <w:tcW w:w="1120" w:type="dxa"/>
            <w:tcBorders>
              <w:right w:val="single" w:sz="8" w:space="0" w:color="000000"/>
            </w:tcBorders>
          </w:tcPr>
          <w:p>
            <w:pPr>
              <w:pStyle w:val="Normal"/>
              <w:spacing w:lineRule="atLeast" w:line="0"/>
              <w:jc w:val="right"/>
              <w:rPr>
                <w:rFonts w:ascii="Corbel" w:hAnsi="Corbel" w:eastAsia="Corbel" w:cs="Corbel"/>
                <w:i/>
                <w:i/>
                <w:sz w:val="23"/>
              </w:rPr>
            </w:pPr>
            <w:r>
              <w:rPr>
                <w:rFonts w:eastAsia="Corbel" w:cs="Corbel" w:ascii="Corbel" w:hAnsi="Corbel"/>
                <w:i/>
                <w:sz w:val="23"/>
              </w:rPr>
              <w:t>-</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w:t>
            </w:r>
          </w:p>
        </w:tc>
        <w:tc>
          <w:tcPr>
            <w:tcW w:w="1140" w:type="dxa"/>
            <w:tcBorders>
              <w:right w:val="single" w:sz="8" w:space="0" w:color="000000"/>
            </w:tcBorders>
          </w:tcPr>
          <w:p>
            <w:pPr>
              <w:pStyle w:val="Normal"/>
              <w:spacing w:lineRule="atLeast" w:line="0"/>
              <w:ind w:right="28"/>
              <w:jc w:val="right"/>
              <w:rPr>
                <w:rFonts w:ascii="Corbel" w:hAnsi="Corbel" w:eastAsia="Corbel" w:cs="Corbel"/>
                <w:i/>
                <w:i/>
                <w:sz w:val="23"/>
              </w:rPr>
            </w:pPr>
            <w:r>
              <w:rPr>
                <w:rFonts w:eastAsia="Corbel" w:cs="Corbel" w:ascii="Corbel" w:hAnsi="Corbel"/>
                <w:i/>
                <w:sz w:val="23"/>
              </w:rPr>
              <w:t>6.377</w:t>
            </w:r>
          </w:p>
        </w:tc>
      </w:tr>
      <w:tr>
        <w:trPr>
          <w:trHeight w:val="266" w:hRule="atLeast"/>
        </w:trPr>
        <w:tc>
          <w:tcPr>
            <w:tcW w:w="3420" w:type="dxa"/>
            <w:tcBorders>
              <w:left w:val="single" w:sz="8" w:space="0" w:color="000000"/>
              <w:right w:val="single" w:sz="8" w:space="0" w:color="000000"/>
            </w:tcBorders>
          </w:tcPr>
          <w:p>
            <w:pPr>
              <w:pStyle w:val="Normal"/>
              <w:spacing w:lineRule="exact" w:line="266"/>
              <w:ind w:left="400" w:right="0"/>
              <w:rPr>
                <w:rFonts w:ascii="Corbel" w:hAnsi="Corbel" w:eastAsia="Corbel" w:cs="Corbel"/>
                <w:i/>
                <w:i/>
                <w:sz w:val="23"/>
              </w:rPr>
            </w:pPr>
            <w:r>
              <w:rPr>
                <w:rFonts w:eastAsia="Corbel" w:cs="Corbel" w:ascii="Corbel" w:hAnsi="Corbel"/>
                <w:i/>
                <w:sz w:val="23"/>
              </w:rPr>
              <w:t>(Schedule C)</w:t>
            </w:r>
          </w:p>
        </w:tc>
        <w:tc>
          <w:tcPr>
            <w:tcW w:w="100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5"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SACS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0.248</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0.311</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0.364</w:t>
            </w:r>
          </w:p>
        </w:tc>
        <w:tc>
          <w:tcPr>
            <w:tcW w:w="1120" w:type="dxa"/>
            <w:tcBorders>
              <w:right w:val="single" w:sz="8" w:space="0" w:color="000000"/>
            </w:tcBorders>
          </w:tcPr>
          <w:p>
            <w:pPr>
              <w:pStyle w:val="Normal"/>
              <w:spacing w:lineRule="atLeast" w:line="0"/>
              <w:jc w:val="right"/>
              <w:rPr>
                <w:rFonts w:ascii="Corbel" w:hAnsi="Corbel" w:eastAsia="Corbel" w:cs="Corbel"/>
                <w:i/>
                <w:i/>
                <w:sz w:val="23"/>
              </w:rPr>
            </w:pPr>
            <w:r>
              <w:rPr>
                <w:rFonts w:eastAsia="Corbel" w:cs="Corbel" w:ascii="Corbel" w:hAnsi="Corbel"/>
                <w:i/>
                <w:sz w:val="23"/>
              </w:rPr>
              <w:t>0.433</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0.504</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1.860</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sz w:val="23"/>
              </w:rPr>
            </w:pPr>
            <w:r>
              <w:rPr>
                <w:rFonts w:eastAsia="Corbel" w:cs="Corbel" w:ascii="Corbel" w:hAnsi="Corbel"/>
                <w:sz w:val="23"/>
              </w:rPr>
              <w:t>Community legal centres total</w:t>
            </w:r>
          </w:p>
        </w:tc>
        <w:tc>
          <w:tcPr>
            <w:tcW w:w="100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3.784</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3.91</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2.782</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2.877</w:t>
            </w:r>
          </w:p>
        </w:tc>
        <w:tc>
          <w:tcPr>
            <w:tcW w:w="11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2.976</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16.329</w:t>
            </w:r>
          </w:p>
        </w:tc>
      </w:tr>
      <w:tr>
        <w:trPr>
          <w:trHeight w:val="23" w:hRule="atLeast"/>
        </w:trPr>
        <w:tc>
          <w:tcPr>
            <w:tcW w:w="34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72" w:hRule="atLeast"/>
        </w:trPr>
        <w:tc>
          <w:tcPr>
            <w:tcW w:w="3420" w:type="dxa"/>
            <w:tcBorders>
              <w:left w:val="single" w:sz="8" w:space="0" w:color="000000"/>
              <w:right w:val="single" w:sz="8" w:space="0" w:color="000000"/>
            </w:tcBorders>
          </w:tcPr>
          <w:p>
            <w:pPr>
              <w:pStyle w:val="Normal"/>
              <w:spacing w:lineRule="exact" w:line="272"/>
              <w:ind w:left="120" w:right="0"/>
              <w:rPr>
                <w:rFonts w:ascii="Corbel" w:hAnsi="Corbel" w:eastAsia="Corbel" w:cs="Corbel"/>
                <w:b/>
                <w:sz w:val="23"/>
              </w:rPr>
            </w:pPr>
            <w:r>
              <w:rPr>
                <w:rFonts w:eastAsia="Corbel" w:cs="Corbel" w:ascii="Corbel" w:hAnsi="Corbel"/>
                <w:b/>
                <w:sz w:val="23"/>
              </w:rPr>
              <w:t>Tasmania</w:t>
            </w:r>
          </w:p>
        </w:tc>
        <w:tc>
          <w:tcPr>
            <w:tcW w:w="100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7.274</w:t>
            </w:r>
          </w:p>
        </w:tc>
        <w:tc>
          <w:tcPr>
            <w:tcW w:w="112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7.303</w:t>
            </w:r>
          </w:p>
        </w:tc>
        <w:tc>
          <w:tcPr>
            <w:tcW w:w="112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6.939</w:t>
            </w:r>
          </w:p>
        </w:tc>
        <w:tc>
          <w:tcPr>
            <w:tcW w:w="112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7.023</w:t>
            </w:r>
          </w:p>
        </w:tc>
        <w:tc>
          <w:tcPr>
            <w:tcW w:w="1140" w:type="dxa"/>
            <w:tcBorders>
              <w:right w:val="single" w:sz="8" w:space="0" w:color="000000"/>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7.101</w:t>
            </w:r>
          </w:p>
        </w:tc>
        <w:tc>
          <w:tcPr>
            <w:tcW w:w="1140" w:type="dxa"/>
            <w:tcBorders>
              <w:right w:val="single" w:sz="8" w:space="0" w:color="000000"/>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35.640</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sz w:val="23"/>
              </w:rPr>
            </w:pPr>
            <w:r>
              <w:rPr>
                <w:rFonts w:eastAsia="Corbel" w:cs="Corbel" w:ascii="Corbel" w:hAnsi="Corbel"/>
                <w:sz w:val="23"/>
              </w:rPr>
              <w:t>Legal aid commissions</w:t>
            </w:r>
          </w:p>
        </w:tc>
        <w:tc>
          <w:tcPr>
            <w:tcW w:w="100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5.747</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5.804</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5.853</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5.903</w:t>
            </w:r>
          </w:p>
        </w:tc>
        <w:tc>
          <w:tcPr>
            <w:tcW w:w="11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5.945</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29.252</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Community legal centres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0.830</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0.783</w:t>
            </w:r>
          </w:p>
        </w:tc>
        <w:tc>
          <w:tcPr>
            <w:tcW w:w="1120" w:type="dxa"/>
            <w:tcBorders>
              <w:right w:val="single" w:sz="8" w:space="0" w:color="000000"/>
            </w:tcBorders>
          </w:tcPr>
          <w:p>
            <w:pPr>
              <w:pStyle w:val="Normal"/>
              <w:spacing w:lineRule="atLeast" w:line="0"/>
              <w:jc w:val="right"/>
              <w:rPr>
                <w:rFonts w:ascii="Corbel" w:hAnsi="Corbel" w:eastAsia="Corbel" w:cs="Corbel"/>
                <w:i/>
                <w:i/>
                <w:sz w:val="23"/>
              </w:rPr>
            </w:pPr>
            <w:r>
              <w:rPr>
                <w:rFonts w:eastAsia="Corbel" w:cs="Corbel" w:ascii="Corbel" w:hAnsi="Corbel"/>
                <w:i/>
                <w:sz w:val="23"/>
              </w:rPr>
              <w:t>0.944</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0.952</w:t>
            </w:r>
          </w:p>
        </w:tc>
        <w:tc>
          <w:tcPr>
            <w:tcW w:w="1140" w:type="dxa"/>
            <w:tcBorders>
              <w:right w:val="single" w:sz="8" w:space="0" w:color="000000"/>
            </w:tcBorders>
          </w:tcPr>
          <w:p>
            <w:pPr>
              <w:pStyle w:val="Normal"/>
              <w:spacing w:lineRule="atLeast" w:line="0"/>
              <w:jc w:val="right"/>
              <w:rPr>
                <w:rFonts w:ascii="Corbel" w:hAnsi="Corbel" w:eastAsia="Corbel" w:cs="Corbel"/>
                <w:i/>
                <w:i/>
                <w:sz w:val="23"/>
              </w:rPr>
            </w:pPr>
            <w:r>
              <w:rPr>
                <w:rFonts w:eastAsia="Corbel" w:cs="Corbel" w:ascii="Corbel" w:hAnsi="Corbel"/>
                <w:i/>
                <w:sz w:val="23"/>
              </w:rPr>
              <w:t>0.961</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4.471</w:t>
            </w:r>
          </w:p>
        </w:tc>
      </w:tr>
      <w:tr>
        <w:trPr>
          <w:trHeight w:val="274" w:hRule="atLeast"/>
        </w:trPr>
        <w:tc>
          <w:tcPr>
            <w:tcW w:w="3420" w:type="dxa"/>
            <w:tcBorders>
              <w:left w:val="single" w:sz="8" w:space="0" w:color="000000"/>
              <w:right w:val="single" w:sz="8" w:space="0" w:color="000000"/>
            </w:tcBorders>
          </w:tcPr>
          <w:p>
            <w:pPr>
              <w:pStyle w:val="Normal"/>
              <w:spacing w:lineRule="exact" w:line="274"/>
              <w:ind w:left="400" w:right="0"/>
              <w:rPr>
                <w:rFonts w:ascii="Corbel" w:hAnsi="Corbel" w:eastAsia="Corbel" w:cs="Corbel"/>
                <w:i/>
                <w:i/>
                <w:sz w:val="23"/>
              </w:rPr>
            </w:pPr>
            <w:r>
              <w:rPr>
                <w:rFonts w:eastAsia="Corbel" w:cs="Corbel" w:ascii="Corbel" w:hAnsi="Corbel"/>
                <w:i/>
                <w:sz w:val="23"/>
              </w:rPr>
              <w:t>Community legal centres</w:t>
            </w:r>
          </w:p>
        </w:tc>
        <w:tc>
          <w:tcPr>
            <w:tcW w:w="1000" w:type="dxa"/>
            <w:tcBorders>
              <w:right w:val="single" w:sz="8" w:space="0" w:color="000000"/>
            </w:tcBorders>
          </w:tcPr>
          <w:p>
            <w:pPr>
              <w:pStyle w:val="Normal"/>
              <w:spacing w:lineRule="exact" w:line="274"/>
              <w:ind w:right="28"/>
              <w:jc w:val="right"/>
              <w:rPr>
                <w:rFonts w:ascii="Corbel" w:hAnsi="Corbel" w:eastAsia="Corbel" w:cs="Corbel"/>
                <w:i/>
                <w:i/>
                <w:sz w:val="23"/>
              </w:rPr>
            </w:pPr>
            <w:r>
              <w:rPr>
                <w:rFonts w:eastAsia="Corbel" w:cs="Corbel" w:ascii="Corbel" w:hAnsi="Corbel"/>
                <w:i/>
                <w:sz w:val="23"/>
              </w:rPr>
              <w:t>0.597</w:t>
            </w:r>
          </w:p>
        </w:tc>
        <w:tc>
          <w:tcPr>
            <w:tcW w:w="112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0.597</w:t>
            </w:r>
          </w:p>
        </w:tc>
        <w:tc>
          <w:tcPr>
            <w:tcW w:w="112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w:t>
            </w:r>
          </w:p>
        </w:tc>
        <w:tc>
          <w:tcPr>
            <w:tcW w:w="1120" w:type="dxa"/>
            <w:tcBorders>
              <w:right w:val="single" w:sz="8" w:space="0" w:color="000000"/>
            </w:tcBorders>
          </w:tcPr>
          <w:p>
            <w:pPr>
              <w:pStyle w:val="Normal"/>
              <w:spacing w:lineRule="exact" w:line="274"/>
              <w:jc w:val="right"/>
              <w:rPr>
                <w:rFonts w:ascii="Corbel" w:hAnsi="Corbel" w:eastAsia="Corbel" w:cs="Corbel"/>
                <w:i/>
                <w:i/>
                <w:sz w:val="23"/>
              </w:rPr>
            </w:pPr>
            <w:r>
              <w:rPr>
                <w:rFonts w:eastAsia="Corbel" w:cs="Corbel" w:ascii="Corbel" w:hAnsi="Corbel"/>
                <w:i/>
                <w:sz w:val="23"/>
              </w:rPr>
              <w:t>-</w:t>
            </w:r>
          </w:p>
        </w:tc>
        <w:tc>
          <w:tcPr>
            <w:tcW w:w="114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w:t>
            </w:r>
          </w:p>
        </w:tc>
        <w:tc>
          <w:tcPr>
            <w:tcW w:w="1140" w:type="dxa"/>
            <w:tcBorders>
              <w:right w:val="single" w:sz="8" w:space="0" w:color="000000"/>
            </w:tcBorders>
          </w:tcPr>
          <w:p>
            <w:pPr>
              <w:pStyle w:val="Normal"/>
              <w:spacing w:lineRule="exact" w:line="274"/>
              <w:ind w:right="8"/>
              <w:jc w:val="right"/>
              <w:rPr>
                <w:rFonts w:ascii="Corbel" w:hAnsi="Corbel" w:eastAsia="Corbel" w:cs="Corbel"/>
                <w:i/>
                <w:i/>
                <w:sz w:val="23"/>
              </w:rPr>
            </w:pPr>
            <w:r>
              <w:rPr>
                <w:rFonts w:eastAsia="Corbel" w:cs="Corbel" w:ascii="Corbel" w:hAnsi="Corbel"/>
                <w:i/>
                <w:sz w:val="23"/>
              </w:rPr>
              <w:t>1.193</w:t>
            </w:r>
          </w:p>
        </w:tc>
      </w:tr>
      <w:tr>
        <w:trPr>
          <w:trHeight w:val="266" w:hRule="atLeast"/>
        </w:trPr>
        <w:tc>
          <w:tcPr>
            <w:tcW w:w="3420" w:type="dxa"/>
            <w:tcBorders>
              <w:left w:val="single" w:sz="8" w:space="0" w:color="000000"/>
              <w:right w:val="single" w:sz="8" w:space="0" w:color="000000"/>
            </w:tcBorders>
          </w:tcPr>
          <w:p>
            <w:pPr>
              <w:pStyle w:val="Normal"/>
              <w:spacing w:lineRule="exact" w:line="266"/>
              <w:ind w:left="400" w:right="0"/>
              <w:rPr>
                <w:rFonts w:ascii="Corbel" w:hAnsi="Corbel" w:eastAsia="Corbel" w:cs="Corbel"/>
                <w:i/>
                <w:i/>
                <w:sz w:val="23"/>
              </w:rPr>
            </w:pPr>
            <w:r>
              <w:rPr>
                <w:rFonts w:eastAsia="Corbel" w:cs="Corbel" w:ascii="Corbel" w:hAnsi="Corbel"/>
                <w:i/>
                <w:sz w:val="23"/>
              </w:rPr>
              <w:t>(Schedule C)</w:t>
            </w:r>
          </w:p>
        </w:tc>
        <w:tc>
          <w:tcPr>
            <w:tcW w:w="1000" w:type="dxa"/>
            <w:tcBorders>
              <w:right w:val="single" w:sz="8" w:space="0" w:color="000000"/>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0" w:type="dxa"/>
            <w:tcBorders>
              <w:righ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15"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SACS</w:t>
            </w:r>
          </w:p>
        </w:tc>
        <w:tc>
          <w:tcPr>
            <w:tcW w:w="100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0.100</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0.119</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0.142</w:t>
            </w:r>
          </w:p>
        </w:tc>
        <w:tc>
          <w:tcPr>
            <w:tcW w:w="112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0.168</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0.195</w:t>
            </w:r>
          </w:p>
        </w:tc>
        <w:tc>
          <w:tcPr>
            <w:tcW w:w="1140" w:type="dxa"/>
            <w:tcBorders>
              <w:right w:val="single" w:sz="8" w:space="0" w:color="000000"/>
            </w:tcBorders>
          </w:tcPr>
          <w:p>
            <w:pPr>
              <w:pStyle w:val="Normal"/>
              <w:spacing w:lineRule="atLeast" w:line="0"/>
              <w:ind w:right="8"/>
              <w:jc w:val="right"/>
              <w:rPr>
                <w:rFonts w:ascii="Corbel" w:hAnsi="Corbel" w:eastAsia="Corbel" w:cs="Corbel"/>
                <w:i/>
                <w:i/>
                <w:sz w:val="23"/>
              </w:rPr>
            </w:pPr>
            <w:r>
              <w:rPr>
                <w:rFonts w:eastAsia="Corbel" w:cs="Corbel" w:ascii="Corbel" w:hAnsi="Corbel"/>
                <w:i/>
                <w:sz w:val="23"/>
              </w:rPr>
              <w:t>0.724</w:t>
            </w:r>
          </w:p>
        </w:tc>
      </w:tr>
      <w:tr>
        <w:trPr>
          <w:trHeight w:val="300" w:hRule="atLeast"/>
        </w:trPr>
        <w:tc>
          <w:tcPr>
            <w:tcW w:w="3420" w:type="dxa"/>
            <w:tcBorders>
              <w:left w:val="single" w:sz="8" w:space="0" w:color="000000"/>
              <w:right w:val="single" w:sz="8" w:space="0" w:color="000000"/>
            </w:tcBorders>
          </w:tcPr>
          <w:p>
            <w:pPr>
              <w:pStyle w:val="Normal"/>
              <w:spacing w:lineRule="atLeast" w:line="0"/>
              <w:ind w:left="400" w:right="0"/>
              <w:rPr>
                <w:rFonts w:ascii="Corbel" w:hAnsi="Corbel" w:eastAsia="Corbel" w:cs="Corbel"/>
                <w:sz w:val="23"/>
              </w:rPr>
            </w:pPr>
            <w:r>
              <w:rPr>
                <w:rFonts w:eastAsia="Corbel" w:cs="Corbel" w:ascii="Corbel" w:hAnsi="Corbel"/>
                <w:sz w:val="23"/>
              </w:rPr>
              <w:t>Community legal centres total</w:t>
            </w:r>
          </w:p>
        </w:tc>
        <w:tc>
          <w:tcPr>
            <w:tcW w:w="100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1.527</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1.499</w:t>
            </w:r>
          </w:p>
        </w:tc>
        <w:tc>
          <w:tcPr>
            <w:tcW w:w="112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1.086</w:t>
            </w:r>
          </w:p>
        </w:tc>
        <w:tc>
          <w:tcPr>
            <w:tcW w:w="112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1.12</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1.156</w:t>
            </w:r>
          </w:p>
        </w:tc>
        <w:tc>
          <w:tcPr>
            <w:tcW w:w="11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6.388</w:t>
            </w:r>
          </w:p>
        </w:tc>
      </w:tr>
      <w:tr>
        <w:trPr>
          <w:trHeight w:val="23" w:hRule="atLeast"/>
        </w:trPr>
        <w:tc>
          <w:tcPr>
            <w:tcW w:w="342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80" w:right="870" w:gutter="0" w:header="0" w:top="1117" w:footer="0" w:bottom="174"/>
          <w:pgNumType w:fmt="decimal"/>
          <w:formProt w:val="false"/>
          <w:textDirection w:val="lrTb"/>
          <w:docGrid w:type="default" w:linePitch="360" w:charSpace="0"/>
        </w:sectPr>
        <w:pStyle w:val="Normal"/>
        <w:spacing w:lineRule="atLeast" w:line="0"/>
        <w:jc w:val="right"/>
        <w:rPr/>
      </w:pPr>
      <w:r>
        <w:rPr/>
        <w:t>Page | 10</w:t>
      </w:r>
    </w:p>
    <w:tbl>
      <w:tblPr>
        <w:tblW w:w="10040" w:type="dxa"/>
        <w:jc w:val="left"/>
        <w:tblInd w:w="0" w:type="dxa"/>
        <w:tblLayout w:type="fixed"/>
        <w:tblCellMar>
          <w:top w:w="0" w:type="dxa"/>
          <w:left w:w="0" w:type="dxa"/>
          <w:bottom w:w="0" w:type="dxa"/>
          <w:right w:w="0" w:type="dxa"/>
        </w:tblCellMar>
      </w:tblPr>
      <w:tblGrid>
        <w:gridCol w:w="3380"/>
        <w:gridCol w:w="1100"/>
        <w:gridCol w:w="1120"/>
        <w:gridCol w:w="1120"/>
        <w:gridCol w:w="1120"/>
        <w:gridCol w:w="1080"/>
        <w:gridCol w:w="1120"/>
      </w:tblGrid>
      <w:tr>
        <w:trPr>
          <w:trHeight w:val="281" w:hRule="atLeast"/>
        </w:trPr>
        <w:tc>
          <w:tcPr>
            <w:tcW w:w="3380" w:type="dxa"/>
            <w:tcBorders/>
          </w:tcPr>
          <w:p>
            <w:pPr>
              <w:pStyle w:val="Normal"/>
              <w:spacing w:lineRule="atLeast" w:line="0"/>
              <w:ind w:left="120" w:right="0"/>
              <w:rPr>
                <w:rFonts w:ascii="Corbel" w:hAnsi="Corbel" w:eastAsia="Corbel" w:cs="Corbel"/>
                <w:b/>
                <w:sz w:val="23"/>
              </w:rPr>
            </w:pPr>
            <w:bookmarkStart w:id="10" w:name="page11"/>
            <w:bookmarkEnd w:id="10"/>
            <w:r>
              <mc:AlternateContent>
                <mc:Choice Requires="wps">
                  <w:drawing>
                    <wp:anchor behindDoc="1" distT="0" distB="0" distL="114935" distR="114935" simplePos="0" locked="0" layoutInCell="1" allowOverlap="1" relativeHeight="4">
                      <wp:simplePos x="0" y="0"/>
                      <wp:positionH relativeFrom="page">
                        <wp:posOffset>619125</wp:posOffset>
                      </wp:positionH>
                      <wp:positionV relativeFrom="page">
                        <wp:posOffset>718820</wp:posOffset>
                      </wp:positionV>
                      <wp:extent cx="6381750" cy="0"/>
                      <wp:effectExtent l="0" t="5080" r="0" b="5080"/>
                      <wp:wrapNone/>
                      <wp:docPr id="3" name=""/>
                      <a:graphic xmlns:a="http://schemas.openxmlformats.org/drawingml/2006/main">
                        <a:graphicData uri="http://schemas.microsoft.com/office/word/2010/wordprocessingShape">
                          <wps:wsp>
                            <wps:cNvSpPr/>
                            <wps:spPr>
                              <a:xfrm>
                                <a:off x="0" y="0"/>
                                <a:ext cx="63817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8.75pt,56.6pt" to="551.2pt,56.6pt" stroked="t" o:allowincell="t" style="position:absolute;mso-position-horizontal-relative:page;mso-position-vertical-relative:pag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page">
                        <wp:posOffset>2785745</wp:posOffset>
                      </wp:positionH>
                      <wp:positionV relativeFrom="page">
                        <wp:posOffset>714375</wp:posOffset>
                      </wp:positionV>
                      <wp:extent cx="0" cy="3267075"/>
                      <wp:effectExtent l="5080" t="0" r="5080" b="0"/>
                      <wp:wrapNone/>
                      <wp:docPr id="4" name=""/>
                      <a:graphic xmlns:a="http://schemas.openxmlformats.org/drawingml/2006/main">
                        <a:graphicData uri="http://schemas.microsoft.com/office/word/2010/wordprocessingShape">
                          <wps:wsp>
                            <wps:cNvSpPr/>
                            <wps:spPr>
                              <a:xfrm>
                                <a:off x="0" y="0"/>
                                <a:ext cx="0" cy="3267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19.35pt,56.25pt" to="219.35pt,313.45pt" stroked="t" o:allowincell="t" style="position:absolute;mso-position-horizontal-relative:page;mso-position-vertical-relative:pag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page">
                        <wp:posOffset>3414395</wp:posOffset>
                      </wp:positionH>
                      <wp:positionV relativeFrom="page">
                        <wp:posOffset>714375</wp:posOffset>
                      </wp:positionV>
                      <wp:extent cx="0" cy="3267075"/>
                      <wp:effectExtent l="5080" t="0" r="5080" b="0"/>
                      <wp:wrapNone/>
                      <wp:docPr id="5" name=""/>
                      <a:graphic xmlns:a="http://schemas.openxmlformats.org/drawingml/2006/main">
                        <a:graphicData uri="http://schemas.microsoft.com/office/word/2010/wordprocessingShape">
                          <wps:wsp>
                            <wps:cNvSpPr/>
                            <wps:spPr>
                              <a:xfrm>
                                <a:off x="0" y="0"/>
                                <a:ext cx="0" cy="3267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68.85pt,56.25pt" to="268.85pt,313.45pt" stroked="t" o:allowincell="t" style="position:absolute;mso-position-horizontal-relative:page;mso-position-vertical-relative:pag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page">
                        <wp:posOffset>4128770</wp:posOffset>
                      </wp:positionH>
                      <wp:positionV relativeFrom="page">
                        <wp:posOffset>714375</wp:posOffset>
                      </wp:positionV>
                      <wp:extent cx="0" cy="3267075"/>
                      <wp:effectExtent l="5080" t="0" r="5080" b="0"/>
                      <wp:wrapNone/>
                      <wp:docPr id="6" name=""/>
                      <a:graphic xmlns:a="http://schemas.openxmlformats.org/drawingml/2006/main">
                        <a:graphicData uri="http://schemas.microsoft.com/office/word/2010/wordprocessingShape">
                          <wps:wsp>
                            <wps:cNvSpPr/>
                            <wps:spPr>
                              <a:xfrm>
                                <a:off x="0" y="0"/>
                                <a:ext cx="0" cy="3267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25.1pt,56.25pt" to="325.1pt,313.45pt" stroked="t" o:allowincell="t" style="position:absolute;mso-position-horizontal-relative:page;mso-position-vertical-relative:pag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page">
                        <wp:posOffset>4843145</wp:posOffset>
                      </wp:positionH>
                      <wp:positionV relativeFrom="page">
                        <wp:posOffset>714375</wp:posOffset>
                      </wp:positionV>
                      <wp:extent cx="0" cy="3267075"/>
                      <wp:effectExtent l="5080" t="0" r="5080" b="0"/>
                      <wp:wrapNone/>
                      <wp:docPr id="7" name=""/>
                      <a:graphic xmlns:a="http://schemas.openxmlformats.org/drawingml/2006/main">
                        <a:graphicData uri="http://schemas.microsoft.com/office/word/2010/wordprocessingShape">
                          <wps:wsp>
                            <wps:cNvSpPr/>
                            <wps:spPr>
                              <a:xfrm>
                                <a:off x="0" y="0"/>
                                <a:ext cx="0" cy="3267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81.35pt,56.25pt" to="381.35pt,313.45pt" stroked="t" o:allowincell="t" style="position:absolute;mso-position-horizontal-relative:page;mso-position-vertical-relative:pag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page">
                        <wp:posOffset>5557520</wp:posOffset>
                      </wp:positionH>
                      <wp:positionV relativeFrom="page">
                        <wp:posOffset>714375</wp:posOffset>
                      </wp:positionV>
                      <wp:extent cx="0" cy="3267075"/>
                      <wp:effectExtent l="5080" t="0" r="5080" b="0"/>
                      <wp:wrapNone/>
                      <wp:docPr id="8" name=""/>
                      <a:graphic xmlns:a="http://schemas.openxmlformats.org/drawingml/2006/main">
                        <a:graphicData uri="http://schemas.microsoft.com/office/word/2010/wordprocessingShape">
                          <wps:wsp>
                            <wps:cNvSpPr/>
                            <wps:spPr>
                              <a:xfrm>
                                <a:off x="0" y="0"/>
                                <a:ext cx="0" cy="3267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37.6pt,56.25pt" to="437.6pt,313.45pt" stroked="t" o:allowincell="t" style="position:absolute;mso-position-horizontal-relative:page;mso-position-vertical-relative:pag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page">
                        <wp:posOffset>623570</wp:posOffset>
                      </wp:positionH>
                      <wp:positionV relativeFrom="page">
                        <wp:posOffset>714375</wp:posOffset>
                      </wp:positionV>
                      <wp:extent cx="0" cy="3267075"/>
                      <wp:effectExtent l="5080" t="0" r="5080" b="0"/>
                      <wp:wrapNone/>
                      <wp:docPr id="9" name=""/>
                      <a:graphic xmlns:a="http://schemas.openxmlformats.org/drawingml/2006/main">
                        <a:graphicData uri="http://schemas.microsoft.com/office/word/2010/wordprocessingShape">
                          <wps:wsp>
                            <wps:cNvSpPr/>
                            <wps:spPr>
                              <a:xfrm>
                                <a:off x="0" y="0"/>
                                <a:ext cx="0" cy="3267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9.1pt,56.25pt" to="49.1pt,313.45pt" stroked="t" o:allowincell="t" style="position:absolute;mso-position-horizontal-relative:page;mso-position-vertical-relative:pag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page">
                        <wp:posOffset>6281420</wp:posOffset>
                      </wp:positionH>
                      <wp:positionV relativeFrom="page">
                        <wp:posOffset>714375</wp:posOffset>
                      </wp:positionV>
                      <wp:extent cx="0" cy="3267075"/>
                      <wp:effectExtent l="5080" t="0" r="5080" b="0"/>
                      <wp:wrapNone/>
                      <wp:docPr id="10" name=""/>
                      <a:graphic xmlns:a="http://schemas.openxmlformats.org/drawingml/2006/main">
                        <a:graphicData uri="http://schemas.microsoft.com/office/word/2010/wordprocessingShape">
                          <wps:wsp>
                            <wps:cNvSpPr/>
                            <wps:spPr>
                              <a:xfrm>
                                <a:off x="0" y="0"/>
                                <a:ext cx="0" cy="3267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94.6pt,56.25pt" to="494.6pt,313.45pt" stroked="t" o:allowincell="t" style="position:absolute;mso-position-horizontal-relative:page;mso-position-vertical-relative:pag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page">
                        <wp:posOffset>6927850</wp:posOffset>
                      </wp:positionH>
                      <wp:positionV relativeFrom="page">
                        <wp:posOffset>714375</wp:posOffset>
                      </wp:positionV>
                      <wp:extent cx="0" cy="3267075"/>
                      <wp:effectExtent l="5080" t="0" r="5080" b="0"/>
                      <wp:wrapNone/>
                      <wp:docPr id="11" name=""/>
                      <a:graphic xmlns:a="http://schemas.openxmlformats.org/drawingml/2006/main">
                        <a:graphicData uri="http://schemas.microsoft.com/office/word/2010/wordprocessingShape">
                          <wps:wsp>
                            <wps:cNvSpPr/>
                            <wps:spPr>
                              <a:xfrm>
                                <a:off x="0" y="0"/>
                                <a:ext cx="0" cy="32670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45.5pt,56.25pt" to="545.5pt,313.45pt" stroked="t" o:allowincell="t" style="position:absolute;mso-position-horizontal-relative:page;mso-position-vertical-relative:page">
                      <v:stroke color="black" weight="9360" joinstyle="miter" endcap="flat"/>
                      <v:fill o:detectmouseclick="t" on="false"/>
                      <w10:wrap type="none"/>
                    </v:line>
                  </w:pict>
                </mc:Fallback>
              </mc:AlternateContent>
            </w:r>
            <w:r>
              <w:rPr>
                <w:rFonts w:eastAsia="Corbel" w:cs="Corbel" w:ascii="Corbel" w:hAnsi="Corbel"/>
                <w:b/>
                <w:sz w:val="23"/>
              </w:rPr>
              <w:t>($ million)</w:t>
            </w:r>
          </w:p>
        </w:tc>
        <w:tc>
          <w:tcPr>
            <w:tcW w:w="1100" w:type="dxa"/>
            <w:tcBorders/>
          </w:tcPr>
          <w:p>
            <w:pPr>
              <w:pStyle w:val="Normal"/>
              <w:spacing w:lineRule="atLeast" w:line="0"/>
              <w:ind w:right="108"/>
              <w:jc w:val="right"/>
              <w:rPr>
                <w:rFonts w:ascii="Corbel" w:hAnsi="Corbel" w:eastAsia="Corbel" w:cs="Corbel"/>
                <w:b/>
                <w:sz w:val="23"/>
              </w:rPr>
            </w:pPr>
            <w:r>
              <w:rPr>
                <w:rFonts w:eastAsia="Corbel" w:cs="Corbel" w:ascii="Corbel" w:hAnsi="Corbel"/>
                <w:b/>
                <w:sz w:val="23"/>
              </w:rPr>
              <w:t>2015-16</w:t>
            </w:r>
          </w:p>
        </w:tc>
        <w:tc>
          <w:tcPr>
            <w:tcW w:w="1120" w:type="dxa"/>
            <w:tcBorders/>
          </w:tcPr>
          <w:p>
            <w:pPr>
              <w:pStyle w:val="Normal"/>
              <w:spacing w:lineRule="atLeast" w:line="0"/>
              <w:ind w:right="108"/>
              <w:jc w:val="right"/>
              <w:rPr>
                <w:rFonts w:ascii="Corbel" w:hAnsi="Corbel" w:eastAsia="Corbel" w:cs="Corbel"/>
                <w:b/>
                <w:sz w:val="23"/>
              </w:rPr>
            </w:pPr>
            <w:r>
              <w:rPr>
                <w:rFonts w:eastAsia="Corbel" w:cs="Corbel" w:ascii="Corbel" w:hAnsi="Corbel"/>
                <w:b/>
                <w:sz w:val="23"/>
              </w:rPr>
              <w:t>2016-17</w:t>
            </w:r>
          </w:p>
        </w:tc>
        <w:tc>
          <w:tcPr>
            <w:tcW w:w="1120" w:type="dxa"/>
            <w:tcBorders/>
          </w:tcPr>
          <w:p>
            <w:pPr>
              <w:pStyle w:val="Normal"/>
              <w:spacing w:lineRule="atLeast" w:line="0"/>
              <w:ind w:right="88"/>
              <w:jc w:val="right"/>
              <w:rPr>
                <w:rFonts w:ascii="Corbel" w:hAnsi="Corbel" w:eastAsia="Corbel" w:cs="Corbel"/>
                <w:b/>
                <w:sz w:val="23"/>
              </w:rPr>
            </w:pPr>
            <w:r>
              <w:rPr>
                <w:rFonts w:eastAsia="Corbel" w:cs="Corbel" w:ascii="Corbel" w:hAnsi="Corbel"/>
                <w:b/>
                <w:sz w:val="23"/>
              </w:rPr>
              <w:t>2017-18</w:t>
            </w:r>
          </w:p>
        </w:tc>
        <w:tc>
          <w:tcPr>
            <w:tcW w:w="1120" w:type="dxa"/>
            <w:tcBorders/>
          </w:tcPr>
          <w:p>
            <w:pPr>
              <w:pStyle w:val="Normal"/>
              <w:spacing w:lineRule="atLeast" w:line="0"/>
              <w:ind w:right="88"/>
              <w:jc w:val="right"/>
              <w:rPr>
                <w:rFonts w:ascii="Corbel" w:hAnsi="Corbel" w:eastAsia="Corbel" w:cs="Corbel"/>
                <w:b/>
                <w:sz w:val="23"/>
              </w:rPr>
            </w:pPr>
            <w:r>
              <w:rPr>
                <w:rFonts w:eastAsia="Corbel" w:cs="Corbel" w:ascii="Corbel" w:hAnsi="Corbel"/>
                <w:b/>
                <w:sz w:val="23"/>
              </w:rPr>
              <w:t>2018-19</w:t>
            </w:r>
          </w:p>
        </w:tc>
        <w:tc>
          <w:tcPr>
            <w:tcW w:w="1080" w:type="dxa"/>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2019-20</w:t>
            </w:r>
          </w:p>
        </w:tc>
        <w:tc>
          <w:tcPr>
            <w:tcW w:w="1120" w:type="dxa"/>
            <w:tcBorders/>
          </w:tcPr>
          <w:p>
            <w:pPr>
              <w:pStyle w:val="Normal"/>
              <w:spacing w:lineRule="atLeast" w:line="0"/>
              <w:jc w:val="right"/>
              <w:rPr>
                <w:rFonts w:ascii="Corbel" w:hAnsi="Corbel" w:eastAsia="Corbel" w:cs="Corbel"/>
                <w:b/>
                <w:sz w:val="23"/>
              </w:rPr>
            </w:pPr>
            <w:r>
              <w:rPr>
                <w:rFonts w:eastAsia="Corbel" w:cs="Corbel" w:ascii="Corbel" w:hAnsi="Corbel"/>
                <w:b/>
                <w:sz w:val="23"/>
              </w:rPr>
              <w:t>Total</w:t>
            </w:r>
          </w:p>
        </w:tc>
      </w:tr>
      <w:tr>
        <w:trPr>
          <w:trHeight w:val="53" w:hRule="atLeast"/>
        </w:trPr>
        <w:tc>
          <w:tcPr>
            <w:tcW w:w="3380" w:type="dxa"/>
            <w:tcBorders>
              <w:bottom w:val="single" w:sz="8" w:space="0" w:color="000000"/>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72" w:hRule="atLeast"/>
        </w:trPr>
        <w:tc>
          <w:tcPr>
            <w:tcW w:w="3380" w:type="dxa"/>
            <w:tcBorders/>
          </w:tcPr>
          <w:p>
            <w:pPr>
              <w:pStyle w:val="Normal"/>
              <w:spacing w:lineRule="exact" w:line="272"/>
              <w:ind w:left="120" w:right="0"/>
              <w:rPr>
                <w:rFonts w:ascii="Corbel" w:hAnsi="Corbel" w:eastAsia="Corbel" w:cs="Corbel"/>
                <w:b/>
                <w:sz w:val="23"/>
              </w:rPr>
            </w:pPr>
            <w:r>
              <w:rPr>
                <w:rFonts w:eastAsia="Corbel" w:cs="Corbel" w:ascii="Corbel" w:hAnsi="Corbel"/>
                <w:b/>
                <w:sz w:val="23"/>
              </w:rPr>
              <w:t>Australia Capital Territory</w:t>
            </w:r>
          </w:p>
        </w:tc>
        <w:tc>
          <w:tcPr>
            <w:tcW w:w="1100" w:type="dxa"/>
            <w:tcBorders/>
          </w:tcPr>
          <w:p>
            <w:pPr>
              <w:pStyle w:val="Normal"/>
              <w:spacing w:lineRule="exact" w:line="272"/>
              <w:ind w:right="108"/>
              <w:jc w:val="right"/>
              <w:rPr>
                <w:rFonts w:ascii="Corbel" w:hAnsi="Corbel" w:eastAsia="Corbel" w:cs="Corbel"/>
                <w:b/>
                <w:sz w:val="23"/>
              </w:rPr>
            </w:pPr>
            <w:r>
              <w:rPr>
                <w:rFonts w:eastAsia="Corbel" w:cs="Corbel" w:ascii="Corbel" w:hAnsi="Corbel"/>
                <w:b/>
                <w:sz w:val="23"/>
              </w:rPr>
              <w:t>5.787</w:t>
            </w:r>
          </w:p>
        </w:tc>
        <w:tc>
          <w:tcPr>
            <w:tcW w:w="1120" w:type="dxa"/>
            <w:tcBorders/>
          </w:tcPr>
          <w:p>
            <w:pPr>
              <w:pStyle w:val="Normal"/>
              <w:spacing w:lineRule="exact" w:line="272"/>
              <w:ind w:right="108"/>
              <w:jc w:val="right"/>
              <w:rPr>
                <w:rFonts w:ascii="Corbel" w:hAnsi="Corbel" w:eastAsia="Corbel" w:cs="Corbel"/>
                <w:b/>
                <w:sz w:val="23"/>
              </w:rPr>
            </w:pPr>
            <w:r>
              <w:rPr>
                <w:rFonts w:eastAsia="Corbel" w:cs="Corbel" w:ascii="Corbel" w:hAnsi="Corbel"/>
                <w:b/>
                <w:sz w:val="23"/>
              </w:rPr>
              <w:t>5.813</w:t>
            </w:r>
          </w:p>
        </w:tc>
        <w:tc>
          <w:tcPr>
            <w:tcW w:w="1120" w:type="dxa"/>
            <w:tcBorders/>
          </w:tcPr>
          <w:p>
            <w:pPr>
              <w:pStyle w:val="Normal"/>
              <w:spacing w:lineRule="exact" w:line="272"/>
              <w:ind w:right="88"/>
              <w:jc w:val="right"/>
              <w:rPr>
                <w:rFonts w:ascii="Corbel" w:hAnsi="Corbel" w:eastAsia="Corbel" w:cs="Corbel"/>
                <w:b/>
                <w:sz w:val="23"/>
              </w:rPr>
            </w:pPr>
            <w:r>
              <w:rPr>
                <w:rFonts w:eastAsia="Corbel" w:cs="Corbel" w:ascii="Corbel" w:hAnsi="Corbel"/>
                <w:b/>
                <w:sz w:val="23"/>
              </w:rPr>
              <w:t>5.618</w:t>
            </w:r>
          </w:p>
        </w:tc>
        <w:tc>
          <w:tcPr>
            <w:tcW w:w="1120" w:type="dxa"/>
            <w:tcBorders/>
          </w:tcPr>
          <w:p>
            <w:pPr>
              <w:pStyle w:val="Normal"/>
              <w:spacing w:lineRule="exact" w:line="272"/>
              <w:ind w:right="88"/>
              <w:jc w:val="right"/>
              <w:rPr>
                <w:rFonts w:ascii="Corbel" w:hAnsi="Corbel" w:eastAsia="Corbel" w:cs="Corbel"/>
                <w:b/>
                <w:sz w:val="23"/>
              </w:rPr>
            </w:pPr>
            <w:r>
              <w:rPr>
                <w:rFonts w:eastAsia="Corbel" w:cs="Corbel" w:ascii="Corbel" w:hAnsi="Corbel"/>
                <w:b/>
                <w:sz w:val="23"/>
              </w:rPr>
              <w:t>5.721</w:t>
            </w:r>
          </w:p>
        </w:tc>
        <w:tc>
          <w:tcPr>
            <w:tcW w:w="1080" w:type="dxa"/>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5.818</w:t>
            </w:r>
          </w:p>
        </w:tc>
        <w:tc>
          <w:tcPr>
            <w:tcW w:w="1120" w:type="dxa"/>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28.757</w:t>
            </w:r>
          </w:p>
        </w:tc>
      </w:tr>
      <w:tr>
        <w:trPr>
          <w:trHeight w:val="300" w:hRule="atLeast"/>
        </w:trPr>
        <w:tc>
          <w:tcPr>
            <w:tcW w:w="3380" w:type="dxa"/>
            <w:tcBorders/>
          </w:tcPr>
          <w:p>
            <w:pPr>
              <w:pStyle w:val="Normal"/>
              <w:spacing w:lineRule="atLeast" w:line="0"/>
              <w:ind w:left="400" w:right="0"/>
              <w:rPr>
                <w:rFonts w:ascii="Corbel" w:hAnsi="Corbel" w:eastAsia="Corbel" w:cs="Corbel"/>
                <w:sz w:val="23"/>
              </w:rPr>
            </w:pPr>
            <w:r>
              <w:rPr>
                <w:rFonts w:eastAsia="Corbel" w:cs="Corbel" w:ascii="Corbel" w:hAnsi="Corbel"/>
                <w:sz w:val="23"/>
              </w:rPr>
              <w:t>Legal aid commissions</w:t>
            </w:r>
          </w:p>
        </w:tc>
        <w:tc>
          <w:tcPr>
            <w:tcW w:w="1100" w:type="dxa"/>
            <w:tcBorders/>
          </w:tcPr>
          <w:p>
            <w:pPr>
              <w:pStyle w:val="Normal"/>
              <w:spacing w:lineRule="atLeast" w:line="0"/>
              <w:ind w:right="88"/>
              <w:jc w:val="right"/>
              <w:rPr>
                <w:rFonts w:ascii="Corbel" w:hAnsi="Corbel" w:eastAsia="Corbel" w:cs="Corbel"/>
                <w:sz w:val="23"/>
              </w:rPr>
            </w:pPr>
            <w:r>
              <w:rPr>
                <w:rFonts w:eastAsia="Corbel" w:cs="Corbel" w:ascii="Corbel" w:hAnsi="Corbel"/>
                <w:sz w:val="23"/>
              </w:rPr>
              <w:t>4.665</w:t>
            </w:r>
          </w:p>
        </w:tc>
        <w:tc>
          <w:tcPr>
            <w:tcW w:w="1120" w:type="dxa"/>
            <w:tcBorders/>
          </w:tcPr>
          <w:p>
            <w:pPr>
              <w:pStyle w:val="Normal"/>
              <w:spacing w:lineRule="atLeast" w:line="0"/>
              <w:ind w:left="440" w:right="0"/>
              <w:rPr>
                <w:rFonts w:ascii="Corbel" w:hAnsi="Corbel" w:eastAsia="Corbel" w:cs="Corbel"/>
                <w:sz w:val="23"/>
              </w:rPr>
            </w:pPr>
            <w:r>
              <w:rPr>
                <w:rFonts w:eastAsia="Corbel" w:cs="Corbel" w:ascii="Corbel" w:hAnsi="Corbel"/>
                <w:sz w:val="23"/>
              </w:rPr>
              <w:t>4.741</w:t>
            </w:r>
          </w:p>
        </w:tc>
        <w:tc>
          <w:tcPr>
            <w:tcW w:w="112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4.811</w:t>
            </w:r>
          </w:p>
        </w:tc>
        <w:tc>
          <w:tcPr>
            <w:tcW w:w="1120" w:type="dxa"/>
            <w:tcBorders/>
          </w:tcPr>
          <w:p>
            <w:pPr>
              <w:pStyle w:val="Normal"/>
              <w:spacing w:lineRule="atLeast" w:line="0"/>
              <w:ind w:right="48"/>
              <w:jc w:val="right"/>
              <w:rPr>
                <w:rFonts w:ascii="Corbel" w:hAnsi="Corbel" w:eastAsia="Corbel" w:cs="Corbel"/>
                <w:sz w:val="23"/>
              </w:rPr>
            </w:pPr>
            <w:r>
              <w:rPr>
                <w:rFonts w:eastAsia="Corbel" w:cs="Corbel" w:ascii="Corbel" w:hAnsi="Corbel"/>
                <w:sz w:val="23"/>
              </w:rPr>
              <w:t>4.881</w:t>
            </w:r>
          </w:p>
        </w:tc>
        <w:tc>
          <w:tcPr>
            <w:tcW w:w="108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4.946</w:t>
            </w:r>
          </w:p>
        </w:tc>
        <w:tc>
          <w:tcPr>
            <w:tcW w:w="1120" w:type="dxa"/>
            <w:tcBorders/>
          </w:tcPr>
          <w:p>
            <w:pPr>
              <w:pStyle w:val="Normal"/>
              <w:spacing w:lineRule="atLeast" w:line="0"/>
              <w:jc w:val="right"/>
              <w:rPr>
                <w:rFonts w:ascii="Corbel" w:hAnsi="Corbel" w:eastAsia="Corbel" w:cs="Corbel"/>
                <w:sz w:val="23"/>
              </w:rPr>
            </w:pPr>
            <w:r>
              <w:rPr>
                <w:rFonts w:eastAsia="Corbel" w:cs="Corbel" w:ascii="Corbel" w:hAnsi="Corbel"/>
                <w:sz w:val="23"/>
              </w:rPr>
              <w:t>24.044</w:t>
            </w:r>
          </w:p>
        </w:tc>
      </w:tr>
      <w:tr>
        <w:trPr>
          <w:trHeight w:val="300" w:hRule="atLeast"/>
        </w:trPr>
        <w:tc>
          <w:tcPr>
            <w:tcW w:w="3380" w:type="dxa"/>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Community legal centres</w:t>
            </w:r>
          </w:p>
        </w:tc>
        <w:tc>
          <w:tcPr>
            <w:tcW w:w="110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0.170</w:t>
            </w:r>
          </w:p>
        </w:tc>
        <w:tc>
          <w:tcPr>
            <w:tcW w:w="1120" w:type="dxa"/>
            <w:tcBorders/>
          </w:tcPr>
          <w:p>
            <w:pPr>
              <w:pStyle w:val="Normal"/>
              <w:spacing w:lineRule="atLeast" w:line="0"/>
              <w:ind w:left="440" w:right="0"/>
              <w:rPr>
                <w:rFonts w:ascii="Corbel" w:hAnsi="Corbel" w:eastAsia="Corbel" w:cs="Corbel"/>
                <w:sz w:val="23"/>
              </w:rPr>
            </w:pPr>
            <w:r>
              <w:rPr>
                <w:rFonts w:eastAsia="Corbel" w:cs="Corbel" w:ascii="Corbel" w:hAnsi="Corbel"/>
                <w:sz w:val="23"/>
              </w:rPr>
              <w:t>0.107</w:t>
            </w:r>
          </w:p>
        </w:tc>
        <w:tc>
          <w:tcPr>
            <w:tcW w:w="112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0.690</w:t>
            </w:r>
          </w:p>
        </w:tc>
        <w:tc>
          <w:tcPr>
            <w:tcW w:w="112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0.700</w:t>
            </w:r>
          </w:p>
        </w:tc>
        <w:tc>
          <w:tcPr>
            <w:tcW w:w="1080" w:type="dxa"/>
            <w:tcBorders/>
          </w:tcPr>
          <w:p>
            <w:pPr>
              <w:pStyle w:val="Normal"/>
              <w:spacing w:lineRule="atLeast" w:line="0"/>
              <w:ind w:right="28"/>
              <w:jc w:val="right"/>
              <w:rPr>
                <w:rFonts w:ascii="Corbel" w:hAnsi="Corbel" w:eastAsia="Corbel" w:cs="Corbel"/>
                <w:sz w:val="23"/>
              </w:rPr>
            </w:pPr>
            <w:r>
              <w:rPr>
                <w:rFonts w:eastAsia="Corbel" w:cs="Corbel" w:ascii="Corbel" w:hAnsi="Corbel"/>
                <w:sz w:val="23"/>
              </w:rPr>
              <w:t>0.709</w:t>
            </w:r>
          </w:p>
        </w:tc>
        <w:tc>
          <w:tcPr>
            <w:tcW w:w="112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2.376</w:t>
            </w:r>
          </w:p>
        </w:tc>
      </w:tr>
      <w:tr>
        <w:trPr>
          <w:trHeight w:val="300" w:hRule="atLeast"/>
        </w:trPr>
        <w:tc>
          <w:tcPr>
            <w:tcW w:w="3380" w:type="dxa"/>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Community legal centres</w:t>
            </w:r>
          </w:p>
        </w:tc>
        <w:tc>
          <w:tcPr>
            <w:tcW w:w="110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0.870</w:t>
            </w:r>
          </w:p>
        </w:tc>
        <w:tc>
          <w:tcPr>
            <w:tcW w:w="1120" w:type="dxa"/>
            <w:tcBorders/>
          </w:tcPr>
          <w:p>
            <w:pPr>
              <w:pStyle w:val="Normal"/>
              <w:spacing w:lineRule="atLeast" w:line="0"/>
              <w:ind w:left="440" w:right="0"/>
              <w:rPr>
                <w:rFonts w:ascii="Corbel" w:hAnsi="Corbel" w:eastAsia="Corbel" w:cs="Corbel"/>
                <w:sz w:val="23"/>
              </w:rPr>
            </w:pPr>
            <w:r>
              <w:rPr>
                <w:rFonts w:eastAsia="Corbel" w:cs="Corbel" w:ascii="Corbel" w:hAnsi="Corbel"/>
                <w:sz w:val="23"/>
              </w:rPr>
              <w:t>0.870</w:t>
            </w:r>
          </w:p>
        </w:tc>
        <w:tc>
          <w:tcPr>
            <w:tcW w:w="1120" w:type="dxa"/>
            <w:tcBorders/>
          </w:tcPr>
          <w:p>
            <w:pPr>
              <w:pStyle w:val="Normal"/>
              <w:spacing w:lineRule="atLeast" w:line="0"/>
              <w:ind w:right="48"/>
              <w:jc w:val="right"/>
              <w:rPr>
                <w:rFonts w:ascii="Corbel" w:hAnsi="Corbel" w:eastAsia="Corbel" w:cs="Corbel"/>
                <w:sz w:val="23"/>
              </w:rPr>
            </w:pPr>
            <w:r>
              <w:rPr>
                <w:rFonts w:eastAsia="Corbel" w:cs="Corbel" w:ascii="Corbel" w:hAnsi="Corbel"/>
                <w:sz w:val="23"/>
              </w:rPr>
              <w:t>-</w:t>
            </w:r>
          </w:p>
        </w:tc>
        <w:tc>
          <w:tcPr>
            <w:tcW w:w="1120" w:type="dxa"/>
            <w:tcBorders/>
          </w:tcPr>
          <w:p>
            <w:pPr>
              <w:pStyle w:val="Normal"/>
              <w:spacing w:lineRule="atLeast" w:line="0"/>
              <w:ind w:right="48"/>
              <w:jc w:val="right"/>
              <w:rPr>
                <w:rFonts w:ascii="Corbel" w:hAnsi="Corbel" w:eastAsia="Corbel" w:cs="Corbel"/>
                <w:sz w:val="23"/>
              </w:rPr>
            </w:pPr>
            <w:r>
              <w:rPr>
                <w:rFonts w:eastAsia="Corbel" w:cs="Corbel" w:ascii="Corbel" w:hAnsi="Corbel"/>
                <w:sz w:val="23"/>
              </w:rPr>
              <w:t>-</w:t>
            </w:r>
          </w:p>
        </w:tc>
        <w:tc>
          <w:tcPr>
            <w:tcW w:w="108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w:t>
            </w:r>
          </w:p>
        </w:tc>
        <w:tc>
          <w:tcPr>
            <w:tcW w:w="112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1.740</w:t>
            </w:r>
          </w:p>
        </w:tc>
      </w:tr>
      <w:tr>
        <w:trPr>
          <w:trHeight w:val="270" w:hRule="atLeast"/>
        </w:trPr>
        <w:tc>
          <w:tcPr>
            <w:tcW w:w="3380" w:type="dxa"/>
            <w:tcBorders/>
          </w:tcPr>
          <w:p>
            <w:pPr>
              <w:pStyle w:val="Normal"/>
              <w:spacing w:lineRule="exact" w:line="270"/>
              <w:ind w:left="400" w:right="0"/>
              <w:rPr>
                <w:rFonts w:ascii="Corbel" w:hAnsi="Corbel" w:eastAsia="Corbel" w:cs="Corbel"/>
                <w:i/>
                <w:i/>
                <w:sz w:val="23"/>
              </w:rPr>
            </w:pPr>
            <w:r>
              <w:rPr>
                <w:rFonts w:eastAsia="Corbel" w:cs="Corbel" w:ascii="Corbel" w:hAnsi="Corbel"/>
                <w:i/>
                <w:sz w:val="23"/>
              </w:rPr>
              <w:t>(Schedule C)</w:t>
            </w:r>
          </w:p>
        </w:tc>
        <w:tc>
          <w:tcPr>
            <w:tcW w:w="1100" w:type="dxa"/>
            <w:tcBorders/>
          </w:tcPr>
          <w:p>
            <w:pPr>
              <w:pStyle w:val="Normal"/>
              <w:snapToGrid w:val="false"/>
              <w:spacing w:lineRule="atLeast" w:line="0"/>
              <w:rPr>
                <w:rFonts w:ascii="Times New Roman" w:hAnsi="Times New Roman" w:eastAsia="Times New Roman" w:cs="Times New Roman"/>
                <w:i/>
                <w:i/>
                <w:sz w:val="23"/>
              </w:rPr>
            </w:pPr>
            <w:r>
              <w:rPr>
                <w:rFonts w:eastAsia="Times New Roman" w:cs="Times New Roman" w:ascii="Times New Roman" w:hAnsi="Times New Roman"/>
                <w:i/>
                <w:sz w:val="23"/>
              </w:rPr>
            </w:r>
          </w:p>
        </w:tc>
        <w:tc>
          <w:tcPr>
            <w:tcW w:w="1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00" w:hRule="atLeast"/>
        </w:trPr>
        <w:tc>
          <w:tcPr>
            <w:tcW w:w="3380" w:type="dxa"/>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SACS</w:t>
            </w:r>
          </w:p>
        </w:tc>
        <w:tc>
          <w:tcPr>
            <w:tcW w:w="110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0.082</w:t>
            </w:r>
          </w:p>
        </w:tc>
        <w:tc>
          <w:tcPr>
            <w:tcW w:w="1120" w:type="dxa"/>
            <w:tcBorders/>
          </w:tcPr>
          <w:p>
            <w:pPr>
              <w:pStyle w:val="Normal"/>
              <w:spacing w:lineRule="atLeast" w:line="0"/>
              <w:ind w:left="420" w:right="0"/>
              <w:rPr>
                <w:rFonts w:ascii="Corbel" w:hAnsi="Corbel" w:eastAsia="Corbel" w:cs="Corbel"/>
                <w:sz w:val="23"/>
              </w:rPr>
            </w:pPr>
            <w:r>
              <w:rPr>
                <w:rFonts w:eastAsia="Corbel" w:cs="Corbel" w:ascii="Corbel" w:hAnsi="Corbel"/>
                <w:sz w:val="23"/>
              </w:rPr>
              <w:t>0.095</w:t>
            </w:r>
          </w:p>
        </w:tc>
        <w:tc>
          <w:tcPr>
            <w:tcW w:w="112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0.117</w:t>
            </w:r>
          </w:p>
        </w:tc>
        <w:tc>
          <w:tcPr>
            <w:tcW w:w="1120" w:type="dxa"/>
            <w:tcBorders/>
          </w:tcPr>
          <w:p>
            <w:pPr>
              <w:pStyle w:val="Normal"/>
              <w:spacing w:lineRule="atLeast" w:line="0"/>
              <w:ind w:right="48"/>
              <w:jc w:val="right"/>
              <w:rPr>
                <w:rFonts w:ascii="Corbel" w:hAnsi="Corbel" w:eastAsia="Corbel" w:cs="Corbel"/>
                <w:sz w:val="23"/>
              </w:rPr>
            </w:pPr>
            <w:r>
              <w:rPr>
                <w:rFonts w:eastAsia="Corbel" w:cs="Corbel" w:ascii="Corbel" w:hAnsi="Corbel"/>
                <w:sz w:val="23"/>
              </w:rPr>
              <w:t>0.140</w:t>
            </w:r>
          </w:p>
        </w:tc>
        <w:tc>
          <w:tcPr>
            <w:tcW w:w="108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0.163</w:t>
            </w:r>
          </w:p>
        </w:tc>
        <w:tc>
          <w:tcPr>
            <w:tcW w:w="1120" w:type="dxa"/>
            <w:tcBorders/>
          </w:tcPr>
          <w:p>
            <w:pPr>
              <w:pStyle w:val="Normal"/>
              <w:spacing w:lineRule="atLeast" w:line="0"/>
              <w:jc w:val="right"/>
              <w:rPr>
                <w:rFonts w:ascii="Corbel" w:hAnsi="Corbel" w:eastAsia="Corbel" w:cs="Corbel"/>
                <w:sz w:val="23"/>
              </w:rPr>
            </w:pPr>
            <w:r>
              <w:rPr>
                <w:rFonts w:eastAsia="Corbel" w:cs="Corbel" w:ascii="Corbel" w:hAnsi="Corbel"/>
                <w:sz w:val="23"/>
              </w:rPr>
              <w:t>0.597</w:t>
            </w:r>
          </w:p>
        </w:tc>
      </w:tr>
      <w:tr>
        <w:trPr>
          <w:trHeight w:val="300" w:hRule="atLeast"/>
        </w:trPr>
        <w:tc>
          <w:tcPr>
            <w:tcW w:w="3380" w:type="dxa"/>
            <w:tcBorders/>
          </w:tcPr>
          <w:p>
            <w:pPr>
              <w:pStyle w:val="Normal"/>
              <w:spacing w:lineRule="atLeast" w:line="0"/>
              <w:ind w:left="400" w:right="0"/>
              <w:rPr>
                <w:rFonts w:ascii="Corbel" w:hAnsi="Corbel" w:eastAsia="Corbel" w:cs="Corbel"/>
                <w:sz w:val="23"/>
              </w:rPr>
            </w:pPr>
            <w:r>
              <w:rPr>
                <w:rFonts w:eastAsia="Corbel" w:cs="Corbel" w:ascii="Corbel" w:hAnsi="Corbel"/>
                <w:sz w:val="23"/>
              </w:rPr>
              <w:t>Community legal centres total</w:t>
            </w:r>
          </w:p>
        </w:tc>
        <w:tc>
          <w:tcPr>
            <w:tcW w:w="110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1.122</w:t>
            </w:r>
          </w:p>
        </w:tc>
        <w:tc>
          <w:tcPr>
            <w:tcW w:w="1120" w:type="dxa"/>
            <w:tcBorders/>
          </w:tcPr>
          <w:p>
            <w:pPr>
              <w:pStyle w:val="Normal"/>
              <w:spacing w:lineRule="atLeast" w:line="0"/>
              <w:ind w:left="460" w:right="0"/>
              <w:rPr>
                <w:rFonts w:ascii="Corbel" w:hAnsi="Corbel" w:eastAsia="Corbel" w:cs="Corbel"/>
                <w:sz w:val="23"/>
              </w:rPr>
            </w:pPr>
            <w:r>
              <w:rPr>
                <w:rFonts w:eastAsia="Corbel" w:cs="Corbel" w:ascii="Corbel" w:hAnsi="Corbel"/>
                <w:sz w:val="23"/>
              </w:rPr>
              <w:t>1.072</w:t>
            </w:r>
          </w:p>
        </w:tc>
        <w:tc>
          <w:tcPr>
            <w:tcW w:w="112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0.807</w:t>
            </w:r>
          </w:p>
        </w:tc>
        <w:tc>
          <w:tcPr>
            <w:tcW w:w="1120" w:type="dxa"/>
            <w:tcBorders/>
          </w:tcPr>
          <w:p>
            <w:pPr>
              <w:pStyle w:val="Normal"/>
              <w:spacing w:lineRule="atLeast" w:line="0"/>
              <w:ind w:right="48"/>
              <w:jc w:val="right"/>
              <w:rPr>
                <w:rFonts w:ascii="Corbel" w:hAnsi="Corbel" w:eastAsia="Corbel" w:cs="Corbel"/>
                <w:sz w:val="23"/>
              </w:rPr>
            </w:pPr>
            <w:r>
              <w:rPr>
                <w:rFonts w:eastAsia="Corbel" w:cs="Corbel" w:ascii="Corbel" w:hAnsi="Corbel"/>
                <w:sz w:val="23"/>
              </w:rPr>
              <w:t>0.84</w:t>
            </w:r>
          </w:p>
        </w:tc>
        <w:tc>
          <w:tcPr>
            <w:tcW w:w="108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0.872</w:t>
            </w:r>
          </w:p>
        </w:tc>
        <w:tc>
          <w:tcPr>
            <w:tcW w:w="112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4.713</w:t>
            </w:r>
          </w:p>
        </w:tc>
      </w:tr>
      <w:tr>
        <w:trPr>
          <w:trHeight w:val="23" w:hRule="atLeast"/>
        </w:trPr>
        <w:tc>
          <w:tcPr>
            <w:tcW w:w="33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72" w:hRule="atLeast"/>
        </w:trPr>
        <w:tc>
          <w:tcPr>
            <w:tcW w:w="3380" w:type="dxa"/>
            <w:tcBorders/>
          </w:tcPr>
          <w:p>
            <w:pPr>
              <w:pStyle w:val="Normal"/>
              <w:spacing w:lineRule="exact" w:line="272"/>
              <w:ind w:left="120" w:right="0"/>
              <w:rPr>
                <w:rFonts w:ascii="Corbel" w:hAnsi="Corbel" w:eastAsia="Corbel" w:cs="Corbel"/>
                <w:b/>
                <w:sz w:val="23"/>
              </w:rPr>
            </w:pPr>
            <w:r>
              <w:rPr>
                <w:rFonts w:eastAsia="Corbel" w:cs="Corbel" w:ascii="Corbel" w:hAnsi="Corbel"/>
                <w:b/>
                <w:sz w:val="23"/>
              </w:rPr>
              <w:t>Northern Territory</w:t>
            </w:r>
          </w:p>
        </w:tc>
        <w:tc>
          <w:tcPr>
            <w:tcW w:w="1100" w:type="dxa"/>
            <w:tcBorders/>
          </w:tcPr>
          <w:p>
            <w:pPr>
              <w:pStyle w:val="Normal"/>
              <w:spacing w:lineRule="exact" w:line="272"/>
              <w:ind w:right="88"/>
              <w:jc w:val="right"/>
              <w:rPr>
                <w:rFonts w:ascii="Corbel" w:hAnsi="Corbel" w:eastAsia="Corbel" w:cs="Corbel"/>
                <w:b/>
                <w:sz w:val="23"/>
              </w:rPr>
            </w:pPr>
            <w:r>
              <w:rPr>
                <w:rFonts w:eastAsia="Corbel" w:cs="Corbel" w:ascii="Corbel" w:hAnsi="Corbel"/>
                <w:b/>
                <w:sz w:val="23"/>
              </w:rPr>
              <w:t>7.090</w:t>
            </w:r>
          </w:p>
        </w:tc>
        <w:tc>
          <w:tcPr>
            <w:tcW w:w="1120" w:type="dxa"/>
            <w:tcBorders/>
          </w:tcPr>
          <w:p>
            <w:pPr>
              <w:pStyle w:val="Normal"/>
              <w:spacing w:lineRule="exact" w:line="272"/>
              <w:ind w:left="400" w:right="0"/>
              <w:rPr>
                <w:rFonts w:ascii="Corbel" w:hAnsi="Corbel" w:eastAsia="Corbel" w:cs="Corbel"/>
                <w:b/>
                <w:sz w:val="23"/>
              </w:rPr>
            </w:pPr>
            <w:r>
              <w:rPr>
                <w:rFonts w:eastAsia="Corbel" w:cs="Corbel" w:ascii="Corbel" w:hAnsi="Corbel"/>
                <w:b/>
                <w:sz w:val="23"/>
              </w:rPr>
              <w:t>7.204</w:t>
            </w:r>
          </w:p>
        </w:tc>
        <w:tc>
          <w:tcPr>
            <w:tcW w:w="1120" w:type="dxa"/>
            <w:tcBorders/>
          </w:tcPr>
          <w:p>
            <w:pPr>
              <w:pStyle w:val="Normal"/>
              <w:spacing w:lineRule="exact" w:line="272"/>
              <w:ind w:right="88"/>
              <w:jc w:val="right"/>
              <w:rPr>
                <w:rFonts w:ascii="Corbel" w:hAnsi="Corbel" w:eastAsia="Corbel" w:cs="Corbel"/>
                <w:b/>
                <w:sz w:val="23"/>
              </w:rPr>
            </w:pPr>
            <w:r>
              <w:rPr>
                <w:rFonts w:eastAsia="Corbel" w:cs="Corbel" w:ascii="Corbel" w:hAnsi="Corbel"/>
                <w:b/>
                <w:sz w:val="23"/>
              </w:rPr>
              <w:t>6.871</w:t>
            </w:r>
          </w:p>
        </w:tc>
        <w:tc>
          <w:tcPr>
            <w:tcW w:w="1120" w:type="dxa"/>
            <w:tcBorders/>
          </w:tcPr>
          <w:p>
            <w:pPr>
              <w:pStyle w:val="Normal"/>
              <w:spacing w:lineRule="exact" w:line="272"/>
              <w:ind w:right="88"/>
              <w:jc w:val="right"/>
              <w:rPr>
                <w:rFonts w:ascii="Corbel" w:hAnsi="Corbel" w:eastAsia="Corbel" w:cs="Corbel"/>
                <w:b/>
                <w:sz w:val="23"/>
              </w:rPr>
            </w:pPr>
            <w:r>
              <w:rPr>
                <w:rFonts w:eastAsia="Corbel" w:cs="Corbel" w:ascii="Corbel" w:hAnsi="Corbel"/>
                <w:b/>
                <w:sz w:val="23"/>
              </w:rPr>
              <w:t>7.010</w:t>
            </w:r>
          </w:p>
        </w:tc>
        <w:tc>
          <w:tcPr>
            <w:tcW w:w="1080" w:type="dxa"/>
            <w:tcBorders/>
          </w:tcPr>
          <w:p>
            <w:pPr>
              <w:pStyle w:val="Normal"/>
              <w:spacing w:lineRule="exact" w:line="272"/>
              <w:ind w:right="48"/>
              <w:jc w:val="right"/>
              <w:rPr>
                <w:rFonts w:ascii="Corbel" w:hAnsi="Corbel" w:eastAsia="Corbel" w:cs="Corbel"/>
                <w:b/>
                <w:sz w:val="23"/>
              </w:rPr>
            </w:pPr>
            <w:r>
              <w:rPr>
                <w:rFonts w:eastAsia="Corbel" w:cs="Corbel" w:ascii="Corbel" w:hAnsi="Corbel"/>
                <w:b/>
                <w:sz w:val="23"/>
              </w:rPr>
              <w:t>7.142</w:t>
            </w:r>
          </w:p>
        </w:tc>
        <w:tc>
          <w:tcPr>
            <w:tcW w:w="1120" w:type="dxa"/>
            <w:tcBorders/>
          </w:tcPr>
          <w:p>
            <w:pPr>
              <w:pStyle w:val="Normal"/>
              <w:spacing w:lineRule="exact" w:line="272"/>
              <w:ind w:right="28"/>
              <w:jc w:val="right"/>
              <w:rPr>
                <w:rFonts w:ascii="Corbel" w:hAnsi="Corbel" w:eastAsia="Corbel" w:cs="Corbel"/>
                <w:b/>
                <w:sz w:val="23"/>
              </w:rPr>
            </w:pPr>
            <w:r>
              <w:rPr>
                <w:rFonts w:eastAsia="Corbel" w:cs="Corbel" w:ascii="Corbel" w:hAnsi="Corbel"/>
                <w:b/>
                <w:sz w:val="23"/>
              </w:rPr>
              <w:t>35.317</w:t>
            </w:r>
          </w:p>
        </w:tc>
      </w:tr>
      <w:tr>
        <w:trPr>
          <w:trHeight w:val="300" w:hRule="atLeast"/>
        </w:trPr>
        <w:tc>
          <w:tcPr>
            <w:tcW w:w="3380" w:type="dxa"/>
            <w:tcBorders/>
          </w:tcPr>
          <w:p>
            <w:pPr>
              <w:pStyle w:val="Normal"/>
              <w:spacing w:lineRule="atLeast" w:line="0"/>
              <w:ind w:left="400" w:right="0"/>
              <w:rPr>
                <w:rFonts w:ascii="Corbel" w:hAnsi="Corbel" w:eastAsia="Corbel" w:cs="Corbel"/>
                <w:sz w:val="23"/>
              </w:rPr>
            </w:pPr>
            <w:r>
              <w:rPr>
                <w:rFonts w:eastAsia="Corbel" w:cs="Corbel" w:ascii="Corbel" w:hAnsi="Corbel"/>
                <w:sz w:val="23"/>
              </w:rPr>
              <w:t>Legal aid commissions</w:t>
            </w:r>
          </w:p>
        </w:tc>
        <w:tc>
          <w:tcPr>
            <w:tcW w:w="1100" w:type="dxa"/>
            <w:tcBorders/>
          </w:tcPr>
          <w:p>
            <w:pPr>
              <w:pStyle w:val="Normal"/>
              <w:spacing w:lineRule="atLeast" w:line="0"/>
              <w:ind w:right="88"/>
              <w:jc w:val="right"/>
              <w:rPr>
                <w:rFonts w:ascii="Corbel" w:hAnsi="Corbel" w:eastAsia="Corbel" w:cs="Corbel"/>
                <w:sz w:val="23"/>
              </w:rPr>
            </w:pPr>
            <w:r>
              <w:rPr>
                <w:rFonts w:eastAsia="Corbel" w:cs="Corbel" w:ascii="Corbel" w:hAnsi="Corbel"/>
                <w:sz w:val="23"/>
              </w:rPr>
              <w:t>5.548</w:t>
            </w:r>
          </w:p>
        </w:tc>
        <w:tc>
          <w:tcPr>
            <w:tcW w:w="1120" w:type="dxa"/>
            <w:tcBorders/>
          </w:tcPr>
          <w:p>
            <w:pPr>
              <w:pStyle w:val="Normal"/>
              <w:spacing w:lineRule="atLeast" w:line="0"/>
              <w:ind w:left="440" w:right="0"/>
              <w:rPr>
                <w:rFonts w:ascii="Corbel" w:hAnsi="Corbel" w:eastAsia="Corbel" w:cs="Corbel"/>
                <w:sz w:val="23"/>
              </w:rPr>
            </w:pPr>
            <w:r>
              <w:rPr>
                <w:rFonts w:eastAsia="Corbel" w:cs="Corbel" w:ascii="Corbel" w:hAnsi="Corbel"/>
                <w:sz w:val="23"/>
              </w:rPr>
              <w:t>5.653</w:t>
            </w:r>
          </w:p>
        </w:tc>
        <w:tc>
          <w:tcPr>
            <w:tcW w:w="1120" w:type="dxa"/>
            <w:tcBorders/>
          </w:tcPr>
          <w:p>
            <w:pPr>
              <w:pStyle w:val="Normal"/>
              <w:spacing w:lineRule="atLeast" w:line="0"/>
              <w:ind w:right="88"/>
              <w:jc w:val="right"/>
              <w:rPr>
                <w:rFonts w:ascii="Corbel" w:hAnsi="Corbel" w:eastAsia="Corbel" w:cs="Corbel"/>
                <w:sz w:val="23"/>
              </w:rPr>
            </w:pPr>
            <w:r>
              <w:rPr>
                <w:rFonts w:eastAsia="Corbel" w:cs="Corbel" w:ascii="Corbel" w:hAnsi="Corbel"/>
                <w:sz w:val="23"/>
              </w:rPr>
              <w:t>5.747</w:t>
            </w:r>
          </w:p>
        </w:tc>
        <w:tc>
          <w:tcPr>
            <w:tcW w:w="112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5.843</w:t>
            </w:r>
          </w:p>
        </w:tc>
        <w:tc>
          <w:tcPr>
            <w:tcW w:w="1080" w:type="dxa"/>
            <w:tcBorders/>
          </w:tcPr>
          <w:p>
            <w:pPr>
              <w:pStyle w:val="Normal"/>
              <w:spacing w:lineRule="atLeast" w:line="0"/>
              <w:ind w:right="28"/>
              <w:jc w:val="right"/>
              <w:rPr>
                <w:rFonts w:ascii="Corbel" w:hAnsi="Corbel" w:eastAsia="Corbel" w:cs="Corbel"/>
                <w:sz w:val="23"/>
              </w:rPr>
            </w:pPr>
            <w:r>
              <w:rPr>
                <w:rFonts w:eastAsia="Corbel" w:cs="Corbel" w:ascii="Corbel" w:hAnsi="Corbel"/>
                <w:sz w:val="23"/>
              </w:rPr>
              <w:t>5.931</w:t>
            </w:r>
          </w:p>
        </w:tc>
        <w:tc>
          <w:tcPr>
            <w:tcW w:w="1120" w:type="dxa"/>
            <w:tcBorders/>
          </w:tcPr>
          <w:p>
            <w:pPr>
              <w:pStyle w:val="Normal"/>
              <w:spacing w:lineRule="atLeast" w:line="0"/>
              <w:jc w:val="right"/>
              <w:rPr>
                <w:rFonts w:ascii="Corbel" w:hAnsi="Corbel" w:eastAsia="Corbel" w:cs="Corbel"/>
                <w:sz w:val="23"/>
              </w:rPr>
            </w:pPr>
            <w:r>
              <w:rPr>
                <w:rFonts w:eastAsia="Corbel" w:cs="Corbel" w:ascii="Corbel" w:hAnsi="Corbel"/>
                <w:sz w:val="23"/>
              </w:rPr>
              <w:t>28.722</w:t>
            </w:r>
          </w:p>
        </w:tc>
      </w:tr>
      <w:tr>
        <w:trPr>
          <w:trHeight w:val="300" w:hRule="atLeast"/>
        </w:trPr>
        <w:tc>
          <w:tcPr>
            <w:tcW w:w="3380" w:type="dxa"/>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Community legal centres</w:t>
            </w:r>
          </w:p>
        </w:tc>
        <w:tc>
          <w:tcPr>
            <w:tcW w:w="110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0.386</w:t>
            </w:r>
          </w:p>
        </w:tc>
        <w:tc>
          <w:tcPr>
            <w:tcW w:w="1120" w:type="dxa"/>
            <w:tcBorders/>
          </w:tcPr>
          <w:p>
            <w:pPr>
              <w:pStyle w:val="Normal"/>
              <w:spacing w:lineRule="atLeast" w:line="0"/>
              <w:ind w:left="440" w:right="0"/>
              <w:rPr>
                <w:rFonts w:ascii="Corbel" w:hAnsi="Corbel" w:eastAsia="Corbel" w:cs="Corbel"/>
                <w:sz w:val="23"/>
              </w:rPr>
            </w:pPr>
            <w:r>
              <w:rPr>
                <w:rFonts w:eastAsia="Corbel" w:cs="Corbel" w:ascii="Corbel" w:hAnsi="Corbel"/>
                <w:sz w:val="23"/>
              </w:rPr>
              <w:t>0.374</w:t>
            </w:r>
          </w:p>
        </w:tc>
        <w:tc>
          <w:tcPr>
            <w:tcW w:w="112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0.983</w:t>
            </w:r>
          </w:p>
        </w:tc>
        <w:tc>
          <w:tcPr>
            <w:tcW w:w="1120" w:type="dxa"/>
            <w:tcBorders/>
          </w:tcPr>
          <w:p>
            <w:pPr>
              <w:pStyle w:val="Normal"/>
              <w:spacing w:lineRule="atLeast" w:line="0"/>
              <w:ind w:right="48"/>
              <w:jc w:val="right"/>
              <w:rPr>
                <w:rFonts w:ascii="Corbel" w:hAnsi="Corbel" w:eastAsia="Corbel" w:cs="Corbel"/>
                <w:sz w:val="23"/>
              </w:rPr>
            </w:pPr>
            <w:r>
              <w:rPr>
                <w:rFonts w:eastAsia="Corbel" w:cs="Corbel" w:ascii="Corbel" w:hAnsi="Corbel"/>
                <w:sz w:val="23"/>
              </w:rPr>
              <w:t>0.999</w:t>
            </w:r>
          </w:p>
        </w:tc>
        <w:tc>
          <w:tcPr>
            <w:tcW w:w="108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1.015</w:t>
            </w:r>
          </w:p>
        </w:tc>
        <w:tc>
          <w:tcPr>
            <w:tcW w:w="112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3.757</w:t>
            </w:r>
          </w:p>
        </w:tc>
      </w:tr>
      <w:tr>
        <w:trPr>
          <w:trHeight w:val="300" w:hRule="atLeast"/>
        </w:trPr>
        <w:tc>
          <w:tcPr>
            <w:tcW w:w="3380" w:type="dxa"/>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Community legal centres</w:t>
            </w:r>
          </w:p>
        </w:tc>
        <w:tc>
          <w:tcPr>
            <w:tcW w:w="110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1.059</w:t>
            </w:r>
          </w:p>
        </w:tc>
        <w:tc>
          <w:tcPr>
            <w:tcW w:w="1120" w:type="dxa"/>
            <w:tcBorders/>
          </w:tcPr>
          <w:p>
            <w:pPr>
              <w:pStyle w:val="Normal"/>
              <w:spacing w:lineRule="atLeast" w:line="0"/>
              <w:ind w:left="440" w:right="0"/>
              <w:rPr>
                <w:rFonts w:ascii="Corbel" w:hAnsi="Corbel" w:eastAsia="Corbel" w:cs="Corbel"/>
                <w:sz w:val="23"/>
              </w:rPr>
            </w:pPr>
            <w:r>
              <w:rPr>
                <w:rFonts w:eastAsia="Corbel" w:cs="Corbel" w:ascii="Corbel" w:hAnsi="Corbel"/>
                <w:sz w:val="23"/>
              </w:rPr>
              <w:t>1.059</w:t>
            </w:r>
          </w:p>
        </w:tc>
        <w:tc>
          <w:tcPr>
            <w:tcW w:w="1120" w:type="dxa"/>
            <w:tcBorders/>
          </w:tcPr>
          <w:p>
            <w:pPr>
              <w:pStyle w:val="Normal"/>
              <w:spacing w:lineRule="atLeast" w:line="0"/>
              <w:ind w:right="48"/>
              <w:jc w:val="right"/>
              <w:rPr>
                <w:rFonts w:ascii="Corbel" w:hAnsi="Corbel" w:eastAsia="Corbel" w:cs="Corbel"/>
                <w:sz w:val="23"/>
              </w:rPr>
            </w:pPr>
            <w:r>
              <w:rPr>
                <w:rFonts w:eastAsia="Corbel" w:cs="Corbel" w:ascii="Corbel" w:hAnsi="Corbel"/>
                <w:sz w:val="23"/>
              </w:rPr>
              <w:t>-</w:t>
            </w:r>
          </w:p>
        </w:tc>
        <w:tc>
          <w:tcPr>
            <w:tcW w:w="1120" w:type="dxa"/>
            <w:tcBorders/>
          </w:tcPr>
          <w:p>
            <w:pPr>
              <w:pStyle w:val="Normal"/>
              <w:spacing w:lineRule="atLeast" w:line="0"/>
              <w:ind w:right="48"/>
              <w:jc w:val="right"/>
              <w:rPr>
                <w:rFonts w:ascii="Corbel" w:hAnsi="Corbel" w:eastAsia="Corbel" w:cs="Corbel"/>
                <w:sz w:val="23"/>
              </w:rPr>
            </w:pPr>
            <w:r>
              <w:rPr>
                <w:rFonts w:eastAsia="Corbel" w:cs="Corbel" w:ascii="Corbel" w:hAnsi="Corbel"/>
                <w:sz w:val="23"/>
              </w:rPr>
              <w:t>-</w:t>
            </w:r>
          </w:p>
        </w:tc>
        <w:tc>
          <w:tcPr>
            <w:tcW w:w="108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w:t>
            </w:r>
          </w:p>
        </w:tc>
        <w:tc>
          <w:tcPr>
            <w:tcW w:w="1120" w:type="dxa"/>
            <w:tcBorders/>
          </w:tcPr>
          <w:p>
            <w:pPr>
              <w:pStyle w:val="Normal"/>
              <w:spacing w:lineRule="atLeast" w:line="0"/>
              <w:jc w:val="right"/>
              <w:rPr>
                <w:rFonts w:ascii="Corbel" w:hAnsi="Corbel" w:eastAsia="Corbel" w:cs="Corbel"/>
                <w:sz w:val="23"/>
              </w:rPr>
            </w:pPr>
            <w:r>
              <w:rPr>
                <w:rFonts w:eastAsia="Corbel" w:cs="Corbel" w:ascii="Corbel" w:hAnsi="Corbel"/>
                <w:sz w:val="23"/>
              </w:rPr>
              <w:t>2.118</w:t>
            </w:r>
          </w:p>
        </w:tc>
      </w:tr>
      <w:tr>
        <w:trPr>
          <w:trHeight w:val="285" w:hRule="atLeast"/>
        </w:trPr>
        <w:tc>
          <w:tcPr>
            <w:tcW w:w="3380" w:type="dxa"/>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(Schedule C)</w:t>
            </w:r>
          </w:p>
        </w:tc>
        <w:tc>
          <w:tcPr>
            <w:tcW w:w="110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00" w:hRule="atLeast"/>
        </w:trPr>
        <w:tc>
          <w:tcPr>
            <w:tcW w:w="3380" w:type="dxa"/>
            <w:tcBorders/>
          </w:tcPr>
          <w:p>
            <w:pPr>
              <w:pStyle w:val="Normal"/>
              <w:spacing w:lineRule="atLeast" w:line="0"/>
              <w:ind w:left="400" w:right="0"/>
              <w:rPr>
                <w:rFonts w:ascii="Corbel" w:hAnsi="Corbel" w:eastAsia="Corbel" w:cs="Corbel"/>
                <w:i/>
                <w:i/>
                <w:sz w:val="23"/>
              </w:rPr>
            </w:pPr>
            <w:r>
              <w:rPr>
                <w:rFonts w:eastAsia="Corbel" w:cs="Corbel" w:ascii="Corbel" w:hAnsi="Corbel"/>
                <w:i/>
                <w:sz w:val="23"/>
              </w:rPr>
              <w:t>SACS</w:t>
            </w:r>
          </w:p>
        </w:tc>
        <w:tc>
          <w:tcPr>
            <w:tcW w:w="110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0.097</w:t>
            </w:r>
          </w:p>
        </w:tc>
        <w:tc>
          <w:tcPr>
            <w:tcW w:w="1120" w:type="dxa"/>
            <w:tcBorders/>
          </w:tcPr>
          <w:p>
            <w:pPr>
              <w:pStyle w:val="Normal"/>
              <w:spacing w:lineRule="atLeast" w:line="0"/>
              <w:ind w:left="440" w:right="0"/>
              <w:rPr>
                <w:rFonts w:ascii="Corbel" w:hAnsi="Corbel" w:eastAsia="Corbel" w:cs="Corbel"/>
                <w:sz w:val="23"/>
              </w:rPr>
            </w:pPr>
            <w:r>
              <w:rPr>
                <w:rFonts w:eastAsia="Corbel" w:cs="Corbel" w:ascii="Corbel" w:hAnsi="Corbel"/>
                <w:sz w:val="23"/>
              </w:rPr>
              <w:t>0.118</w:t>
            </w:r>
          </w:p>
        </w:tc>
        <w:tc>
          <w:tcPr>
            <w:tcW w:w="112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0.141</w:t>
            </w:r>
          </w:p>
        </w:tc>
        <w:tc>
          <w:tcPr>
            <w:tcW w:w="1120" w:type="dxa"/>
            <w:tcBorders/>
          </w:tcPr>
          <w:p>
            <w:pPr>
              <w:pStyle w:val="Normal"/>
              <w:spacing w:lineRule="atLeast" w:line="0"/>
              <w:ind w:right="48"/>
              <w:jc w:val="right"/>
              <w:rPr>
                <w:rFonts w:ascii="Corbel" w:hAnsi="Corbel" w:eastAsia="Corbel" w:cs="Corbel"/>
                <w:sz w:val="23"/>
              </w:rPr>
            </w:pPr>
            <w:r>
              <w:rPr>
                <w:rFonts w:eastAsia="Corbel" w:cs="Corbel" w:ascii="Corbel" w:hAnsi="Corbel"/>
                <w:sz w:val="23"/>
              </w:rPr>
              <w:t>0.168</w:t>
            </w:r>
          </w:p>
        </w:tc>
        <w:tc>
          <w:tcPr>
            <w:tcW w:w="108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0.196</w:t>
            </w:r>
          </w:p>
        </w:tc>
        <w:tc>
          <w:tcPr>
            <w:tcW w:w="112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0.720</w:t>
            </w:r>
          </w:p>
        </w:tc>
      </w:tr>
      <w:tr>
        <w:trPr>
          <w:trHeight w:val="300" w:hRule="atLeast"/>
        </w:trPr>
        <w:tc>
          <w:tcPr>
            <w:tcW w:w="3380" w:type="dxa"/>
            <w:tcBorders/>
          </w:tcPr>
          <w:p>
            <w:pPr>
              <w:pStyle w:val="Normal"/>
              <w:spacing w:lineRule="atLeast" w:line="0"/>
              <w:ind w:left="400" w:right="0"/>
              <w:rPr>
                <w:rFonts w:ascii="Corbel" w:hAnsi="Corbel" w:eastAsia="Corbel" w:cs="Corbel"/>
                <w:sz w:val="23"/>
              </w:rPr>
            </w:pPr>
            <w:r>
              <w:rPr>
                <w:rFonts w:eastAsia="Corbel" w:cs="Corbel" w:ascii="Corbel" w:hAnsi="Corbel"/>
                <w:sz w:val="23"/>
              </w:rPr>
              <w:t>Community legal centres total</w:t>
            </w:r>
          </w:p>
        </w:tc>
        <w:tc>
          <w:tcPr>
            <w:tcW w:w="110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1.542</w:t>
            </w:r>
          </w:p>
        </w:tc>
        <w:tc>
          <w:tcPr>
            <w:tcW w:w="1120" w:type="dxa"/>
            <w:tcBorders/>
          </w:tcPr>
          <w:p>
            <w:pPr>
              <w:pStyle w:val="Normal"/>
              <w:spacing w:lineRule="atLeast" w:line="0"/>
              <w:ind w:left="460" w:right="0"/>
              <w:rPr>
                <w:rFonts w:ascii="Corbel" w:hAnsi="Corbel" w:eastAsia="Corbel" w:cs="Corbel"/>
                <w:sz w:val="23"/>
              </w:rPr>
            </w:pPr>
            <w:r>
              <w:rPr>
                <w:rFonts w:eastAsia="Corbel" w:cs="Corbel" w:ascii="Corbel" w:hAnsi="Corbel"/>
                <w:sz w:val="23"/>
              </w:rPr>
              <w:t>1.551</w:t>
            </w:r>
          </w:p>
        </w:tc>
        <w:tc>
          <w:tcPr>
            <w:tcW w:w="112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1.124</w:t>
            </w:r>
          </w:p>
        </w:tc>
        <w:tc>
          <w:tcPr>
            <w:tcW w:w="1120" w:type="dxa"/>
            <w:tcBorders/>
          </w:tcPr>
          <w:p>
            <w:pPr>
              <w:pStyle w:val="Normal"/>
              <w:spacing w:lineRule="atLeast" w:line="0"/>
              <w:ind w:right="68"/>
              <w:jc w:val="right"/>
              <w:rPr>
                <w:rFonts w:ascii="Corbel" w:hAnsi="Corbel" w:eastAsia="Corbel" w:cs="Corbel"/>
                <w:sz w:val="23"/>
              </w:rPr>
            </w:pPr>
            <w:r>
              <w:rPr>
                <w:rFonts w:eastAsia="Corbel" w:cs="Corbel" w:ascii="Corbel" w:hAnsi="Corbel"/>
                <w:sz w:val="23"/>
              </w:rPr>
              <w:t>1.167</w:t>
            </w:r>
          </w:p>
        </w:tc>
        <w:tc>
          <w:tcPr>
            <w:tcW w:w="108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1.211</w:t>
            </w:r>
          </w:p>
        </w:tc>
        <w:tc>
          <w:tcPr>
            <w:tcW w:w="1120" w:type="dxa"/>
            <w:tcBorders/>
          </w:tcPr>
          <w:p>
            <w:pPr>
              <w:pStyle w:val="Normal"/>
              <w:spacing w:lineRule="atLeast" w:line="0"/>
              <w:ind w:right="8"/>
              <w:jc w:val="right"/>
              <w:rPr>
                <w:rFonts w:ascii="Corbel" w:hAnsi="Corbel" w:eastAsia="Corbel" w:cs="Corbel"/>
                <w:sz w:val="23"/>
              </w:rPr>
            </w:pPr>
            <w:r>
              <w:rPr>
                <w:rFonts w:eastAsia="Corbel" w:cs="Corbel" w:ascii="Corbel" w:hAnsi="Corbel"/>
                <w:sz w:val="23"/>
              </w:rPr>
              <w:t>6.595</w:t>
            </w:r>
          </w:p>
        </w:tc>
      </w:tr>
      <w:tr>
        <w:trPr>
          <w:trHeight w:val="23" w:hRule="atLeast"/>
        </w:trPr>
        <w:tc>
          <w:tcPr>
            <w:tcW w:w="33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61" w:hRule="atLeast"/>
        </w:trPr>
        <w:tc>
          <w:tcPr>
            <w:tcW w:w="3380" w:type="dxa"/>
            <w:tcBorders/>
          </w:tcPr>
          <w:p>
            <w:pPr>
              <w:pStyle w:val="Normal"/>
              <w:spacing w:lineRule="exact" w:line="260"/>
              <w:ind w:left="120" w:right="0"/>
              <w:rPr>
                <w:rFonts w:ascii="Corbel" w:hAnsi="Corbel" w:eastAsia="Corbel" w:cs="Corbel"/>
                <w:b/>
                <w:sz w:val="23"/>
              </w:rPr>
            </w:pPr>
            <w:r>
              <w:rPr>
                <w:rFonts w:eastAsia="Corbel" w:cs="Corbel" w:ascii="Corbel" w:hAnsi="Corbel"/>
                <w:b/>
                <w:sz w:val="23"/>
              </w:rPr>
              <w:t>Total Commonwealth</w:t>
            </w:r>
          </w:p>
        </w:tc>
        <w:tc>
          <w:tcPr>
            <w:tcW w:w="1100" w:type="dxa"/>
            <w:vMerge w:val="restart"/>
            <w:tcBorders/>
          </w:tcPr>
          <w:p>
            <w:pPr>
              <w:pStyle w:val="Normal"/>
              <w:spacing w:lineRule="atLeast" w:line="0"/>
              <w:ind w:right="108"/>
              <w:jc w:val="right"/>
              <w:rPr>
                <w:rFonts w:ascii="Corbel" w:hAnsi="Corbel" w:eastAsia="Corbel" w:cs="Corbel"/>
                <w:b/>
                <w:sz w:val="23"/>
              </w:rPr>
            </w:pPr>
            <w:r>
              <w:rPr>
                <w:rFonts w:eastAsia="Corbel" w:cs="Corbel" w:ascii="Corbel" w:hAnsi="Corbel"/>
                <w:b/>
                <w:sz w:val="23"/>
              </w:rPr>
              <w:t>250.942</w:t>
            </w:r>
          </w:p>
        </w:tc>
        <w:tc>
          <w:tcPr>
            <w:tcW w:w="1120" w:type="dxa"/>
            <w:vMerge w:val="restart"/>
            <w:tcBorders/>
          </w:tcPr>
          <w:p>
            <w:pPr>
              <w:pStyle w:val="Normal"/>
              <w:spacing w:lineRule="atLeast" w:line="0"/>
              <w:ind w:right="108"/>
              <w:jc w:val="right"/>
              <w:rPr>
                <w:rFonts w:ascii="Corbel" w:hAnsi="Corbel" w:eastAsia="Corbel" w:cs="Corbel"/>
                <w:b/>
                <w:sz w:val="23"/>
              </w:rPr>
            </w:pPr>
            <w:r>
              <w:rPr>
                <w:rFonts w:eastAsia="Corbel" w:cs="Corbel" w:ascii="Corbel" w:hAnsi="Corbel"/>
                <w:b/>
                <w:sz w:val="23"/>
              </w:rPr>
              <w:t>257.144</w:t>
            </w:r>
          </w:p>
        </w:tc>
        <w:tc>
          <w:tcPr>
            <w:tcW w:w="1120" w:type="dxa"/>
            <w:vMerge w:val="restart"/>
            <w:tcBorders/>
          </w:tcPr>
          <w:p>
            <w:pPr>
              <w:pStyle w:val="Normal"/>
              <w:spacing w:lineRule="atLeast" w:line="0"/>
              <w:ind w:right="108"/>
              <w:jc w:val="right"/>
              <w:rPr>
                <w:rFonts w:ascii="Corbel" w:hAnsi="Corbel" w:eastAsia="Corbel" w:cs="Corbel"/>
                <w:b/>
                <w:sz w:val="23"/>
              </w:rPr>
            </w:pPr>
            <w:r>
              <w:rPr>
                <w:rFonts w:eastAsia="Corbel" w:cs="Corbel" w:ascii="Corbel" w:hAnsi="Corbel"/>
                <w:b/>
                <w:sz w:val="23"/>
              </w:rPr>
              <w:t>248.714</w:t>
            </w:r>
          </w:p>
        </w:tc>
        <w:tc>
          <w:tcPr>
            <w:tcW w:w="1120" w:type="dxa"/>
            <w:vMerge w:val="restart"/>
            <w:tcBorders/>
          </w:tcPr>
          <w:p>
            <w:pPr>
              <w:pStyle w:val="Normal"/>
              <w:spacing w:lineRule="atLeast" w:line="0"/>
              <w:ind w:right="108"/>
              <w:jc w:val="right"/>
              <w:rPr>
                <w:rFonts w:ascii="Corbel" w:hAnsi="Corbel" w:eastAsia="Corbel" w:cs="Corbel"/>
                <w:b/>
                <w:sz w:val="23"/>
              </w:rPr>
            </w:pPr>
            <w:r>
              <w:rPr>
                <w:rFonts w:eastAsia="Corbel" w:cs="Corbel" w:ascii="Corbel" w:hAnsi="Corbel"/>
                <w:b/>
                <w:sz w:val="23"/>
              </w:rPr>
              <w:t>252.901</w:t>
            </w:r>
          </w:p>
        </w:tc>
        <w:tc>
          <w:tcPr>
            <w:tcW w:w="1080" w:type="dxa"/>
            <w:vMerge w:val="restart"/>
            <w:tcBorders/>
          </w:tcPr>
          <w:p>
            <w:pPr>
              <w:pStyle w:val="Normal"/>
              <w:spacing w:lineRule="atLeast" w:line="0"/>
              <w:ind w:right="68"/>
              <w:jc w:val="right"/>
              <w:rPr>
                <w:rFonts w:ascii="Corbel" w:hAnsi="Corbel" w:eastAsia="Corbel" w:cs="Corbel"/>
                <w:b/>
                <w:sz w:val="23"/>
              </w:rPr>
            </w:pPr>
            <w:r>
              <w:rPr>
                <w:rFonts w:eastAsia="Corbel" w:cs="Corbel" w:ascii="Corbel" w:hAnsi="Corbel"/>
                <w:b/>
                <w:sz w:val="23"/>
              </w:rPr>
              <w:t>256.838</w:t>
            </w:r>
          </w:p>
        </w:tc>
        <w:tc>
          <w:tcPr>
            <w:tcW w:w="1120" w:type="dxa"/>
            <w:vMerge w:val="restart"/>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1266.539</w:t>
            </w:r>
          </w:p>
        </w:tc>
      </w:tr>
      <w:tr>
        <w:trPr>
          <w:trHeight w:val="131" w:hRule="atLeast"/>
        </w:trPr>
        <w:tc>
          <w:tcPr>
            <w:tcW w:w="3380" w:type="dxa"/>
            <w:vMerge w:val="restart"/>
            <w:tcBorders/>
          </w:tcPr>
          <w:p>
            <w:pPr>
              <w:pStyle w:val="Normal"/>
              <w:spacing w:lineRule="exact" w:line="237"/>
              <w:ind w:left="120" w:right="0"/>
              <w:rPr>
                <w:rFonts w:ascii="Corbel" w:hAnsi="Corbel" w:eastAsia="Corbel" w:cs="Corbel"/>
                <w:b/>
                <w:sz w:val="23"/>
              </w:rPr>
            </w:pPr>
            <w:r>
              <w:rPr>
                <w:rFonts w:eastAsia="Corbel" w:cs="Corbel" w:ascii="Corbel" w:hAnsi="Corbel"/>
                <w:b/>
                <w:sz w:val="23"/>
              </w:rPr>
              <w:t>Contribution</w:t>
            </w:r>
          </w:p>
        </w:tc>
        <w:tc>
          <w:tcPr>
            <w:tcW w:w="1100" w:type="dxa"/>
            <w:vMerge w:val="continue"/>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8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05" w:hRule="atLeast"/>
        </w:trPr>
        <w:tc>
          <w:tcPr>
            <w:tcW w:w="33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numPr>
          <w:ilvl w:val="0"/>
          <w:numId w:val="22"/>
        </w:numPr>
        <w:tabs>
          <w:tab w:val="clear" w:pos="720"/>
          <w:tab w:val="left" w:pos="280" w:leader="none"/>
        </w:tabs>
        <w:spacing w:lineRule="auto" w:line="194"/>
        <w:ind w:hanging="120" w:left="280" w:right="0"/>
        <w:rPr>
          <w:rFonts w:ascii="Corbel" w:hAnsi="Corbel" w:eastAsia="Corbel" w:cs="Corbel"/>
          <w:sz w:val="30"/>
          <w:vertAlign w:val="superscript"/>
        </w:rPr>
      </w:pPr>
      <w:r>
        <w:rPr>
          <w:rFonts w:eastAsia="Corbel" w:cs="Corbel" w:ascii="Corbel" w:hAnsi="Corbel"/>
          <w:sz w:val="23"/>
        </w:rPr>
        <w:t>Figures may not add due to rounding.</w:t>
      </w:r>
    </w:p>
    <w:p>
      <w:pPr>
        <w:pStyle w:val="Normal"/>
        <w:spacing w:lineRule="exact" w:line="20"/>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mc:AlternateContent>
          <mc:Choice Requires="wps">
            <w:drawing>
              <wp:anchor behindDoc="1" distT="0" distB="0" distL="114935" distR="114935" simplePos="0" locked="0" layoutInCell="1" allowOverlap="1" relativeHeight="13">
                <wp:simplePos x="0" y="0"/>
                <wp:positionH relativeFrom="column">
                  <wp:posOffset>-3175</wp:posOffset>
                </wp:positionH>
                <wp:positionV relativeFrom="paragraph">
                  <wp:posOffset>-160655</wp:posOffset>
                </wp:positionV>
                <wp:extent cx="6381750" cy="0"/>
                <wp:effectExtent l="0" t="5080" r="0" b="5080"/>
                <wp:wrapNone/>
                <wp:docPr id="12" name=""/>
                <a:graphic xmlns:a="http://schemas.openxmlformats.org/drawingml/2006/main">
                  <a:graphicData uri="http://schemas.microsoft.com/office/word/2010/wordprocessingShape">
                    <wps:wsp>
                      <wps:cNvSpPr/>
                      <wps:spPr>
                        <a:xfrm>
                          <a:off x="0" y="0"/>
                          <a:ext cx="63817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25pt,-12.65pt" to="502.2pt,-12.65pt" stroked="t" o:allowincell="f" style="position:absolute">
                <v:stroke color="black" weight="9360" joinstyle="miter" endcap="flat"/>
                <v:fill o:detectmouseclick="t" on="false"/>
                <w10:wrap type="none"/>
              </v:line>
            </w:pict>
          </mc:Fallback>
        </mc:AlternateContent>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Use of Commonwealth funds</w:t>
      </w:r>
    </w:p>
    <w:p>
      <w:pPr>
        <w:pStyle w:val="Normal"/>
        <w:spacing w:lineRule="exact" w:line="13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23"/>
        </w:numPr>
        <w:tabs>
          <w:tab w:val="clear" w:pos="720"/>
          <w:tab w:val="left" w:pos="721" w:leader="none"/>
        </w:tabs>
        <w:spacing w:lineRule="auto" w:line="228"/>
        <w:ind w:hanging="560" w:left="720" w:right="320"/>
        <w:rPr>
          <w:rFonts w:ascii="Corbel" w:hAnsi="Corbel" w:eastAsia="Corbel" w:cs="Corbel"/>
          <w:sz w:val="23"/>
        </w:rPr>
      </w:pPr>
      <w:r>
        <w:rPr>
          <w:rFonts w:eastAsia="Corbel" w:cs="Corbel" w:ascii="Corbel" w:hAnsi="Corbel"/>
          <w:sz w:val="23"/>
        </w:rPr>
        <w:t>Commonwealth legal aid commission funding will be used for Commonwealth law matters only, except:</w:t>
      </w:r>
    </w:p>
    <w:p>
      <w:pPr>
        <w:pStyle w:val="Normal"/>
        <w:spacing w:lineRule="exact" w:line="259"/>
        <w:rPr>
          <w:rFonts w:ascii="Corbel" w:hAnsi="Corbel" w:eastAsia="Corbel" w:cs="Corbel"/>
          <w:sz w:val="23"/>
        </w:rPr>
      </w:pPr>
      <w:r>
        <w:rPr>
          <w:rFonts w:eastAsia="Corbel" w:cs="Corbel" w:ascii="Corbel" w:hAnsi="Corbel"/>
          <w:sz w:val="23"/>
        </w:rPr>
      </w:r>
    </w:p>
    <w:p>
      <w:pPr>
        <w:pStyle w:val="Normal"/>
        <w:numPr>
          <w:ilvl w:val="1"/>
          <w:numId w:val="23"/>
        </w:numPr>
        <w:tabs>
          <w:tab w:val="clear" w:pos="720"/>
          <w:tab w:val="left" w:pos="1280" w:leader="none"/>
        </w:tabs>
        <w:spacing w:lineRule="auto" w:line="228"/>
        <w:ind w:hanging="550" w:left="1280" w:right="80"/>
        <w:rPr>
          <w:rFonts w:ascii="Corbel" w:hAnsi="Corbel" w:eastAsia="Corbel" w:cs="Corbel"/>
          <w:sz w:val="23"/>
        </w:rPr>
      </w:pPr>
      <w:r>
        <w:rPr>
          <w:rFonts w:eastAsia="Corbel" w:cs="Corbel" w:ascii="Corbel" w:hAnsi="Corbel"/>
          <w:sz w:val="23"/>
        </w:rPr>
        <w:t>where State law matters relating to the safety or welfare of a child are connected with family law proceedings;</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1"/>
          <w:numId w:val="23"/>
        </w:numPr>
        <w:tabs>
          <w:tab w:val="clear" w:pos="720"/>
          <w:tab w:val="left" w:pos="1280" w:leader="none"/>
        </w:tabs>
        <w:spacing w:lineRule="auto" w:line="220"/>
        <w:ind w:hanging="550" w:left="1280" w:right="960"/>
        <w:rPr>
          <w:rFonts w:ascii="Corbel" w:hAnsi="Corbel" w:eastAsia="Corbel" w:cs="Corbel"/>
          <w:sz w:val="23"/>
        </w:rPr>
      </w:pPr>
      <w:r>
        <w:rPr>
          <w:rFonts w:eastAsia="Corbel" w:cs="Corbel" w:ascii="Corbel" w:hAnsi="Corbel"/>
          <w:sz w:val="23"/>
        </w:rPr>
        <w:t>where State law matters relating to a person’s safety are connected with family law proceedings; or</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1"/>
          <w:numId w:val="23"/>
        </w:numPr>
        <w:tabs>
          <w:tab w:val="clear" w:pos="720"/>
          <w:tab w:val="left" w:pos="1280" w:leader="none"/>
        </w:tabs>
        <w:spacing w:lineRule="auto" w:line="220"/>
        <w:ind w:hanging="550" w:left="1280" w:right="740"/>
        <w:rPr>
          <w:rFonts w:ascii="Corbel" w:hAnsi="Corbel" w:eastAsia="Corbel" w:cs="Corbel"/>
          <w:sz w:val="23"/>
        </w:rPr>
      </w:pPr>
      <w:r>
        <w:rPr>
          <w:rFonts w:eastAsia="Corbel" w:cs="Corbel" w:ascii="Corbel" w:hAnsi="Corbel"/>
          <w:sz w:val="23"/>
        </w:rPr>
        <w:t>in discrete assistance or community legal education, regardless of whether the matter relates to Commonwealth or State laws.</w:t>
      </w:r>
    </w:p>
    <w:p>
      <w:pPr>
        <w:pStyle w:val="Normal"/>
        <w:spacing w:lineRule="exact" w:line="230"/>
        <w:rPr>
          <w:rFonts w:ascii="Corbel" w:hAnsi="Corbel" w:eastAsia="Corbel" w:cs="Corbel"/>
          <w:sz w:val="23"/>
        </w:rPr>
      </w:pPr>
      <w:r>
        <w:rPr>
          <w:rFonts w:eastAsia="Corbel" w:cs="Corbel" w:ascii="Corbel" w:hAnsi="Corbel"/>
          <w:sz w:val="23"/>
        </w:rPr>
      </w:r>
    </w:p>
    <w:p>
      <w:pPr>
        <w:pStyle w:val="Normal"/>
        <w:numPr>
          <w:ilvl w:val="0"/>
          <w:numId w:val="23"/>
        </w:numPr>
        <w:tabs>
          <w:tab w:val="clear" w:pos="720"/>
          <w:tab w:val="left" w:pos="721" w:leader="none"/>
        </w:tabs>
        <w:spacing w:lineRule="auto" w:line="235"/>
        <w:ind w:hanging="560" w:left="720" w:right="140"/>
        <w:rPr>
          <w:rFonts w:ascii="Corbel" w:hAnsi="Corbel" w:eastAsia="Corbel" w:cs="Corbel"/>
          <w:sz w:val="23"/>
        </w:rPr>
      </w:pPr>
      <w:r>
        <w:rPr>
          <w:rFonts w:eastAsia="Corbel" w:cs="Corbel" w:ascii="Corbel" w:hAnsi="Corbel"/>
          <w:sz w:val="23"/>
        </w:rPr>
        <w:t>The use of Commonwealth funding for the delivery of legal assistance services by legal aid commissions and community legal centres under this Agreement will be informed by outcomes of collaborative service planning and the Commonwealth priorities and eligibility principles in Schedule B.</w:t>
      </w:r>
    </w:p>
    <w:p>
      <w:pPr>
        <w:pStyle w:val="Normal"/>
        <w:spacing w:lineRule="exact" w:line="24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Payments</w:t>
      </w:r>
    </w:p>
    <w:p>
      <w:pPr>
        <w:pStyle w:val="Normal"/>
        <w:spacing w:lineRule="exact" w:line="25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24"/>
        </w:numPr>
        <w:tabs>
          <w:tab w:val="clear" w:pos="720"/>
          <w:tab w:val="left" w:pos="722" w:leader="none"/>
        </w:tabs>
        <w:spacing w:lineRule="auto" w:line="261"/>
        <w:ind w:hanging="560" w:left="720" w:right="120"/>
        <w:rPr>
          <w:rFonts w:ascii="Corbel" w:hAnsi="Corbel" w:eastAsia="Corbel" w:cs="Corbel"/>
          <w:sz w:val="21"/>
        </w:rPr>
      </w:pPr>
      <w:r>
        <w:rPr>
          <w:rFonts w:eastAsia="Corbel" w:cs="Corbel" w:ascii="Corbel" w:hAnsi="Corbel"/>
          <w:sz w:val="21"/>
        </w:rPr>
        <w:t>Subject to the States meeting the requirements set out in Part 4 – Performance Monitoring and Reporting and in clauses 32 to 37 below, the Commonwealth will make six-monthly payments to the States for the delivery of legal assistance services undertaken under this Agreement. The total estimated financial contribution for each six month period would be equal to half of the Commonwealth’s estimated financial contribution to each State in the relevant financial year, and is expected to be paid in July and January for each financial year, subject to clauses 34, 36 and 37.</w:t>
      </w:r>
    </w:p>
    <w:p>
      <w:pPr>
        <w:pStyle w:val="Normal"/>
        <w:spacing w:lineRule="exact" w:line="234"/>
        <w:rPr>
          <w:rFonts w:ascii="Corbel" w:hAnsi="Corbel" w:eastAsia="Corbel" w:cs="Corbel"/>
          <w:sz w:val="21"/>
        </w:rPr>
      </w:pPr>
      <w:r>
        <w:rPr>
          <w:rFonts w:eastAsia="Corbel" w:cs="Corbel" w:ascii="Corbel" w:hAnsi="Corbel"/>
          <w:sz w:val="21"/>
        </w:rPr>
      </w:r>
    </w:p>
    <w:p>
      <w:pPr>
        <w:pStyle w:val="Normal"/>
        <w:numPr>
          <w:ilvl w:val="0"/>
          <w:numId w:val="24"/>
        </w:numPr>
        <w:tabs>
          <w:tab w:val="clear" w:pos="720"/>
          <w:tab w:val="left" w:pos="721" w:leader="none"/>
        </w:tabs>
        <w:spacing w:lineRule="auto" w:line="232"/>
        <w:ind w:hanging="560" w:left="720" w:right="280"/>
        <w:rPr>
          <w:rFonts w:ascii="Corbel" w:hAnsi="Corbel" w:eastAsia="Corbel" w:cs="Corbel"/>
          <w:sz w:val="23"/>
        </w:rPr>
      </w:pPr>
      <w:r>
        <w:rPr>
          <w:rFonts w:eastAsia="Corbel" w:cs="Corbel" w:ascii="Corbel" w:hAnsi="Corbel"/>
          <w:sz w:val="23"/>
        </w:rPr>
        <w:t>Commonwealth payments in 2015-16 for legal assistance services will be made subject to the States providing performance reports demonstrating that relevant milestones have been met, in accordance with Table 1.</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80" w:right="870" w:gutter="0" w:header="0" w:top="1181" w:footer="0" w:bottom="159"/>
          <w:pgNumType w:fmt="decimal"/>
          <w:formProt w:val="false"/>
          <w:textDirection w:val="lrTb"/>
          <w:docGrid w:type="default" w:linePitch="360" w:charSpace="0"/>
        </w:sectPr>
        <w:pStyle w:val="Normal"/>
        <w:spacing w:lineRule="atLeast" w:line="0"/>
        <w:jc w:val="right"/>
        <w:rPr>
          <w:rFonts w:ascii="Corbel" w:hAnsi="Corbel" w:eastAsia="Corbel" w:cs="Corbel"/>
          <w:color w:val="3C4A67"/>
          <w:sz w:val="18"/>
        </w:rPr>
      </w:pPr>
      <w:r>
        <w:rPr>
          <w:rFonts w:eastAsia="Corbel" w:cs="Corbel" w:ascii="Corbel" w:hAnsi="Corbel"/>
          <w:color w:val="3C4A67"/>
          <w:sz w:val="18"/>
        </w:rPr>
        <w:t>Page | 11</w:t>
      </w:r>
    </w:p>
    <w:p>
      <w:pPr>
        <w:pStyle w:val="Normal"/>
        <w:numPr>
          <w:ilvl w:val="0"/>
          <w:numId w:val="25"/>
        </w:numPr>
        <w:tabs>
          <w:tab w:val="clear" w:pos="720"/>
          <w:tab w:val="left" w:pos="581" w:leader="none"/>
        </w:tabs>
        <w:spacing w:lineRule="auto" w:line="232"/>
        <w:ind w:hanging="575" w:left="580" w:right="100"/>
        <w:rPr>
          <w:rFonts w:ascii="Corbel" w:hAnsi="Corbel" w:eastAsia="Corbel" w:cs="Corbel"/>
          <w:sz w:val="23"/>
        </w:rPr>
      </w:pPr>
      <w:bookmarkStart w:id="11" w:name="page12"/>
      <w:bookmarkEnd w:id="11"/>
      <w:r>
        <w:rPr>
          <w:rFonts w:eastAsia="Corbel" w:cs="Corbel" w:ascii="Corbel" w:hAnsi="Corbel"/>
          <w:sz w:val="23"/>
        </w:rPr>
        <w:t>Commonwealth payments from 2016-17 for legal assistance services delivered by legal aid commissions will be made subject to the States providing performance reports, in accordance with Table 1:</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1"/>
          <w:numId w:val="25"/>
        </w:numPr>
        <w:tabs>
          <w:tab w:val="clear" w:pos="720"/>
          <w:tab w:val="left" w:pos="1140" w:leader="none"/>
        </w:tabs>
        <w:spacing w:lineRule="auto" w:line="228"/>
        <w:ind w:hanging="565" w:left="1140" w:right="540"/>
        <w:rPr>
          <w:rFonts w:ascii="Corbel" w:hAnsi="Corbel" w:eastAsia="Corbel" w:cs="Corbel"/>
          <w:sz w:val="23"/>
        </w:rPr>
      </w:pPr>
      <w:r>
        <w:rPr>
          <w:rFonts w:eastAsia="Corbel" w:cs="Corbel" w:ascii="Corbel" w:hAnsi="Corbel"/>
          <w:sz w:val="23"/>
        </w:rPr>
        <w:t>demonstrating that the performance benchmark at clause 18(a) and relevant milestones have been met; and</w:t>
      </w:r>
    </w:p>
    <w:p>
      <w:pPr>
        <w:pStyle w:val="Normal"/>
        <w:spacing w:lineRule="exact" w:line="199"/>
        <w:rPr>
          <w:rFonts w:ascii="Corbel" w:hAnsi="Corbel" w:eastAsia="Corbel" w:cs="Corbel"/>
          <w:sz w:val="23"/>
        </w:rPr>
      </w:pPr>
      <w:r>
        <w:rPr>
          <w:rFonts w:eastAsia="Corbel" w:cs="Corbel" w:ascii="Corbel" w:hAnsi="Corbel"/>
          <w:sz w:val="23"/>
        </w:rPr>
      </w:r>
    </w:p>
    <w:p>
      <w:pPr>
        <w:pStyle w:val="Normal"/>
        <w:numPr>
          <w:ilvl w:val="1"/>
          <w:numId w:val="25"/>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providing information against the performance indicators.</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0"/>
          <w:numId w:val="25"/>
        </w:numPr>
        <w:tabs>
          <w:tab w:val="clear" w:pos="720"/>
          <w:tab w:val="left" w:pos="580" w:leader="none"/>
        </w:tabs>
        <w:spacing w:lineRule="atLeast" w:line="0"/>
        <w:ind w:hanging="575" w:left="580" w:right="0"/>
        <w:rPr>
          <w:rFonts w:ascii="Corbel" w:hAnsi="Corbel" w:eastAsia="Corbel" w:cs="Corbel"/>
          <w:sz w:val="23"/>
        </w:rPr>
      </w:pPr>
      <w:r>
        <w:rPr>
          <w:rFonts w:eastAsia="Corbel" w:cs="Corbel" w:ascii="Corbel" w:hAnsi="Corbel"/>
          <w:sz w:val="23"/>
        </w:rPr>
        <w:t>For the performance benchmark at clause 18(a), six-monthly payments between 2016-17 and</w:t>
      </w:r>
    </w:p>
    <w:p>
      <w:pPr>
        <w:pStyle w:val="Normal"/>
        <w:spacing w:lineRule="exact" w:line="19"/>
        <w:rPr>
          <w:rFonts w:ascii="Corbel" w:hAnsi="Corbel" w:eastAsia="Corbel" w:cs="Corbel"/>
          <w:sz w:val="23"/>
        </w:rPr>
      </w:pPr>
      <w:r>
        <w:rPr>
          <w:rFonts w:eastAsia="Corbel" w:cs="Corbel" w:ascii="Corbel" w:hAnsi="Corbel"/>
          <w:sz w:val="23"/>
        </w:rPr>
      </w:r>
    </w:p>
    <w:p>
      <w:pPr>
        <w:pStyle w:val="Normal"/>
        <w:spacing w:lineRule="auto" w:line="237"/>
        <w:ind w:firstLine="3" w:left="580" w:right="100"/>
        <w:rPr>
          <w:rFonts w:ascii="Corbel" w:hAnsi="Corbel" w:eastAsia="Corbel" w:cs="Corbel"/>
          <w:sz w:val="23"/>
        </w:rPr>
      </w:pPr>
      <w:r>
        <w:rPr>
          <w:rFonts w:eastAsia="Corbel" w:cs="Corbel" w:ascii="Corbel" w:hAnsi="Corbel"/>
          <w:sz w:val="23"/>
        </w:rPr>
        <w:t>2019-20 will be made on a pro rata basis where the State delivers at least 90% but less than 95% of representation services to people experiencing financial disadvantage, subject to all other performance requirements for the relevant reporting period being met. For example, where the State delivers 90% of representation services to people experiencing financial disadvantage, a payment of 90% of legal aid commission funding for the relevant reporting period will be made, subject to all other performance requirements for the relevant reporting period being met. Where the State delivers 95% or more of representation services to people experiencing financial disadvantage, the full six-monthly payment will be made, subject to all other performance requirements for the relevant reporting period being met.</w:t>
      </w:r>
    </w:p>
    <w:p>
      <w:pPr>
        <w:pStyle w:val="Normal"/>
        <w:spacing w:lineRule="exact" w:line="254"/>
        <w:rPr>
          <w:rFonts w:ascii="Corbel" w:hAnsi="Corbel" w:eastAsia="Corbel" w:cs="Corbel"/>
          <w:sz w:val="23"/>
        </w:rPr>
      </w:pPr>
      <w:r>
        <w:rPr>
          <w:rFonts w:eastAsia="Corbel" w:cs="Corbel" w:ascii="Corbel" w:hAnsi="Corbel"/>
          <w:sz w:val="23"/>
        </w:rPr>
      </w:r>
    </w:p>
    <w:p>
      <w:pPr>
        <w:pStyle w:val="Normal"/>
        <w:numPr>
          <w:ilvl w:val="0"/>
          <w:numId w:val="25"/>
        </w:numPr>
        <w:tabs>
          <w:tab w:val="clear" w:pos="720"/>
          <w:tab w:val="left" w:pos="581" w:leader="none"/>
        </w:tabs>
        <w:spacing w:lineRule="auto" w:line="237"/>
        <w:ind w:hanging="575" w:left="580" w:right="120"/>
        <w:rPr>
          <w:rFonts w:ascii="Corbel" w:hAnsi="Corbel" w:eastAsia="Corbel" w:cs="Corbel"/>
          <w:sz w:val="23"/>
        </w:rPr>
      </w:pPr>
      <w:r>
        <w:rPr>
          <w:rFonts w:eastAsia="Corbel" w:cs="Corbel" w:ascii="Corbel" w:hAnsi="Corbel"/>
          <w:sz w:val="23"/>
        </w:rPr>
        <w:t>Commonwealth payments from 2016-17 for legal assistance services delivered by community legal centres (including payments for community legal services listed in Schedule C and Commonwealth SACS supplementation) will be made subject to the States providing performance reports, in accordance with Table 1:</w:t>
      </w:r>
    </w:p>
    <w:p>
      <w:pPr>
        <w:pStyle w:val="Normal"/>
        <w:spacing w:lineRule="exact" w:line="246"/>
        <w:rPr>
          <w:rFonts w:ascii="Corbel" w:hAnsi="Corbel" w:eastAsia="Corbel" w:cs="Corbel"/>
          <w:sz w:val="23"/>
        </w:rPr>
      </w:pPr>
      <w:r>
        <w:rPr>
          <w:rFonts w:eastAsia="Corbel" w:cs="Corbel" w:ascii="Corbel" w:hAnsi="Corbel"/>
          <w:sz w:val="23"/>
        </w:rPr>
      </w:r>
    </w:p>
    <w:p>
      <w:pPr>
        <w:pStyle w:val="Normal"/>
        <w:numPr>
          <w:ilvl w:val="1"/>
          <w:numId w:val="25"/>
        </w:numPr>
        <w:tabs>
          <w:tab w:val="clear" w:pos="720"/>
          <w:tab w:val="left" w:pos="1140" w:leader="none"/>
        </w:tabs>
        <w:spacing w:lineRule="auto" w:line="228"/>
        <w:ind w:hanging="565" w:left="1140" w:right="140"/>
        <w:rPr>
          <w:rFonts w:ascii="Corbel" w:hAnsi="Corbel" w:eastAsia="Corbel" w:cs="Corbel"/>
          <w:sz w:val="23"/>
        </w:rPr>
      </w:pPr>
      <w:r>
        <w:rPr>
          <w:rFonts w:eastAsia="Corbel" w:cs="Corbel" w:ascii="Corbel" w:hAnsi="Corbel"/>
          <w:sz w:val="23"/>
        </w:rPr>
        <w:t>demonstrating that the relevant performance benchmarks at clause 18(b) or (c) and relevant milestones have been met; and</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1"/>
          <w:numId w:val="25"/>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providing information against the performance indicators.</w:t>
      </w:r>
    </w:p>
    <w:p>
      <w:pPr>
        <w:pStyle w:val="Normal"/>
        <w:spacing w:lineRule="exact" w:line="228"/>
        <w:rPr>
          <w:rFonts w:ascii="Corbel" w:hAnsi="Corbel" w:eastAsia="Corbel" w:cs="Corbel"/>
          <w:sz w:val="23"/>
        </w:rPr>
      </w:pPr>
      <w:r>
        <w:rPr>
          <w:rFonts w:eastAsia="Corbel" w:cs="Corbel" w:ascii="Corbel" w:hAnsi="Corbel"/>
          <w:sz w:val="23"/>
        </w:rPr>
      </w:r>
    </w:p>
    <w:p>
      <w:pPr>
        <w:pStyle w:val="Normal"/>
        <w:numPr>
          <w:ilvl w:val="0"/>
          <w:numId w:val="25"/>
        </w:numPr>
        <w:tabs>
          <w:tab w:val="clear" w:pos="720"/>
          <w:tab w:val="left" w:pos="581" w:leader="none"/>
        </w:tabs>
        <w:spacing w:lineRule="auto" w:line="237"/>
        <w:ind w:hanging="574" w:left="580" w:right="320"/>
        <w:rPr>
          <w:rFonts w:ascii="Corbel" w:hAnsi="Corbel" w:eastAsia="Corbel" w:cs="Corbel"/>
          <w:sz w:val="23"/>
        </w:rPr>
      </w:pPr>
      <w:r>
        <w:rPr>
          <w:rFonts w:eastAsia="Corbel" w:cs="Corbel" w:ascii="Corbel" w:hAnsi="Corbel"/>
          <w:sz w:val="23"/>
        </w:rPr>
        <w:t>For the performance benchmark at clause 18(b), six-monthly payments between 2016-17 and 2017-18 will be made in full where the State delivers 85% of representation services to people experiencing financial disadvantage in aggregate, subject to all other performance requirements for the relevant reporting period being met.</w:t>
      </w:r>
    </w:p>
    <w:p>
      <w:pPr>
        <w:pStyle w:val="Normal"/>
        <w:spacing w:lineRule="exact" w:line="232"/>
        <w:rPr>
          <w:rFonts w:ascii="Corbel" w:hAnsi="Corbel" w:eastAsia="Corbel" w:cs="Corbel"/>
          <w:sz w:val="23"/>
        </w:rPr>
      </w:pPr>
      <w:r>
        <w:rPr>
          <w:rFonts w:eastAsia="Corbel" w:cs="Corbel" w:ascii="Corbel" w:hAnsi="Corbel"/>
          <w:sz w:val="23"/>
        </w:rPr>
      </w:r>
    </w:p>
    <w:p>
      <w:pPr>
        <w:pStyle w:val="Normal"/>
        <w:numPr>
          <w:ilvl w:val="0"/>
          <w:numId w:val="25"/>
        </w:numPr>
        <w:tabs>
          <w:tab w:val="clear" w:pos="720"/>
          <w:tab w:val="left" w:pos="580" w:leader="none"/>
        </w:tabs>
        <w:spacing w:lineRule="atLeast" w:line="0"/>
        <w:ind w:hanging="575" w:left="580" w:right="0"/>
        <w:rPr>
          <w:rFonts w:ascii="Corbel" w:hAnsi="Corbel" w:eastAsia="Corbel" w:cs="Corbel"/>
          <w:sz w:val="23"/>
        </w:rPr>
      </w:pPr>
      <w:r>
        <w:rPr>
          <w:rFonts w:eastAsia="Corbel" w:cs="Corbel" w:ascii="Corbel" w:hAnsi="Corbel"/>
          <w:sz w:val="23"/>
        </w:rPr>
        <w:t>For the performance benchmark at clause 18(c), six-monthly payments between 2018-19 and</w:t>
      </w:r>
    </w:p>
    <w:p>
      <w:pPr>
        <w:pStyle w:val="Normal"/>
        <w:spacing w:lineRule="exact" w:line="18"/>
        <w:rPr>
          <w:rFonts w:ascii="Corbel" w:hAnsi="Corbel" w:eastAsia="Corbel" w:cs="Corbel"/>
          <w:sz w:val="23"/>
        </w:rPr>
      </w:pPr>
      <w:r>
        <w:rPr>
          <w:rFonts w:eastAsia="Corbel" w:cs="Corbel" w:ascii="Corbel" w:hAnsi="Corbel"/>
          <w:sz w:val="23"/>
        </w:rPr>
      </w:r>
    </w:p>
    <w:p>
      <w:pPr>
        <w:pStyle w:val="Normal"/>
        <w:spacing w:lineRule="auto" w:line="237"/>
        <w:ind w:firstLine="3" w:left="580" w:right="60"/>
        <w:rPr>
          <w:rFonts w:ascii="Corbel" w:hAnsi="Corbel" w:eastAsia="Corbel" w:cs="Corbel"/>
          <w:sz w:val="23"/>
        </w:rPr>
      </w:pPr>
      <w:r>
        <w:rPr>
          <w:rFonts w:eastAsia="Corbel" w:cs="Corbel" w:ascii="Corbel" w:hAnsi="Corbel"/>
          <w:sz w:val="23"/>
        </w:rPr>
        <w:t>2019-20 will be made on a pro rata basis where the State delivers, in aggregate, at least 85% but less than 90% of representation services to people experiencing financial disadvantage, subject to all other performance requirements for the relevant reporting period being met. For example, where the State delivers 85% of representation services to people experiencing financial disadvantage, a payment of 85% of total community legal centre funding for the relevant reporting period will be made, subject to all other performance requirements for the relevant reporting period being met. Where the State delivers 90% or more of representation services to people experiencing financial disadvantage in aggregate, the full six-monthly payment will be made, subject to all other performance requirements for the relevant reporting period being met.</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Project management risk</w:t>
      </w:r>
    </w:p>
    <w:p>
      <w:pPr>
        <w:pStyle w:val="Normal"/>
        <w:spacing w:lineRule="exact" w:line="123"/>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26"/>
        </w:numPr>
        <w:tabs>
          <w:tab w:val="clear" w:pos="720"/>
          <w:tab w:val="left" w:pos="581" w:leader="none"/>
        </w:tabs>
        <w:spacing w:lineRule="auto" w:line="235"/>
        <w:ind w:hanging="575" w:left="580" w:right="340"/>
        <w:rPr>
          <w:rFonts w:ascii="Corbel" w:hAnsi="Corbel" w:eastAsia="Corbel" w:cs="Corbel"/>
          <w:sz w:val="23"/>
        </w:rPr>
      </w:pPr>
      <w:r>
        <w:rPr>
          <w:rFonts w:eastAsia="Corbel" w:cs="Corbel" w:ascii="Corbel" w:hAnsi="Corbel"/>
          <w:sz w:val="23"/>
        </w:rPr>
        <w:t>Having regard to the agreed estimated costs of delivering Commonwealth legal assistance services, a State will not be required to pay a refund to the Commonwealth if the actual cost of delivering the services is less than the agreed funding provided. Similarly, the States bear all risk should the costs of delivering legal assistance services exceed the agreed funding provided. The Parties acknowledge that this arrangement provides the maximum incentive for the States to deliver projects cost effectively and efficiently.</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1906" w:h="16838"/>
          <w:pgMar w:left="1120" w:right="870" w:gutter="0" w:header="0" w:top="1120" w:footer="0" w:bottom="159"/>
          <w:pgNumType w:fmt="decimal"/>
          <w:formProt w:val="false"/>
          <w:textDirection w:val="lrTb"/>
          <w:docGrid w:type="default" w:linePitch="360" w:charSpace="0"/>
        </w:sectPr>
        <w:pStyle w:val="Normal"/>
        <w:spacing w:lineRule="atLeast" w:line="0"/>
        <w:jc w:val="right"/>
        <w:rPr>
          <w:rFonts w:ascii="Corbel" w:hAnsi="Corbel" w:eastAsia="Corbel" w:cs="Corbel"/>
          <w:color w:val="3C4A67"/>
          <w:sz w:val="18"/>
        </w:rPr>
      </w:pPr>
      <w:r>
        <w:rPr>
          <w:rFonts w:eastAsia="Corbel" w:cs="Corbel" w:ascii="Corbel" w:hAnsi="Corbel"/>
          <w:color w:val="3C4A67"/>
          <w:sz w:val="18"/>
        </w:rPr>
        <w:t>Page | 12</w:t>
      </w:r>
    </w:p>
    <w:p>
      <w:pPr>
        <w:pStyle w:val="Normal"/>
        <w:spacing w:lineRule="atLeast" w:line="0"/>
        <w:ind w:left="20" w:right="0"/>
        <w:rPr/>
      </w:pPr>
      <w:bookmarkStart w:id="12" w:name="page13"/>
      <w:bookmarkEnd w:id="12"/>
      <w:r>
        <w:rPr>
          <w:rFonts w:eastAsia="Consolas" w:cs="Consolas" w:ascii="Consolas" w:hAnsi="Consolas"/>
          <w:color w:val="3C4A67"/>
          <w:sz w:val="32"/>
        </w:rPr>
        <w:t>PART 6 — GOVERNANCE ARRANGEMENTS</w:t>
      </w:r>
    </w:p>
    <w:p>
      <w:pPr>
        <w:pStyle w:val="Normal"/>
        <w:spacing w:lineRule="exact" w:line="198"/>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Enforceability of this Agreement</w:t>
      </w:r>
    </w:p>
    <w:p>
      <w:pPr>
        <w:pStyle w:val="Normal"/>
        <w:spacing w:lineRule="exact" w:line="123"/>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27"/>
        </w:numPr>
        <w:tabs>
          <w:tab w:val="clear" w:pos="720"/>
          <w:tab w:val="left" w:pos="581" w:leader="none"/>
        </w:tabs>
        <w:spacing w:lineRule="auto" w:line="232"/>
        <w:ind w:hanging="575" w:left="580" w:right="820"/>
        <w:rPr>
          <w:rFonts w:ascii="Corbel" w:hAnsi="Corbel" w:eastAsia="Corbel" w:cs="Corbel"/>
          <w:sz w:val="23"/>
        </w:rPr>
      </w:pPr>
      <w:r>
        <w:rPr>
          <w:rFonts w:eastAsia="Corbel" w:cs="Corbel" w:ascii="Corbel" w:hAnsi="Corbel"/>
          <w:sz w:val="23"/>
        </w:rPr>
        <w:t>The Parties do not intend any of the provisions of this Agreement to be legally enforceable. However, that does not lessen the Parties’ commitment to this Agreement.</w:t>
      </w:r>
    </w:p>
    <w:p>
      <w:pPr>
        <w:pStyle w:val="Normal"/>
        <w:spacing w:lineRule="exact" w:line="24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Review of this Agreement</w:t>
      </w:r>
    </w:p>
    <w:p>
      <w:pPr>
        <w:pStyle w:val="Normal"/>
        <w:spacing w:lineRule="exact" w:line="13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28"/>
        </w:numPr>
        <w:tabs>
          <w:tab w:val="clear" w:pos="720"/>
          <w:tab w:val="left" w:pos="581" w:leader="none"/>
        </w:tabs>
        <w:spacing w:lineRule="auto" w:line="235"/>
        <w:ind w:hanging="575" w:left="580" w:right="120"/>
        <w:rPr>
          <w:rFonts w:ascii="Corbel" w:hAnsi="Corbel" w:eastAsia="Corbel" w:cs="Corbel"/>
          <w:sz w:val="23"/>
        </w:rPr>
      </w:pPr>
      <w:r>
        <w:rPr>
          <w:rFonts w:eastAsia="Corbel" w:cs="Corbel" w:ascii="Corbel" w:hAnsi="Corbel"/>
          <w:sz w:val="23"/>
        </w:rPr>
        <w:t>In accordance with clause E23 of the IGA FFR, this Agreement is time limited. To assess the degree to which the agreed objective, outcomes and outputs have been achieved, and inform decisions regarding the appropriate treatment following its expiry, a review of the Agreement will be scheduled to be completed approximately 18 months prior to its expiry.</w:t>
      </w:r>
    </w:p>
    <w:p>
      <w:pPr>
        <w:pStyle w:val="Normal"/>
        <w:spacing w:lineRule="exact" w:line="231"/>
        <w:rPr>
          <w:rFonts w:ascii="Corbel" w:hAnsi="Corbel" w:eastAsia="Corbel" w:cs="Corbel"/>
          <w:sz w:val="23"/>
        </w:rPr>
      </w:pPr>
      <w:r>
        <w:rPr>
          <w:rFonts w:eastAsia="Corbel" w:cs="Corbel" w:ascii="Corbel" w:hAnsi="Corbel"/>
          <w:sz w:val="23"/>
        </w:rPr>
      </w:r>
    </w:p>
    <w:p>
      <w:pPr>
        <w:pStyle w:val="Normal"/>
        <w:numPr>
          <w:ilvl w:val="0"/>
          <w:numId w:val="28"/>
        </w:numPr>
        <w:tabs>
          <w:tab w:val="clear" w:pos="720"/>
          <w:tab w:val="left" w:pos="580" w:leader="none"/>
        </w:tabs>
        <w:spacing w:lineRule="atLeast" w:line="0"/>
        <w:ind w:hanging="575" w:left="580" w:right="0"/>
        <w:rPr>
          <w:rFonts w:ascii="Corbel" w:hAnsi="Corbel" w:eastAsia="Corbel" w:cs="Corbel"/>
          <w:sz w:val="23"/>
        </w:rPr>
      </w:pPr>
      <w:r>
        <w:rPr>
          <w:rFonts w:eastAsia="Corbel" w:cs="Corbel" w:ascii="Corbel" w:hAnsi="Corbel"/>
          <w:sz w:val="23"/>
        </w:rPr>
        <w:t>In reviewing this Agreement, the Parties should consider:</w:t>
      </w:r>
    </w:p>
    <w:p>
      <w:pPr>
        <w:pStyle w:val="Normal"/>
        <w:spacing w:lineRule="exact" w:line="244"/>
        <w:rPr>
          <w:rFonts w:ascii="Corbel" w:hAnsi="Corbel" w:eastAsia="Corbel" w:cs="Corbel"/>
          <w:sz w:val="23"/>
        </w:rPr>
      </w:pPr>
      <w:r>
        <w:rPr>
          <w:rFonts w:eastAsia="Corbel" w:cs="Corbel" w:ascii="Corbel" w:hAnsi="Corbel"/>
          <w:sz w:val="23"/>
        </w:rPr>
      </w:r>
    </w:p>
    <w:p>
      <w:pPr>
        <w:pStyle w:val="Normal"/>
        <w:numPr>
          <w:ilvl w:val="1"/>
          <w:numId w:val="28"/>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the States’ progress towards achieving the objective, outcomes and outputs;</w:t>
      </w:r>
    </w:p>
    <w:p>
      <w:pPr>
        <w:pStyle w:val="Normal"/>
        <w:spacing w:lineRule="exact" w:line="228"/>
        <w:rPr>
          <w:rFonts w:ascii="Corbel" w:hAnsi="Corbel" w:eastAsia="Corbel" w:cs="Corbel"/>
          <w:sz w:val="23"/>
        </w:rPr>
      </w:pPr>
      <w:r>
        <w:rPr>
          <w:rFonts w:eastAsia="Corbel" w:cs="Corbel" w:ascii="Corbel" w:hAnsi="Corbel"/>
          <w:sz w:val="23"/>
        </w:rPr>
      </w:r>
    </w:p>
    <w:p>
      <w:pPr>
        <w:pStyle w:val="Normal"/>
        <w:numPr>
          <w:ilvl w:val="1"/>
          <w:numId w:val="28"/>
        </w:numPr>
        <w:tabs>
          <w:tab w:val="clear" w:pos="720"/>
          <w:tab w:val="left" w:pos="1140" w:leader="none"/>
        </w:tabs>
        <w:spacing w:lineRule="auto" w:line="223"/>
        <w:ind w:hanging="565" w:left="1140" w:right="60"/>
        <w:rPr>
          <w:rFonts w:ascii="Corbel" w:hAnsi="Corbel" w:eastAsia="Corbel" w:cs="Corbel"/>
          <w:sz w:val="23"/>
        </w:rPr>
      </w:pPr>
      <w:r>
        <w:rPr>
          <w:rFonts w:eastAsia="Corbel" w:cs="Corbel" w:ascii="Corbel" w:hAnsi="Corbel"/>
          <w:sz w:val="23"/>
        </w:rPr>
        <w:t>whether legal assistance services are effective, efficient and appropriate, including whether the services represent value for money, which will be informed by the cost of service delivery, among other things;</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1"/>
          <w:numId w:val="28"/>
        </w:numPr>
        <w:tabs>
          <w:tab w:val="clear" w:pos="720"/>
          <w:tab w:val="left" w:pos="1140" w:leader="none"/>
        </w:tabs>
        <w:spacing w:lineRule="auto" w:line="244"/>
        <w:ind w:hanging="565" w:left="1140" w:right="1140"/>
        <w:rPr>
          <w:rFonts w:ascii="Corbel" w:hAnsi="Corbel" w:eastAsia="Corbel" w:cs="Corbel"/>
          <w:sz w:val="21"/>
        </w:rPr>
      </w:pPr>
      <w:r>
        <w:rPr>
          <w:rFonts w:eastAsia="Corbel" w:cs="Corbel" w:ascii="Corbel" w:hAnsi="Corbel"/>
          <w:sz w:val="21"/>
        </w:rPr>
        <w:t>the appropriateness of the objective, outcomes, outputs, performance indicators, performance benchmarks, milestones and reporting arrangements; and</w:t>
      </w:r>
    </w:p>
    <w:p>
      <w:pPr>
        <w:pStyle w:val="Normal"/>
        <w:spacing w:lineRule="exact" w:line="207"/>
        <w:rPr>
          <w:rFonts w:ascii="Corbel" w:hAnsi="Corbel" w:eastAsia="Corbel" w:cs="Corbel"/>
          <w:sz w:val="21"/>
        </w:rPr>
      </w:pPr>
      <w:r>
        <w:rPr>
          <w:rFonts w:eastAsia="Corbel" w:cs="Corbel" w:ascii="Corbel" w:hAnsi="Corbel"/>
          <w:sz w:val="21"/>
        </w:rPr>
      </w:r>
    </w:p>
    <w:p>
      <w:pPr>
        <w:pStyle w:val="Normal"/>
        <w:numPr>
          <w:ilvl w:val="1"/>
          <w:numId w:val="28"/>
        </w:numPr>
        <w:tabs>
          <w:tab w:val="clear" w:pos="720"/>
          <w:tab w:val="left" w:pos="1140" w:leader="none"/>
        </w:tabs>
        <w:spacing w:lineRule="atLeast" w:line="0"/>
        <w:ind w:hanging="566" w:left="1140" w:right="0"/>
        <w:rPr>
          <w:rFonts w:ascii="Corbel" w:hAnsi="Corbel" w:eastAsia="Corbel" w:cs="Corbel"/>
          <w:sz w:val="23"/>
        </w:rPr>
      </w:pPr>
      <w:r>
        <w:rPr>
          <w:rFonts w:eastAsia="Corbel" w:cs="Corbel" w:ascii="Corbel" w:hAnsi="Corbel"/>
          <w:sz w:val="23"/>
        </w:rPr>
        <w:t>the outcomes of the Reform of the Federation White Paper.</w:t>
      </w:r>
    </w:p>
    <w:p>
      <w:pPr>
        <w:pStyle w:val="Normal"/>
        <w:spacing w:lineRule="exact" w:line="228"/>
        <w:rPr>
          <w:rFonts w:ascii="Corbel" w:hAnsi="Corbel" w:eastAsia="Corbel" w:cs="Corbel"/>
          <w:sz w:val="23"/>
        </w:rPr>
      </w:pPr>
      <w:r>
        <w:rPr>
          <w:rFonts w:eastAsia="Corbel" w:cs="Corbel" w:ascii="Corbel" w:hAnsi="Corbel"/>
          <w:sz w:val="23"/>
        </w:rPr>
      </w:r>
    </w:p>
    <w:p>
      <w:pPr>
        <w:pStyle w:val="Normal"/>
        <w:numPr>
          <w:ilvl w:val="0"/>
          <w:numId w:val="28"/>
        </w:numPr>
        <w:tabs>
          <w:tab w:val="clear" w:pos="720"/>
          <w:tab w:val="left" w:pos="582" w:leader="none"/>
        </w:tabs>
        <w:spacing w:lineRule="auto" w:line="237"/>
        <w:ind w:hanging="576" w:left="580" w:right="100"/>
        <w:rPr>
          <w:rFonts w:ascii="Corbel" w:hAnsi="Corbel" w:eastAsia="Corbel" w:cs="Corbel"/>
          <w:sz w:val="23"/>
        </w:rPr>
      </w:pPr>
      <w:r>
        <w:rPr>
          <w:rFonts w:eastAsia="Corbel" w:cs="Corbel" w:ascii="Corbel" w:hAnsi="Corbel"/>
          <w:sz w:val="23"/>
        </w:rPr>
        <w:t>Subject to the outcomes of the review, the Parties should consider if further funding beyond the term of this Agreement is required to continue the delivery of Commonwealth-funded legal assistance services. If the Parties agree that further funding beyond the expiry of this Agreement is required, they will consider this issue when framing their budgets, noting that the necessary policy and budget authority, including in relation to new policy reforms, are subject to the outcomes of budget processes at both the Commonwealth and State levels.</w:t>
      </w:r>
    </w:p>
    <w:p>
      <w:pPr>
        <w:pStyle w:val="Normal"/>
        <w:spacing w:lineRule="exact" w:line="25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Variation of this Agreement</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29"/>
        </w:numPr>
        <w:tabs>
          <w:tab w:val="clear" w:pos="720"/>
          <w:tab w:val="left" w:pos="580" w:leader="none"/>
        </w:tabs>
        <w:spacing w:lineRule="atLeast" w:line="0"/>
        <w:ind w:hanging="575" w:left="580" w:right="0"/>
        <w:rPr>
          <w:rFonts w:ascii="Corbel" w:hAnsi="Corbel" w:eastAsia="Corbel" w:cs="Corbel"/>
          <w:sz w:val="23"/>
        </w:rPr>
      </w:pPr>
      <w:r>
        <w:rPr>
          <w:rFonts w:eastAsia="Corbel" w:cs="Corbel" w:ascii="Corbel" w:hAnsi="Corbel"/>
          <w:sz w:val="23"/>
        </w:rPr>
        <w:t>This Agreement may be amended at any time by agreement in writing by all the Parties.</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0"/>
          <w:numId w:val="29"/>
        </w:numPr>
        <w:tabs>
          <w:tab w:val="clear" w:pos="720"/>
          <w:tab w:val="left" w:pos="580" w:leader="none"/>
        </w:tabs>
        <w:spacing w:lineRule="auto" w:line="220"/>
        <w:ind w:hanging="575" w:left="580" w:right="600"/>
        <w:rPr>
          <w:rFonts w:ascii="Corbel" w:hAnsi="Corbel" w:eastAsia="Corbel" w:cs="Corbel"/>
          <w:sz w:val="23"/>
        </w:rPr>
      </w:pPr>
      <w:r>
        <w:rPr>
          <w:rFonts w:eastAsia="Corbel" w:cs="Corbel" w:ascii="Corbel" w:hAnsi="Corbel"/>
          <w:sz w:val="23"/>
        </w:rPr>
        <w:t>A Party to this Agreement may terminate their participation in the Agreement at any time by notifying all the other Parties in writing.</w:t>
      </w:r>
    </w:p>
    <w:p>
      <w:pPr>
        <w:pStyle w:val="Normal"/>
        <w:spacing w:lineRule="exact" w:line="21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Delegations</w:t>
      </w:r>
    </w:p>
    <w:p>
      <w:pPr>
        <w:pStyle w:val="Normal"/>
        <w:spacing w:lineRule="exact" w:line="13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30"/>
        </w:numPr>
        <w:tabs>
          <w:tab w:val="clear" w:pos="720"/>
          <w:tab w:val="left" w:pos="581" w:leader="none"/>
        </w:tabs>
        <w:spacing w:lineRule="auto" w:line="218"/>
        <w:ind w:hanging="575" w:left="580" w:right="200"/>
        <w:rPr>
          <w:rFonts w:ascii="Corbel" w:hAnsi="Corbel" w:eastAsia="Corbel" w:cs="Corbel"/>
          <w:sz w:val="23"/>
        </w:rPr>
      </w:pPr>
      <w:r>
        <w:rPr>
          <w:rFonts w:eastAsia="Corbel" w:cs="Corbel" w:ascii="Corbel" w:hAnsi="Corbel"/>
          <w:sz w:val="23"/>
        </w:rPr>
        <w:t>The Commonwealth Attorney-General is authorised to agree and amend Schedules to this Agreement on behalf of the Commonwealth and to certify that performance against the benchmarks and milestones specified under this Agreement has been achieved, so that payments may be made.</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0"/>
          <w:numId w:val="30"/>
        </w:numPr>
        <w:tabs>
          <w:tab w:val="clear" w:pos="720"/>
          <w:tab w:val="left" w:pos="581" w:leader="none"/>
        </w:tabs>
        <w:spacing w:lineRule="auto" w:line="228"/>
        <w:ind w:hanging="576" w:left="580" w:right="140"/>
        <w:rPr>
          <w:rFonts w:ascii="Corbel" w:hAnsi="Corbel" w:eastAsia="Corbel" w:cs="Corbel"/>
          <w:sz w:val="23"/>
        </w:rPr>
      </w:pPr>
      <w:r>
        <w:rPr>
          <w:rFonts w:eastAsia="Corbel" w:cs="Corbel" w:ascii="Corbel" w:hAnsi="Corbel"/>
          <w:sz w:val="23"/>
        </w:rPr>
        <w:t>Respective State Ministers with portfolio responsibility for legal assistance are authorised to agree and amend Schedules to this Agreement on behalf of their State or Territory.</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0"/>
          <w:numId w:val="30"/>
        </w:numPr>
        <w:tabs>
          <w:tab w:val="clear" w:pos="720"/>
          <w:tab w:val="left" w:pos="581" w:leader="none"/>
        </w:tabs>
        <w:spacing w:lineRule="auto" w:line="223"/>
        <w:ind w:hanging="575" w:left="580" w:right="200"/>
        <w:jc w:val="both"/>
        <w:rPr>
          <w:rFonts w:ascii="Corbel" w:hAnsi="Corbel" w:eastAsia="Corbel" w:cs="Corbel"/>
          <w:sz w:val="23"/>
        </w:rPr>
      </w:pPr>
      <w:r>
        <w:rPr>
          <w:rFonts w:eastAsia="Corbel" w:cs="Corbel" w:ascii="Corbel" w:hAnsi="Corbel"/>
          <w:sz w:val="23"/>
        </w:rPr>
        <w:t>The Commonwealth Attorney-General may delegate the assessment of performance against the benchmarks and milestones and the authorisation of related payments to senior Commonwealth officials, having regard to the financial and policy risks associated with those payments.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20" w:right="870" w:gutter="0" w:header="0" w:top="1046" w:footer="0" w:bottom="159"/>
          <w:pgNumType w:fmt="decimal"/>
          <w:formProt w:val="false"/>
          <w:textDirection w:val="lrTb"/>
          <w:docGrid w:type="default" w:linePitch="360" w:charSpace="0"/>
        </w:sectPr>
        <w:pStyle w:val="Normal"/>
        <w:spacing w:lineRule="atLeast" w:line="0"/>
        <w:jc w:val="right"/>
        <w:rPr>
          <w:rFonts w:ascii="Corbel" w:hAnsi="Corbel" w:eastAsia="Corbel" w:cs="Corbel"/>
          <w:color w:val="3C4A67"/>
          <w:sz w:val="18"/>
        </w:rPr>
      </w:pPr>
      <w:r>
        <w:rPr>
          <w:rFonts w:eastAsia="Corbel" w:cs="Corbel" w:ascii="Corbel" w:hAnsi="Corbel"/>
          <w:color w:val="3C4A67"/>
          <w:sz w:val="18"/>
        </w:rPr>
        <w:t>Page | 13</w:t>
      </w:r>
    </w:p>
    <w:p>
      <w:pPr>
        <w:pStyle w:val="Normal"/>
        <w:spacing w:lineRule="atLeast" w:line="0"/>
        <w:ind w:left="15" w:right="0"/>
        <w:rPr>
          <w:rFonts w:ascii="Corbel" w:hAnsi="Corbel" w:eastAsia="Corbel" w:cs="Corbel"/>
          <w:b/>
          <w:color w:val="3C4A67"/>
          <w:sz w:val="29"/>
        </w:rPr>
      </w:pPr>
      <w:bookmarkStart w:id="13" w:name="page14"/>
      <w:bookmarkEnd w:id="13"/>
      <w:r>
        <w:rPr>
          <w:rFonts w:eastAsia="Corbel" w:cs="Corbel" w:ascii="Corbel" w:hAnsi="Corbel"/>
          <w:b/>
          <w:color w:val="3C4A67"/>
          <w:sz w:val="29"/>
        </w:rPr>
        <w:t>Dispute resolution</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31"/>
        </w:numPr>
        <w:tabs>
          <w:tab w:val="clear" w:pos="720"/>
          <w:tab w:val="left" w:pos="575" w:leader="none"/>
        </w:tabs>
        <w:spacing w:lineRule="atLeast" w:line="0"/>
        <w:ind w:hanging="575" w:left="575" w:right="0"/>
        <w:rPr>
          <w:rFonts w:ascii="Corbel" w:hAnsi="Corbel" w:eastAsia="Corbel" w:cs="Corbel"/>
          <w:sz w:val="23"/>
        </w:rPr>
      </w:pPr>
      <w:r>
        <w:rPr>
          <w:rFonts w:eastAsia="Corbel" w:cs="Corbel" w:ascii="Corbel" w:hAnsi="Corbel"/>
          <w:sz w:val="23"/>
        </w:rPr>
        <w:t>Any Party may give notice to other Parties of a dispute under this Agreement.</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1"/>
        </w:numPr>
        <w:tabs>
          <w:tab w:val="clear" w:pos="720"/>
          <w:tab w:val="left" w:pos="575" w:leader="none"/>
        </w:tabs>
        <w:spacing w:lineRule="atLeast" w:line="0"/>
        <w:ind w:hanging="575" w:left="575" w:right="0"/>
        <w:rPr>
          <w:rFonts w:ascii="Corbel" w:hAnsi="Corbel" w:eastAsia="Corbel" w:cs="Corbel"/>
          <w:sz w:val="23"/>
        </w:rPr>
      </w:pPr>
      <w:r>
        <w:rPr>
          <w:rFonts w:eastAsia="Corbel" w:cs="Corbel" w:ascii="Corbel" w:hAnsi="Corbel"/>
          <w:sz w:val="23"/>
        </w:rPr>
        <w:t>Officials of relevant Parties will attempt to resolve any dispute in the first instance.</w:t>
      </w:r>
    </w:p>
    <w:p>
      <w:pPr>
        <w:pStyle w:val="Normal"/>
        <w:spacing w:lineRule="exact" w:line="258"/>
        <w:rPr>
          <w:rFonts w:ascii="Corbel" w:hAnsi="Corbel" w:eastAsia="Corbel" w:cs="Corbel"/>
          <w:sz w:val="23"/>
        </w:rPr>
      </w:pPr>
      <w:r>
        <w:rPr>
          <w:rFonts w:eastAsia="Corbel" w:cs="Corbel" w:ascii="Corbel" w:hAnsi="Corbel"/>
          <w:sz w:val="23"/>
        </w:rPr>
      </w:r>
    </w:p>
    <w:p>
      <w:pPr>
        <w:pStyle w:val="Normal"/>
        <w:numPr>
          <w:ilvl w:val="0"/>
          <w:numId w:val="31"/>
        </w:numPr>
        <w:tabs>
          <w:tab w:val="clear" w:pos="720"/>
          <w:tab w:val="left" w:pos="576" w:leader="none"/>
        </w:tabs>
        <w:spacing w:lineRule="auto" w:line="220"/>
        <w:ind w:hanging="575" w:left="575" w:right="600"/>
        <w:rPr>
          <w:rFonts w:ascii="Corbel" w:hAnsi="Corbel" w:eastAsia="Corbel" w:cs="Corbel"/>
          <w:sz w:val="23"/>
        </w:rPr>
      </w:pPr>
      <w:r>
        <w:rPr>
          <w:rFonts w:eastAsia="Corbel" w:cs="Corbel" w:ascii="Corbel" w:hAnsi="Corbel"/>
          <w:sz w:val="23"/>
        </w:rPr>
        <w:t>If a dispute cannot be resolved by officials, it may be escalated to the relevant Ministers and if necessary, the relevant Ministerial Council.</w:t>
      </w:r>
    </w:p>
    <w:p>
      <w:pPr>
        <w:pStyle w:val="Normal"/>
        <w:spacing w:lineRule="exact" w:line="21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5" w:right="0"/>
        <w:rPr>
          <w:rFonts w:ascii="Corbel" w:hAnsi="Corbel" w:eastAsia="Corbel" w:cs="Corbel"/>
          <w:b/>
          <w:color w:val="3C4A67"/>
          <w:sz w:val="29"/>
        </w:rPr>
      </w:pPr>
      <w:r>
        <w:rPr>
          <w:rFonts w:eastAsia="Corbel" w:cs="Corbel" w:ascii="Corbel" w:hAnsi="Corbel"/>
          <w:b/>
          <w:color w:val="3C4A67"/>
          <w:sz w:val="29"/>
        </w:rPr>
        <w:t>Interpretation</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numPr>
          <w:ilvl w:val="0"/>
          <w:numId w:val="32"/>
        </w:numPr>
        <w:tabs>
          <w:tab w:val="clear" w:pos="720"/>
          <w:tab w:val="left" w:pos="575" w:leader="none"/>
        </w:tabs>
        <w:spacing w:lineRule="atLeast" w:line="0"/>
        <w:ind w:hanging="575" w:left="575" w:right="0"/>
        <w:rPr>
          <w:rFonts w:ascii="Corbel" w:hAnsi="Corbel" w:eastAsia="Corbel" w:cs="Corbel"/>
          <w:sz w:val="23"/>
        </w:rPr>
      </w:pPr>
      <w:r>
        <w:rPr>
          <w:rFonts w:eastAsia="Corbel" w:cs="Corbel" w:ascii="Corbel" w:hAnsi="Corbel"/>
          <w:sz w:val="23"/>
        </w:rPr>
        <w:t>For the purposes of this Agreement:</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1"/>
          <w:numId w:val="32"/>
        </w:numPr>
        <w:tabs>
          <w:tab w:val="clear" w:pos="720"/>
          <w:tab w:val="left" w:pos="1136" w:leader="none"/>
        </w:tabs>
        <w:spacing w:lineRule="auto" w:line="220"/>
        <w:ind w:hanging="565" w:left="1135" w:right="0"/>
        <w:rPr>
          <w:rFonts w:ascii="Corbel" w:hAnsi="Corbel" w:eastAsia="Corbel" w:cs="Corbel"/>
          <w:sz w:val="23"/>
        </w:rPr>
      </w:pPr>
      <w:r>
        <w:rPr>
          <w:rFonts w:eastAsia="Corbel" w:cs="Corbel" w:ascii="Corbel" w:hAnsi="Corbel"/>
          <w:i/>
          <w:sz w:val="23"/>
        </w:rPr>
        <w:t>Discrete assistance</w:t>
      </w:r>
      <w:r>
        <w:rPr>
          <w:rFonts w:eastAsia="Corbel" w:cs="Corbel" w:ascii="Corbel" w:hAnsi="Corbel"/>
          <w:sz w:val="23"/>
        </w:rPr>
        <w:t xml:space="preserve"> means information, referral, legal advice, non-legal support and legal task.</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1"/>
          <w:numId w:val="32"/>
        </w:numPr>
        <w:tabs>
          <w:tab w:val="clear" w:pos="720"/>
          <w:tab w:val="left" w:pos="1136" w:leader="none"/>
        </w:tabs>
        <w:spacing w:lineRule="auto" w:line="220"/>
        <w:ind w:hanging="566" w:left="1135" w:right="20"/>
        <w:rPr>
          <w:rFonts w:ascii="Corbel" w:hAnsi="Corbel" w:eastAsia="Corbel" w:cs="Corbel"/>
          <w:sz w:val="23"/>
        </w:rPr>
      </w:pPr>
      <w:r>
        <w:rPr>
          <w:rFonts w:eastAsia="Corbel" w:cs="Corbel" w:ascii="Corbel" w:hAnsi="Corbel"/>
          <w:i/>
          <w:sz w:val="23"/>
        </w:rPr>
        <w:t>Financial disadvantage</w:t>
      </w:r>
      <w:r>
        <w:rPr>
          <w:rFonts w:eastAsia="Corbel" w:cs="Corbel" w:ascii="Corbel" w:hAnsi="Corbel"/>
          <w:sz w:val="23"/>
        </w:rPr>
        <w:t xml:space="preserve"> means a person who does not have the means to pay for their legal representation without incurring serious financial difficulty, including a person who:</w:t>
      </w:r>
    </w:p>
    <w:p>
      <w:pPr>
        <w:pStyle w:val="Normal"/>
        <w:spacing w:lineRule="exact" w:line="216"/>
        <w:rPr>
          <w:rFonts w:ascii="Corbel" w:hAnsi="Corbel" w:eastAsia="Corbel" w:cs="Corbel"/>
          <w:sz w:val="23"/>
        </w:rPr>
      </w:pPr>
      <w:r>
        <w:rPr>
          <w:rFonts w:eastAsia="Corbel" w:cs="Corbel" w:ascii="Corbel" w:hAnsi="Corbel"/>
          <w:sz w:val="23"/>
        </w:rPr>
      </w:r>
    </w:p>
    <w:p>
      <w:pPr>
        <w:pStyle w:val="Normal"/>
        <w:numPr>
          <w:ilvl w:val="2"/>
          <w:numId w:val="32"/>
        </w:numPr>
        <w:tabs>
          <w:tab w:val="clear" w:pos="720"/>
          <w:tab w:val="left" w:pos="1715" w:leader="none"/>
        </w:tabs>
        <w:spacing w:lineRule="atLeast" w:line="0"/>
        <w:ind w:hanging="575" w:left="1715" w:right="0"/>
        <w:rPr>
          <w:rFonts w:ascii="Corbel" w:hAnsi="Corbel" w:eastAsia="Corbel" w:cs="Corbel"/>
          <w:sz w:val="21"/>
        </w:rPr>
      </w:pPr>
      <w:r>
        <w:rPr>
          <w:rFonts w:eastAsia="Corbel" w:cs="Corbel" w:ascii="Corbel" w:hAnsi="Corbel"/>
          <w:sz w:val="23"/>
        </w:rPr>
        <w:t>is in receipt of Centrelink benefits as their main source of income; or</w:t>
      </w:r>
    </w:p>
    <w:p>
      <w:pPr>
        <w:pStyle w:val="Normal"/>
        <w:spacing w:lineRule="exact" w:line="214"/>
        <w:rPr>
          <w:rFonts w:ascii="Corbel" w:hAnsi="Corbel" w:eastAsia="Corbel" w:cs="Corbel"/>
          <w:sz w:val="21"/>
        </w:rPr>
      </w:pPr>
      <w:r>
        <w:rPr>
          <w:rFonts w:eastAsia="Corbel" w:cs="Corbel" w:ascii="Corbel" w:hAnsi="Corbel"/>
          <w:sz w:val="21"/>
        </w:rPr>
      </w:r>
    </w:p>
    <w:p>
      <w:pPr>
        <w:pStyle w:val="Normal"/>
        <w:numPr>
          <w:ilvl w:val="2"/>
          <w:numId w:val="32"/>
        </w:numPr>
        <w:tabs>
          <w:tab w:val="clear" w:pos="720"/>
          <w:tab w:val="left" w:pos="1715" w:leader="none"/>
        </w:tabs>
        <w:spacing w:lineRule="atLeast" w:line="0"/>
        <w:ind w:hanging="575" w:left="1715" w:right="0"/>
        <w:rPr>
          <w:rFonts w:ascii="Corbel" w:hAnsi="Corbel" w:eastAsia="Corbel" w:cs="Corbel"/>
          <w:sz w:val="21"/>
        </w:rPr>
      </w:pPr>
      <w:r>
        <w:rPr>
          <w:rFonts w:eastAsia="Corbel" w:cs="Corbel" w:ascii="Corbel" w:hAnsi="Corbel"/>
          <w:sz w:val="23"/>
        </w:rPr>
        <w:t>satisfies a means test applied by a legal aid commission; or</w:t>
      </w:r>
    </w:p>
    <w:p>
      <w:pPr>
        <w:pStyle w:val="Normal"/>
        <w:spacing w:lineRule="exact" w:line="228"/>
        <w:rPr>
          <w:rFonts w:ascii="Corbel" w:hAnsi="Corbel" w:eastAsia="Corbel" w:cs="Corbel"/>
          <w:sz w:val="21"/>
        </w:rPr>
      </w:pPr>
      <w:r>
        <w:rPr>
          <w:rFonts w:eastAsia="Corbel" w:cs="Corbel" w:ascii="Corbel" w:hAnsi="Corbel"/>
          <w:sz w:val="21"/>
        </w:rPr>
      </w:r>
    </w:p>
    <w:p>
      <w:pPr>
        <w:pStyle w:val="Normal"/>
        <w:numPr>
          <w:ilvl w:val="2"/>
          <w:numId w:val="32"/>
        </w:numPr>
        <w:tabs>
          <w:tab w:val="clear" w:pos="720"/>
          <w:tab w:val="left" w:pos="1716" w:leader="none"/>
        </w:tabs>
        <w:spacing w:lineRule="auto" w:line="223"/>
        <w:ind w:hanging="575" w:left="1715" w:right="540"/>
        <w:rPr>
          <w:rFonts w:ascii="Corbel" w:hAnsi="Corbel" w:eastAsia="Corbel" w:cs="Corbel"/>
          <w:sz w:val="21"/>
        </w:rPr>
      </w:pPr>
      <w:r>
        <w:rPr>
          <w:rFonts w:eastAsia="Corbel" w:cs="Corbel" w:ascii="Corbel" w:hAnsi="Corbel"/>
          <w:sz w:val="23"/>
        </w:rPr>
        <w:t>is exempt from the legal aid means test, such as a person seeking merits review of decisions about eligibility for Commonwealth military entitlements or military compensation payments and children; or</w:t>
      </w:r>
    </w:p>
    <w:p>
      <w:pPr>
        <w:pStyle w:val="Normal"/>
        <w:spacing w:lineRule="exact" w:line="215"/>
        <w:rPr>
          <w:rFonts w:ascii="Corbel" w:hAnsi="Corbel" w:eastAsia="Corbel" w:cs="Corbel"/>
          <w:sz w:val="21"/>
        </w:rPr>
      </w:pPr>
      <w:r>
        <w:rPr>
          <w:rFonts w:eastAsia="Corbel" w:cs="Corbel" w:ascii="Corbel" w:hAnsi="Corbel"/>
          <w:sz w:val="21"/>
        </w:rPr>
      </w:r>
    </w:p>
    <w:p>
      <w:pPr>
        <w:pStyle w:val="Normal"/>
        <w:numPr>
          <w:ilvl w:val="2"/>
          <w:numId w:val="32"/>
        </w:numPr>
        <w:tabs>
          <w:tab w:val="clear" w:pos="720"/>
          <w:tab w:val="left" w:pos="1715" w:leader="none"/>
        </w:tabs>
        <w:spacing w:lineRule="atLeast" w:line="0"/>
        <w:ind w:hanging="575" w:left="1715" w:right="0"/>
        <w:rPr>
          <w:rFonts w:ascii="Corbel" w:hAnsi="Corbel" w:eastAsia="Corbel" w:cs="Corbel"/>
          <w:sz w:val="21"/>
        </w:rPr>
      </w:pPr>
      <w:r>
        <w:rPr>
          <w:rFonts w:eastAsia="Corbel" w:cs="Corbel" w:ascii="Corbel" w:hAnsi="Corbel"/>
          <w:sz w:val="23"/>
        </w:rPr>
        <w:t xml:space="preserve">has an income equal to or below the </w:t>
      </w:r>
      <w:r>
        <w:rPr>
          <w:rFonts w:eastAsia="Corbel" w:cs="Corbel" w:ascii="Corbel" w:hAnsi="Corbel"/>
          <w:i/>
          <w:sz w:val="23"/>
        </w:rPr>
        <w:t>Henderson Poverty Line</w:t>
      </w:r>
      <w:r>
        <w:rPr>
          <w:rFonts w:eastAsia="Corbel" w:cs="Corbel" w:ascii="Corbel" w:hAnsi="Corbel"/>
          <w:sz w:val="23"/>
        </w:rPr>
        <w:t>; or</w:t>
      </w:r>
    </w:p>
    <w:p>
      <w:pPr>
        <w:pStyle w:val="Normal"/>
        <w:spacing w:lineRule="exact" w:line="243"/>
        <w:rPr>
          <w:rFonts w:ascii="Corbel" w:hAnsi="Corbel" w:eastAsia="Corbel" w:cs="Corbel"/>
          <w:sz w:val="21"/>
        </w:rPr>
      </w:pPr>
      <w:r>
        <w:rPr>
          <w:rFonts w:eastAsia="Corbel" w:cs="Corbel" w:ascii="Corbel" w:hAnsi="Corbel"/>
          <w:sz w:val="21"/>
        </w:rPr>
      </w:r>
    </w:p>
    <w:p>
      <w:pPr>
        <w:pStyle w:val="Normal"/>
        <w:numPr>
          <w:ilvl w:val="2"/>
          <w:numId w:val="32"/>
        </w:numPr>
        <w:tabs>
          <w:tab w:val="clear" w:pos="720"/>
          <w:tab w:val="left" w:pos="1715" w:leader="none"/>
        </w:tabs>
        <w:spacing w:lineRule="auto" w:line="220"/>
        <w:ind w:hanging="575" w:left="1715" w:right="240"/>
        <w:rPr>
          <w:rFonts w:ascii="Corbel" w:hAnsi="Corbel" w:eastAsia="Corbel" w:cs="Corbel"/>
          <w:sz w:val="21"/>
        </w:rPr>
      </w:pPr>
      <w:r>
        <w:rPr>
          <w:rFonts w:eastAsia="Corbel" w:cs="Corbel" w:ascii="Corbel" w:hAnsi="Corbel"/>
          <w:sz w:val="23"/>
        </w:rPr>
        <w:t>cannot access finances temporarily due to circumstances outside of their control. For example, a person experiencing, or at risk of, family violence who cannot access finances without risk to their personal safety or the safety of others.</w:t>
      </w:r>
    </w:p>
    <w:p>
      <w:pPr>
        <w:pStyle w:val="Normal"/>
        <w:spacing w:lineRule="exact" w:line="244"/>
        <w:rPr>
          <w:rFonts w:ascii="Corbel" w:hAnsi="Corbel" w:eastAsia="Corbel" w:cs="Corbel"/>
          <w:sz w:val="21"/>
        </w:rPr>
      </w:pPr>
      <w:r>
        <w:rPr>
          <w:rFonts w:eastAsia="Corbel" w:cs="Corbel" w:ascii="Corbel" w:hAnsi="Corbel"/>
          <w:sz w:val="21"/>
        </w:rPr>
      </w:r>
    </w:p>
    <w:p>
      <w:pPr>
        <w:pStyle w:val="Normal"/>
        <w:numPr>
          <w:ilvl w:val="1"/>
          <w:numId w:val="32"/>
        </w:numPr>
        <w:tabs>
          <w:tab w:val="clear" w:pos="720"/>
          <w:tab w:val="left" w:pos="1136" w:leader="none"/>
        </w:tabs>
        <w:spacing w:lineRule="auto" w:line="228"/>
        <w:ind w:hanging="564" w:left="1135" w:right="0"/>
        <w:rPr>
          <w:rFonts w:ascii="Corbel" w:hAnsi="Corbel" w:eastAsia="Corbel" w:cs="Corbel"/>
          <w:sz w:val="23"/>
        </w:rPr>
      </w:pPr>
      <w:r>
        <w:rPr>
          <w:rFonts w:eastAsia="Corbel" w:cs="Corbel" w:ascii="Corbel" w:hAnsi="Corbel"/>
          <w:i/>
          <w:sz w:val="23"/>
        </w:rPr>
        <w:t>Legal assistance sector</w:t>
      </w:r>
      <w:r>
        <w:rPr>
          <w:rFonts w:eastAsia="Corbel" w:cs="Corbel" w:ascii="Corbel" w:hAnsi="Corbel"/>
          <w:sz w:val="23"/>
        </w:rPr>
        <w:t xml:space="preserve"> includes community legal centres, family violence prevention legal services, Indigenous legal assistance providers and legal aid commissions.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1"/>
          <w:numId w:val="32"/>
        </w:numPr>
        <w:tabs>
          <w:tab w:val="clear" w:pos="720"/>
          <w:tab w:val="left" w:pos="1134" w:leader="none"/>
        </w:tabs>
        <w:spacing w:lineRule="auto" w:line="223"/>
        <w:ind w:hanging="565" w:left="1135" w:right="20"/>
        <w:jc w:val="both"/>
        <w:rPr>
          <w:rFonts w:ascii="Corbel" w:hAnsi="Corbel" w:eastAsia="Corbel" w:cs="Corbel"/>
          <w:sz w:val="23"/>
        </w:rPr>
      </w:pPr>
      <w:r>
        <w:rPr>
          <w:rFonts w:eastAsia="Corbel" w:cs="Corbel" w:ascii="Corbel" w:hAnsi="Corbel"/>
          <w:i/>
          <w:sz w:val="23"/>
        </w:rPr>
        <w:t>Representation services</w:t>
      </w:r>
      <w:r>
        <w:rPr>
          <w:rFonts w:eastAsia="Corbel" w:cs="Corbel" w:ascii="Corbel" w:hAnsi="Corbel"/>
          <w:sz w:val="23"/>
        </w:rPr>
        <w:t xml:space="preserve"> are where a legal assistance service provider has carriage of a matter in an ongoing, representative capacity and include dispute resolution, court/tribunal and other representation services. To assist with reporting purposes:</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2"/>
          <w:numId w:val="32"/>
        </w:numPr>
        <w:tabs>
          <w:tab w:val="clear" w:pos="720"/>
          <w:tab w:val="left" w:pos="1716" w:leader="none"/>
        </w:tabs>
        <w:spacing w:lineRule="auto" w:line="220"/>
        <w:ind w:hanging="575" w:left="1715" w:right="680"/>
        <w:rPr>
          <w:rFonts w:ascii="Corbel" w:hAnsi="Corbel" w:eastAsia="Corbel" w:cs="Corbel"/>
          <w:sz w:val="21"/>
        </w:rPr>
      </w:pPr>
      <w:r>
        <w:rPr>
          <w:rFonts w:eastAsia="Corbel" w:cs="Corbel" w:ascii="Corbel" w:hAnsi="Corbel"/>
          <w:sz w:val="23"/>
        </w:rPr>
        <w:t>for community legal centres, until such time as a new data reporting system(s) is implemented:</w:t>
      </w:r>
    </w:p>
    <w:p>
      <w:pPr>
        <w:pStyle w:val="Normal"/>
        <w:spacing w:lineRule="exact" w:line="230"/>
        <w:rPr>
          <w:rFonts w:ascii="Corbel" w:hAnsi="Corbel" w:eastAsia="Corbel" w:cs="Corbel"/>
          <w:sz w:val="21"/>
        </w:rPr>
      </w:pPr>
      <w:r>
        <w:rPr>
          <w:rFonts w:eastAsia="Corbel" w:cs="Corbel" w:ascii="Corbel" w:hAnsi="Corbel"/>
          <w:sz w:val="21"/>
        </w:rPr>
      </w:r>
    </w:p>
    <w:p>
      <w:pPr>
        <w:pStyle w:val="Normal"/>
        <w:numPr>
          <w:ilvl w:val="3"/>
          <w:numId w:val="32"/>
        </w:numPr>
        <w:tabs>
          <w:tab w:val="clear" w:pos="720"/>
          <w:tab w:val="left" w:pos="2275" w:leader="none"/>
        </w:tabs>
        <w:spacing w:lineRule="auto" w:line="259"/>
        <w:ind w:hanging="565" w:left="2275" w:right="880"/>
        <w:rPr>
          <w:rFonts w:ascii="Corbel" w:hAnsi="Corbel" w:eastAsia="Corbel" w:cs="Corbel"/>
          <w:sz w:val="21"/>
        </w:rPr>
      </w:pPr>
      <w:r>
        <w:rPr>
          <w:rFonts w:eastAsia="Corbel" w:cs="Corbel" w:ascii="Corbel" w:hAnsi="Corbel"/>
          <w:sz w:val="21"/>
        </w:rPr>
        <w:t>for clause 17(a) the Community Legal Services Information System fields ‘medium casework’ and ‘major casework’ align with this definition;</w:t>
      </w:r>
    </w:p>
    <w:p>
      <w:pPr>
        <w:pStyle w:val="Normal"/>
        <w:spacing w:lineRule="exact" w:line="207"/>
        <w:rPr>
          <w:rFonts w:ascii="Corbel" w:hAnsi="Corbel" w:eastAsia="Corbel" w:cs="Corbel"/>
          <w:sz w:val="21"/>
        </w:rPr>
      </w:pPr>
      <w:r>
        <w:rPr>
          <w:rFonts w:eastAsia="Corbel" w:cs="Corbel" w:ascii="Corbel" w:hAnsi="Corbel"/>
          <w:sz w:val="21"/>
        </w:rPr>
      </w:r>
    </w:p>
    <w:p>
      <w:pPr>
        <w:pStyle w:val="Normal"/>
        <w:numPr>
          <w:ilvl w:val="3"/>
          <w:numId w:val="32"/>
        </w:numPr>
        <w:tabs>
          <w:tab w:val="clear" w:pos="720"/>
          <w:tab w:val="left" w:pos="2276" w:leader="none"/>
        </w:tabs>
        <w:spacing w:lineRule="auto" w:line="228"/>
        <w:ind w:hanging="565" w:left="2275" w:right="280"/>
        <w:rPr>
          <w:rFonts w:ascii="Corbel" w:hAnsi="Corbel" w:eastAsia="Corbel" w:cs="Corbel"/>
          <w:sz w:val="23"/>
        </w:rPr>
      </w:pPr>
      <w:r>
        <w:rPr>
          <w:rFonts w:eastAsia="Corbel" w:cs="Corbel" w:ascii="Corbel" w:hAnsi="Corbel"/>
          <w:sz w:val="23"/>
        </w:rPr>
        <w:t>for clauses 18(b) and 18(c), the Community Legal Services Information System field ‘major casework’ aligns with this definition; and</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2"/>
          <w:numId w:val="32"/>
        </w:numPr>
        <w:tabs>
          <w:tab w:val="clear" w:pos="720"/>
          <w:tab w:val="left" w:pos="1715" w:leader="none"/>
        </w:tabs>
        <w:spacing w:lineRule="auto" w:line="220"/>
        <w:ind w:hanging="575" w:left="1715" w:right="160"/>
        <w:rPr>
          <w:rFonts w:ascii="Corbel" w:hAnsi="Corbel" w:eastAsia="Corbel" w:cs="Corbel"/>
          <w:sz w:val="21"/>
        </w:rPr>
      </w:pPr>
      <w:r>
        <w:rPr>
          <w:rFonts w:eastAsia="Corbel" w:cs="Corbel" w:ascii="Corbel" w:hAnsi="Corbel"/>
          <w:sz w:val="23"/>
        </w:rPr>
        <w:t>for legal aid commissions, for clauses 17(a) and 18(a) the term ‘grant of aid’ aligns with this definition.</w:t>
      </w:r>
    </w:p>
    <w:p>
      <w:pPr>
        <w:pStyle w:val="Normal"/>
        <w:spacing w:lineRule="exact" w:line="230"/>
        <w:rPr>
          <w:rFonts w:ascii="Corbel" w:hAnsi="Corbel" w:eastAsia="Corbel" w:cs="Corbel"/>
          <w:sz w:val="21"/>
        </w:rPr>
      </w:pPr>
      <w:r>
        <w:rPr>
          <w:rFonts w:eastAsia="Corbel" w:cs="Corbel" w:ascii="Corbel" w:hAnsi="Corbel"/>
          <w:sz w:val="21"/>
        </w:rPr>
      </w:r>
    </w:p>
    <w:p>
      <w:pPr>
        <w:pStyle w:val="Normal"/>
        <w:numPr>
          <w:ilvl w:val="0"/>
          <w:numId w:val="32"/>
        </w:numPr>
        <w:tabs>
          <w:tab w:val="clear" w:pos="720"/>
          <w:tab w:val="left" w:pos="576" w:leader="none"/>
        </w:tabs>
        <w:spacing w:lineRule="auto" w:line="232"/>
        <w:ind w:hanging="575" w:left="575" w:right="580"/>
        <w:rPr>
          <w:rFonts w:ascii="Corbel" w:hAnsi="Corbel" w:eastAsia="Corbel" w:cs="Corbel"/>
          <w:sz w:val="23"/>
        </w:rPr>
      </w:pPr>
      <w:r>
        <w:rPr>
          <w:rFonts w:eastAsia="Corbel" w:cs="Corbel" w:ascii="Corbel" w:hAnsi="Corbel"/>
          <w:sz w:val="23"/>
        </w:rPr>
        <w:t>Types of legal assistance services are defined in the National Legal Assistance Data Standards Manual 2015 (version 1).</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25" w:right="850" w:gutter="0" w:header="0" w:top="1063" w:footer="0" w:bottom="163"/>
          <w:pgNumType w:fmt="decimal"/>
          <w:formProt w:val="false"/>
          <w:textDirection w:val="lrTb"/>
          <w:docGrid w:type="default" w:linePitch="360" w:charSpace="0"/>
        </w:sectPr>
        <w:pStyle w:val="Normal"/>
        <w:spacing w:lineRule="atLeast" w:line="0"/>
        <w:ind w:left="9275" w:right="0"/>
        <w:rPr>
          <w:rFonts w:ascii="Corbel" w:hAnsi="Corbel" w:eastAsia="Corbel" w:cs="Corbel"/>
          <w:color w:val="3C4A67"/>
          <w:sz w:val="17"/>
        </w:rPr>
      </w:pPr>
      <w:r>
        <w:rPr>
          <w:rFonts w:eastAsia="Corbel" w:cs="Corbel" w:ascii="Corbel" w:hAnsi="Corbel"/>
          <w:color w:val="3C4A67"/>
          <w:sz w:val="17"/>
        </w:rPr>
        <w:t>Page | 14</w:t>
      </w:r>
    </w:p>
    <w:p>
      <w:pPr>
        <w:pStyle w:val="Normal"/>
        <w:spacing w:lineRule="atLeast" w:line="0"/>
        <w:rPr/>
      </w:pPr>
      <w:bookmarkStart w:id="14" w:name="page15"/>
      <w:bookmarkEnd w:id="14"/>
      <w:r>
        <w:rPr>
          <w:rFonts w:eastAsia="Corbel" w:cs="Corbel" w:ascii="Corbel" w:hAnsi="Corbel"/>
          <w:sz w:val="22"/>
        </w:rPr>
        <w:t>The</w:t>
      </w:r>
      <w:r>
        <w:rPr>
          <w:rFonts w:eastAsia="Corbel" w:cs="Corbel" w:ascii="Corbel" w:hAnsi="Corbel"/>
          <w:sz w:val="23"/>
        </w:rPr>
        <w:t xml:space="preserve"> Parties</w:t>
      </w:r>
      <w:r>
        <w:rPr>
          <w:rFonts w:eastAsia="Corbel" w:cs="Corbel" w:ascii="Corbel" w:hAnsi="Corbel"/>
          <w:sz w:val="22"/>
        </w:rPr>
        <w:t xml:space="preserve"> have confirmed their commitment to this agreement as follows:</w:t>
      </w:r>
    </w:p>
    <w:p>
      <w:pPr>
        <w:sectPr>
          <w:type w:val="nextPage"/>
          <w:pgSz w:w="11906" w:h="16838"/>
          <w:pgMar w:left="1140" w:right="870" w:gutter="0" w:header="0" w:top="1091" w:footer="0" w:bottom="163"/>
          <w:pgNumType w:fmt="decimal"/>
          <w:formProt w:val="false"/>
          <w:textDirection w:val="lrTb"/>
          <w:docGrid w:type="default" w:linePitch="360" w:charSpace="0"/>
        </w:sectPr>
      </w:pP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left="200" w:right="0"/>
        <w:rPr/>
      </w:pPr>
      <w:r>
        <w:rPr>
          <w:rFonts w:eastAsia="Book Antiqua" w:cs="Book Antiqua" w:ascii="Book Antiqua" w:hAnsi="Book Antiqua"/>
          <w:b/>
          <w:sz w:val="23"/>
        </w:rPr>
        <w:t>Signed</w:t>
      </w:r>
      <w:r>
        <w:rPr>
          <w:rFonts w:eastAsia="Book Antiqua" w:cs="Book Antiqua" w:ascii="Book Antiqua" w:hAnsi="Book Antiqua"/>
          <w:sz w:val="23"/>
        </w:rPr>
        <w:t xml:space="preserve"> </w:t>
      </w:r>
      <w:r>
        <w:rPr>
          <w:rFonts w:eastAsia="Book Antiqua" w:cs="Book Antiqua" w:ascii="Book Antiqua" w:hAnsi="Book Antiqua"/>
          <w:i/>
          <w:sz w:val="23"/>
        </w:rPr>
        <w:t>for and on behalf of the Commonwealth of Australia by</w:t>
      </w:r>
    </w:p>
    <w:p>
      <w:pPr>
        <w:pStyle w:val="Normal"/>
        <w:spacing w:lineRule="exact" w:line="20"/>
        <w:rPr>
          <w:rFonts w:ascii="Times New Roman" w:hAnsi="Times New Roman" w:eastAsia="Times New Roman" w:cs="Times New Roman"/>
          <w:i/>
          <w:i/>
          <w:sz w:val="23"/>
        </w:rPr>
      </w:pPr>
      <w:r>
        <w:rPr>
          <w:rFonts w:eastAsia="Times New Roman" w:cs="Times New Roman" w:ascii="Times New Roman" w:hAnsi="Times New Roman"/>
          <w:i/>
          <w:sz w:val="23"/>
        </w:rPr>
        <mc:AlternateContent>
          <mc:Choice Requires="wps">
            <w:drawing>
              <wp:anchor behindDoc="1" distT="0" distB="0" distL="114935" distR="114935" simplePos="0" locked="0" layoutInCell="1" allowOverlap="1" relativeHeight="14">
                <wp:simplePos x="0" y="0"/>
                <wp:positionH relativeFrom="column">
                  <wp:posOffset>153670</wp:posOffset>
                </wp:positionH>
                <wp:positionV relativeFrom="paragraph">
                  <wp:posOffset>382270</wp:posOffset>
                </wp:positionV>
                <wp:extent cx="2267585" cy="0"/>
                <wp:effectExtent l="0" t="5080" r="0" b="5080"/>
                <wp:wrapNone/>
                <wp:docPr id="13" name=""/>
                <a:graphic xmlns:a="http://schemas.openxmlformats.org/drawingml/2006/main">
                  <a:graphicData uri="http://schemas.microsoft.com/office/word/2010/wordprocessingShape">
                    <wps:wsp>
                      <wps:cNvSpPr/>
                      <wps:spPr>
                        <a:xfrm>
                          <a:off x="0" y="0"/>
                          <a:ext cx="2267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1pt,30.1pt" to="190.6pt,30.1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0" w:right="0"/>
        <w:rPr>
          <w:rFonts w:ascii="Corbel" w:hAnsi="Corbel" w:eastAsia="Corbel" w:cs="Corbel"/>
          <w:b/>
          <w:sz w:val="23"/>
        </w:rPr>
      </w:pPr>
      <w:r>
        <w:rPr>
          <w:rFonts w:eastAsia="Corbel" w:cs="Corbel" w:ascii="Corbel" w:hAnsi="Corbel"/>
          <w:b/>
          <w:sz w:val="23"/>
        </w:rPr>
        <w:t>The Honourable Tony Abbott MP</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left="200" w:right="0"/>
        <w:rPr>
          <w:rFonts w:ascii="Corbel" w:hAnsi="Corbel" w:eastAsia="Corbel" w:cs="Corbel"/>
        </w:rPr>
      </w:pPr>
      <w:r>
        <w:rPr>
          <w:rFonts w:eastAsia="Corbel" w:cs="Corbel" w:ascii="Corbel" w:hAnsi="Corbel"/>
        </w:rPr>
        <w:t>Prime Minister of the Commonwealth of Australia</w:t>
      </w:r>
    </w:p>
    <w:p>
      <w:pPr>
        <w:pStyle w:val="Normal"/>
        <w:spacing w:lineRule="exact" w:line="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60" w:right="0"/>
        <w:rPr>
          <w:rFonts w:ascii="Corbel" w:hAnsi="Corbel" w:eastAsia="Corbel" w:cs="Corbel"/>
          <w:sz w:val="23"/>
        </w:rPr>
      </w:pPr>
      <w:r>
        <w:rPr>
          <w:rFonts w:eastAsia="Corbel" w:cs="Corbel" w:ascii="Corbel" w:hAnsi="Corbel"/>
          <w:sz w:val="23"/>
        </w:rPr>
        <w:t>[Day] [Month] [Year]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left="200" w:right="1700"/>
        <w:rPr/>
      </w:pPr>
      <w:r>
        <w:rPr>
          <w:rFonts w:eastAsia="Book Antiqua" w:cs="Book Antiqua" w:ascii="Book Antiqua" w:hAnsi="Book Antiqua"/>
          <w:b/>
          <w:sz w:val="21"/>
        </w:rPr>
        <w:t>Signed</w:t>
      </w:r>
      <w:r>
        <w:rPr>
          <w:rFonts w:eastAsia="Book Antiqua" w:cs="Book Antiqua" w:ascii="Book Antiqua" w:hAnsi="Book Antiqua"/>
          <w:sz w:val="21"/>
        </w:rPr>
        <w:t xml:space="preserve"> </w:t>
      </w:r>
      <w:r>
        <w:rPr>
          <w:rFonts w:eastAsia="Book Antiqua" w:cs="Book Antiqua" w:ascii="Book Antiqua" w:hAnsi="Book Antiqua"/>
          <w:i/>
          <w:sz w:val="21"/>
        </w:rPr>
        <w:t>for and on behalf of the State of New South Wales by</w:t>
      </w:r>
    </w:p>
    <w:p>
      <w:pPr>
        <w:pStyle w:val="Normal"/>
        <w:spacing w:lineRule="exact" w:line="20"/>
        <w:rPr>
          <w:rFonts w:ascii="Times New Roman" w:hAnsi="Times New Roman" w:eastAsia="Times New Roman" w:cs="Times New Roman"/>
          <w:i/>
          <w:i/>
          <w:sz w:val="21"/>
        </w:rPr>
      </w:pPr>
      <w:r>
        <w:rPr>
          <w:rFonts w:eastAsia="Times New Roman" w:cs="Times New Roman" w:ascii="Times New Roman" w:hAnsi="Times New Roman"/>
          <w:i/>
          <w:sz w:val="21"/>
        </w:rPr>
        <mc:AlternateContent>
          <mc:Choice Requires="wps">
            <w:drawing>
              <wp:anchor behindDoc="1" distT="0" distB="0" distL="114935" distR="114935" simplePos="0" locked="0" layoutInCell="1" allowOverlap="1" relativeHeight="15">
                <wp:simplePos x="0" y="0"/>
                <wp:positionH relativeFrom="column">
                  <wp:posOffset>153670</wp:posOffset>
                </wp:positionH>
                <wp:positionV relativeFrom="paragraph">
                  <wp:posOffset>354330</wp:posOffset>
                </wp:positionV>
                <wp:extent cx="2267585" cy="0"/>
                <wp:effectExtent l="0" t="5080" r="0" b="5080"/>
                <wp:wrapNone/>
                <wp:docPr id="14" name=""/>
                <a:graphic xmlns:a="http://schemas.openxmlformats.org/drawingml/2006/main">
                  <a:graphicData uri="http://schemas.microsoft.com/office/word/2010/wordprocessingShape">
                    <wps:wsp>
                      <wps:cNvSpPr/>
                      <wps:spPr>
                        <a:xfrm>
                          <a:off x="0" y="0"/>
                          <a:ext cx="2267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1pt,27.9pt" to="190.6pt,27.9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0" w:right="0"/>
        <w:rPr>
          <w:rFonts w:ascii="Corbel" w:hAnsi="Corbel" w:eastAsia="Corbel" w:cs="Corbel"/>
          <w:b/>
          <w:sz w:val="23"/>
        </w:rPr>
      </w:pPr>
      <w:r>
        <w:rPr>
          <w:rFonts w:eastAsia="Corbel" w:cs="Corbel" w:ascii="Corbel" w:hAnsi="Corbel"/>
          <w:b/>
          <w:sz w:val="23"/>
        </w:rPr>
        <w:t>The Honourable Mike Baird MP</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left="200" w:right="0"/>
        <w:rPr>
          <w:rFonts w:ascii="Corbel" w:hAnsi="Corbel" w:eastAsia="Corbel" w:cs="Corbel"/>
        </w:rPr>
      </w:pPr>
      <w:r>
        <w:rPr>
          <w:rFonts w:eastAsia="Corbel" w:cs="Corbel" w:ascii="Corbel" w:hAnsi="Corbel"/>
        </w:rPr>
        <w:t>Premier of the State of New South Wales</w:t>
      </w:r>
    </w:p>
    <w:p>
      <w:pPr>
        <w:pStyle w:val="Normal"/>
        <w:spacing w:lineRule="exact" w:line="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60" w:right="0"/>
        <w:rPr>
          <w:rFonts w:ascii="Corbel" w:hAnsi="Corbel" w:eastAsia="Corbel" w:cs="Corbel"/>
          <w:sz w:val="23"/>
        </w:rPr>
      </w:pPr>
      <w:r>
        <w:rPr>
          <w:rFonts w:eastAsia="Corbel" w:cs="Corbel" w:ascii="Corbel" w:hAnsi="Corbel"/>
          <w:sz w:val="23"/>
        </w:rPr>
        <w:t>[Day] [Month] [Year]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200" w:right="1700"/>
        <w:rPr/>
      </w:pPr>
      <w:r>
        <w:rPr>
          <w:rFonts w:eastAsia="Book Antiqua" w:cs="Book Antiqua" w:ascii="Book Antiqua" w:hAnsi="Book Antiqua"/>
          <w:b/>
          <w:sz w:val="23"/>
        </w:rPr>
        <w:t>Signed</w:t>
      </w:r>
      <w:r>
        <w:rPr>
          <w:rFonts w:eastAsia="Book Antiqua" w:cs="Book Antiqua" w:ascii="Book Antiqua" w:hAnsi="Book Antiqua"/>
          <w:sz w:val="23"/>
        </w:rPr>
        <w:t xml:space="preserve"> </w:t>
      </w:r>
      <w:r>
        <w:rPr>
          <w:rFonts w:eastAsia="Book Antiqua" w:cs="Book Antiqua" w:ascii="Book Antiqua" w:hAnsi="Book Antiqua"/>
          <w:i/>
          <w:sz w:val="23"/>
        </w:rPr>
        <w:t>for and on behalf of the State of Queensland by</w:t>
      </w:r>
    </w:p>
    <w:p>
      <w:pPr>
        <w:pStyle w:val="Normal"/>
        <w:spacing w:lineRule="exact" w:line="20"/>
        <w:rPr>
          <w:rFonts w:ascii="Times New Roman" w:hAnsi="Times New Roman" w:eastAsia="Times New Roman" w:cs="Times New Roman"/>
          <w:i/>
          <w:i/>
          <w:sz w:val="23"/>
        </w:rPr>
      </w:pPr>
      <w:r>
        <w:rPr>
          <w:rFonts w:eastAsia="Times New Roman" w:cs="Times New Roman" w:ascii="Times New Roman" w:hAnsi="Times New Roman"/>
          <w:i/>
          <w:sz w:val="23"/>
        </w:rPr>
        <mc:AlternateContent>
          <mc:Choice Requires="wps">
            <w:drawing>
              <wp:anchor behindDoc="1" distT="0" distB="0" distL="114935" distR="114935" simplePos="0" locked="0" layoutInCell="1" allowOverlap="1" relativeHeight="16">
                <wp:simplePos x="0" y="0"/>
                <wp:positionH relativeFrom="column">
                  <wp:posOffset>153670</wp:posOffset>
                </wp:positionH>
                <wp:positionV relativeFrom="paragraph">
                  <wp:posOffset>382905</wp:posOffset>
                </wp:positionV>
                <wp:extent cx="2267585" cy="0"/>
                <wp:effectExtent l="0" t="5080" r="0" b="5080"/>
                <wp:wrapNone/>
                <wp:docPr id="15" name=""/>
                <a:graphic xmlns:a="http://schemas.openxmlformats.org/drawingml/2006/main">
                  <a:graphicData uri="http://schemas.microsoft.com/office/word/2010/wordprocessingShape">
                    <wps:wsp>
                      <wps:cNvSpPr/>
                      <wps:spPr>
                        <a:xfrm>
                          <a:off x="0" y="0"/>
                          <a:ext cx="2267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1pt,30.15pt" to="190.6pt,30.1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0" w:right="0"/>
        <w:rPr>
          <w:rFonts w:ascii="Corbel" w:hAnsi="Corbel" w:eastAsia="Corbel" w:cs="Corbel"/>
          <w:b/>
          <w:sz w:val="23"/>
        </w:rPr>
      </w:pPr>
      <w:r>
        <w:rPr>
          <w:rFonts w:eastAsia="Corbel" w:cs="Corbel" w:ascii="Corbel" w:hAnsi="Corbel"/>
          <w:b/>
          <w:sz w:val="23"/>
        </w:rPr>
        <w:t>The Honourable Annastacia Palaszczuk MP</w:t>
      </w:r>
    </w:p>
    <w:p>
      <w:pPr>
        <w:pStyle w:val="Normal"/>
        <w:spacing w:lineRule="exact" w:line="14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left="200" w:right="0"/>
        <w:rPr>
          <w:rFonts w:ascii="Corbel" w:hAnsi="Corbel" w:eastAsia="Corbel" w:cs="Corbel"/>
        </w:rPr>
      </w:pPr>
      <w:r>
        <w:rPr>
          <w:rFonts w:eastAsia="Corbel" w:cs="Corbel" w:ascii="Corbel" w:hAnsi="Corbel"/>
        </w:rPr>
        <w:t>Premier of the State of Queensland</w:t>
      </w:r>
    </w:p>
    <w:p>
      <w:pPr>
        <w:pStyle w:val="Normal"/>
        <w:spacing w:lineRule="exact" w:line="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60" w:right="0"/>
        <w:rPr>
          <w:rFonts w:ascii="Corbel" w:hAnsi="Corbel" w:eastAsia="Corbel" w:cs="Corbel"/>
          <w:sz w:val="23"/>
        </w:rPr>
      </w:pPr>
      <w:r>
        <w:rPr>
          <w:rFonts w:eastAsia="Corbel" w:cs="Corbel" w:ascii="Corbel" w:hAnsi="Corbel"/>
          <w:sz w:val="23"/>
        </w:rPr>
        <w:t>[Day] [Month] [Year]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left="200" w:right="1700"/>
        <w:rPr/>
      </w:pPr>
      <w:r>
        <w:rPr>
          <w:rFonts w:eastAsia="Book Antiqua" w:cs="Book Antiqua" w:ascii="Book Antiqua" w:hAnsi="Book Antiqua"/>
          <w:b/>
          <w:sz w:val="21"/>
        </w:rPr>
        <w:t>Signed</w:t>
      </w:r>
      <w:r>
        <w:rPr>
          <w:rFonts w:eastAsia="Book Antiqua" w:cs="Book Antiqua" w:ascii="Book Antiqua" w:hAnsi="Book Antiqua"/>
          <w:sz w:val="21"/>
        </w:rPr>
        <w:t xml:space="preserve"> </w:t>
      </w:r>
      <w:r>
        <w:rPr>
          <w:rFonts w:eastAsia="Book Antiqua" w:cs="Book Antiqua" w:ascii="Book Antiqua" w:hAnsi="Book Antiqua"/>
          <w:i/>
          <w:sz w:val="21"/>
        </w:rPr>
        <w:t>for and on behalf of the State of South Australia by</w:t>
      </w:r>
    </w:p>
    <w:p>
      <w:pPr>
        <w:pStyle w:val="Normal"/>
        <w:spacing w:lineRule="exact" w:line="20"/>
        <w:rPr>
          <w:rFonts w:ascii="Times New Roman" w:hAnsi="Times New Roman" w:eastAsia="Times New Roman" w:cs="Times New Roman"/>
          <w:i/>
          <w:i/>
          <w:sz w:val="21"/>
        </w:rPr>
      </w:pPr>
      <w:r>
        <w:rPr>
          <w:rFonts w:eastAsia="Times New Roman" w:cs="Times New Roman" w:ascii="Times New Roman" w:hAnsi="Times New Roman"/>
          <w:i/>
          <w:sz w:val="21"/>
        </w:rPr>
        <mc:AlternateContent>
          <mc:Choice Requires="wps">
            <w:drawing>
              <wp:anchor behindDoc="1" distT="0" distB="0" distL="114935" distR="114935" simplePos="0" locked="0" layoutInCell="1" allowOverlap="1" relativeHeight="17">
                <wp:simplePos x="0" y="0"/>
                <wp:positionH relativeFrom="column">
                  <wp:posOffset>153670</wp:posOffset>
                </wp:positionH>
                <wp:positionV relativeFrom="paragraph">
                  <wp:posOffset>346075</wp:posOffset>
                </wp:positionV>
                <wp:extent cx="2267585" cy="0"/>
                <wp:effectExtent l="0" t="5080" r="0" b="5080"/>
                <wp:wrapNone/>
                <wp:docPr id="16" name=""/>
                <a:graphic xmlns:a="http://schemas.openxmlformats.org/drawingml/2006/main">
                  <a:graphicData uri="http://schemas.microsoft.com/office/word/2010/wordprocessingShape">
                    <wps:wsp>
                      <wps:cNvSpPr/>
                      <wps:spPr>
                        <a:xfrm>
                          <a:off x="0" y="0"/>
                          <a:ext cx="2267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1pt,27.25pt" to="190.6pt,27.2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0" w:right="0"/>
        <w:rPr>
          <w:rFonts w:ascii="Corbel" w:hAnsi="Corbel" w:eastAsia="Corbel" w:cs="Corbel"/>
          <w:b/>
          <w:sz w:val="23"/>
        </w:rPr>
      </w:pPr>
      <w:r>
        <w:rPr>
          <w:rFonts w:eastAsia="Corbel" w:cs="Corbel" w:ascii="Corbel" w:hAnsi="Corbel"/>
          <w:b/>
          <w:sz w:val="23"/>
        </w:rPr>
        <w:t>The Honourable Jay Weatherill MP</w:t>
      </w:r>
    </w:p>
    <w:p>
      <w:pPr>
        <w:pStyle w:val="Normal"/>
        <w:spacing w:lineRule="exact" w:line="17"/>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right="1120"/>
        <w:jc w:val="center"/>
        <w:rPr>
          <w:rFonts w:ascii="Corbel" w:hAnsi="Corbel" w:eastAsia="Corbel" w:cs="Corbel"/>
          <w:sz w:val="18"/>
        </w:rPr>
      </w:pPr>
      <w:r>
        <w:rPr>
          <w:rFonts w:eastAsia="Corbel" w:cs="Corbel" w:ascii="Corbel" w:hAnsi="Corbel"/>
          <w:sz w:val="18"/>
        </w:rPr>
        <w:t>Premier of the State of South Australia</w:t>
      </w:r>
    </w:p>
    <w:p>
      <w:pPr>
        <w:pStyle w:val="Normal"/>
        <w:spacing w:lineRule="exact" w:line="11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left="760" w:right="0"/>
        <w:rPr>
          <w:rFonts w:ascii="Corbel" w:hAnsi="Corbel" w:eastAsia="Corbel" w:cs="Corbel"/>
          <w:sz w:val="23"/>
        </w:rPr>
      </w:pPr>
      <w:r>
        <w:rPr>
          <w:rFonts w:eastAsia="Corbel" w:cs="Corbel" w:ascii="Corbel" w:hAnsi="Corbel"/>
          <w:sz w:val="23"/>
        </w:rPr>
        <w:t>[Day] [Month] [Year]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200" w:right="400"/>
        <w:rPr/>
      </w:pPr>
      <w:r>
        <w:rPr>
          <w:rFonts w:eastAsia="Book Antiqua" w:cs="Book Antiqua" w:ascii="Book Antiqua" w:hAnsi="Book Antiqua"/>
          <w:b/>
          <w:sz w:val="23"/>
        </w:rPr>
        <w:t>Signed</w:t>
      </w:r>
      <w:r>
        <w:rPr>
          <w:rFonts w:eastAsia="Book Antiqua" w:cs="Book Antiqua" w:ascii="Book Antiqua" w:hAnsi="Book Antiqua"/>
          <w:sz w:val="23"/>
        </w:rPr>
        <w:t xml:space="preserve"> for and on behalf of the </w:t>
      </w:r>
      <w:r>
        <w:rPr>
          <w:rFonts w:eastAsia="Book Antiqua" w:cs="Book Antiqua" w:ascii="Book Antiqua" w:hAnsi="Book Antiqua"/>
          <w:i/>
          <w:sz w:val="23"/>
        </w:rPr>
        <w:t>Australian Capital Territory by</w:t>
      </w:r>
    </w:p>
    <w:p>
      <w:pPr>
        <w:pStyle w:val="Normal"/>
        <w:spacing w:lineRule="exact" w:line="20"/>
        <w:rPr>
          <w:rFonts w:ascii="Times New Roman" w:hAnsi="Times New Roman" w:eastAsia="Times New Roman" w:cs="Times New Roman"/>
          <w:i/>
          <w:i/>
          <w:sz w:val="23"/>
        </w:rPr>
      </w:pPr>
      <w:r>
        <w:rPr>
          <w:rFonts w:eastAsia="Times New Roman" w:cs="Times New Roman" w:ascii="Times New Roman" w:hAnsi="Times New Roman"/>
          <w:i/>
          <w:sz w:val="23"/>
        </w:rPr>
        <mc:AlternateContent>
          <mc:Choice Requires="wps">
            <w:drawing>
              <wp:anchor behindDoc="1" distT="0" distB="0" distL="114935" distR="114935" simplePos="0" locked="0" layoutInCell="1" allowOverlap="1" relativeHeight="18">
                <wp:simplePos x="0" y="0"/>
                <wp:positionH relativeFrom="column">
                  <wp:posOffset>153670</wp:posOffset>
                </wp:positionH>
                <wp:positionV relativeFrom="paragraph">
                  <wp:posOffset>379730</wp:posOffset>
                </wp:positionV>
                <wp:extent cx="2267585" cy="0"/>
                <wp:effectExtent l="0" t="5080" r="0" b="5080"/>
                <wp:wrapNone/>
                <wp:docPr id="17" name=""/>
                <a:graphic xmlns:a="http://schemas.openxmlformats.org/drawingml/2006/main">
                  <a:graphicData uri="http://schemas.microsoft.com/office/word/2010/wordprocessingShape">
                    <wps:wsp>
                      <wps:cNvSpPr/>
                      <wps:spPr>
                        <a:xfrm>
                          <a:off x="0" y="0"/>
                          <a:ext cx="2267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1pt,29.9pt" to="190.6pt,29.9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0" w:right="0"/>
        <w:rPr>
          <w:rFonts w:ascii="Corbel" w:hAnsi="Corbel" w:eastAsia="Corbel" w:cs="Corbel"/>
          <w:b/>
          <w:sz w:val="23"/>
        </w:rPr>
      </w:pPr>
      <w:r>
        <w:rPr>
          <w:rFonts w:eastAsia="Corbel" w:cs="Corbel" w:ascii="Corbel" w:hAnsi="Corbel"/>
          <w:b/>
          <w:sz w:val="23"/>
        </w:rPr>
        <w:t>Andrew Barr MLA</w:t>
      </w:r>
    </w:p>
    <w:p>
      <w:pPr>
        <w:pStyle w:val="Normal"/>
        <w:spacing w:lineRule="exact" w:line="5"/>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left="200" w:right="0"/>
        <w:rPr>
          <w:rFonts w:ascii="Corbel" w:hAnsi="Corbel" w:eastAsia="Corbel" w:cs="Corbel"/>
        </w:rPr>
      </w:pPr>
      <w:r>
        <w:rPr>
          <w:rFonts w:eastAsia="Corbel" w:cs="Corbel" w:ascii="Corbel" w:hAnsi="Corbel"/>
        </w:rPr>
        <w:t>Chief Minister of the Australian Capital Territory</w:t>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760" w:right="0"/>
        <w:rPr>
          <w:rFonts w:ascii="Corbel" w:hAnsi="Corbel" w:eastAsia="Corbel" w:cs="Corbel"/>
          <w:sz w:val="23"/>
        </w:rPr>
      </w:pPr>
      <w:r>
        <w:rPr>
          <w:rFonts w:eastAsia="Corbel" w:cs="Corbel" w:ascii="Corbel" w:hAnsi="Corbel"/>
          <w:sz w:val="23"/>
        </w:rPr>
        <w:t>[Day] [Month] [Year]</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right="2100"/>
        <w:rPr/>
      </w:pPr>
      <w:r>
        <w:rPr>
          <w:rFonts w:eastAsia="Book Antiqua" w:cs="Book Antiqua" w:ascii="Book Antiqua" w:hAnsi="Book Antiqua"/>
          <w:b/>
          <w:sz w:val="23"/>
        </w:rPr>
        <w:t>Signed</w:t>
      </w:r>
      <w:r>
        <w:rPr>
          <w:rFonts w:eastAsia="Book Antiqua" w:cs="Book Antiqua" w:ascii="Book Antiqua" w:hAnsi="Book Antiqua"/>
          <w:sz w:val="23"/>
        </w:rPr>
        <w:t xml:space="preserve"> </w:t>
      </w:r>
      <w:r>
        <w:rPr>
          <w:rFonts w:eastAsia="Book Antiqua" w:cs="Book Antiqua" w:ascii="Book Antiqua" w:hAnsi="Book Antiqua"/>
          <w:i/>
          <w:sz w:val="23"/>
        </w:rPr>
        <w:t>for and on behalf of the State of Victoria by</w:t>
      </w:r>
    </w:p>
    <w:p>
      <w:pPr>
        <w:pStyle w:val="Normal"/>
        <w:spacing w:lineRule="exact" w:line="20"/>
        <w:rPr>
          <w:rFonts w:ascii="Times New Roman" w:hAnsi="Times New Roman" w:eastAsia="Times New Roman" w:cs="Times New Roman"/>
          <w:i/>
          <w:i/>
          <w:sz w:val="23"/>
        </w:rPr>
      </w:pPr>
      <w:r>
        <w:rPr>
          <w:rFonts w:eastAsia="Times New Roman" w:cs="Times New Roman" w:ascii="Times New Roman" w:hAnsi="Times New Roman"/>
          <w:i/>
          <w:sz w:val="23"/>
        </w:rPr>
        <mc:AlternateContent>
          <mc:Choice Requires="wps">
            <w:drawing>
              <wp:anchor behindDoc="1" distT="0" distB="0" distL="114935" distR="114935" simplePos="0" locked="0" layoutInCell="1" allowOverlap="1" relativeHeight="19">
                <wp:simplePos x="0" y="0"/>
                <wp:positionH relativeFrom="column">
                  <wp:posOffset>52070</wp:posOffset>
                </wp:positionH>
                <wp:positionV relativeFrom="paragraph">
                  <wp:posOffset>382905</wp:posOffset>
                </wp:positionV>
                <wp:extent cx="2267585" cy="0"/>
                <wp:effectExtent l="0" t="5080" r="0" b="5080"/>
                <wp:wrapNone/>
                <wp:docPr id="18" name=""/>
                <a:graphic xmlns:a="http://schemas.openxmlformats.org/drawingml/2006/main">
                  <a:graphicData uri="http://schemas.microsoft.com/office/word/2010/wordprocessingShape">
                    <wps:wsp>
                      <wps:cNvSpPr/>
                      <wps:spPr>
                        <a:xfrm>
                          <a:off x="0" y="0"/>
                          <a:ext cx="2267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1pt,30.15pt" to="182.6pt,30.1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orbel" w:hAnsi="Corbel" w:eastAsia="Corbel" w:cs="Corbel"/>
          <w:b/>
          <w:sz w:val="21"/>
        </w:rPr>
      </w:pPr>
      <w:r>
        <w:rPr>
          <w:rFonts w:eastAsia="Corbel" w:cs="Corbel" w:ascii="Corbel" w:hAnsi="Corbel"/>
          <w:b/>
          <w:sz w:val="21"/>
        </w:rPr>
        <w:t>The Honourable Daniel Andrews MLA</w:t>
      </w:r>
    </w:p>
    <w:p>
      <w:pPr>
        <w:pStyle w:val="Normal"/>
        <w:spacing w:lineRule="exact" w:line="30"/>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rPr>
          <w:rFonts w:ascii="Corbel" w:hAnsi="Corbel" w:eastAsia="Corbel" w:cs="Corbel"/>
        </w:rPr>
      </w:pPr>
      <w:r>
        <w:rPr>
          <w:rFonts w:eastAsia="Corbel" w:cs="Corbel" w:ascii="Corbel" w:hAnsi="Corbel"/>
        </w:rPr>
        <w:t>Premier of the State of Victoria</w:t>
      </w:r>
    </w:p>
    <w:p>
      <w:pPr>
        <w:pStyle w:val="Normal"/>
        <w:spacing w:lineRule="exact" w:line="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60" w:right="0"/>
        <w:rPr>
          <w:rFonts w:ascii="Corbel" w:hAnsi="Corbel" w:eastAsia="Corbel" w:cs="Corbel"/>
          <w:sz w:val="23"/>
        </w:rPr>
      </w:pPr>
      <w:r>
        <w:rPr>
          <w:rFonts w:eastAsia="Corbel" w:cs="Corbel" w:ascii="Corbel" w:hAnsi="Corbel"/>
          <w:sz w:val="23"/>
        </w:rPr>
        <w:t>[Day] [Month] [Year]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8"/>
        <w:ind w:right="2100"/>
        <w:rPr/>
      </w:pPr>
      <w:r>
        <w:rPr>
          <w:rFonts w:eastAsia="Book Antiqua" w:cs="Book Antiqua" w:ascii="Book Antiqua" w:hAnsi="Book Antiqua"/>
          <w:b/>
          <w:sz w:val="21"/>
        </w:rPr>
        <w:t>Signed</w:t>
      </w:r>
      <w:r>
        <w:rPr>
          <w:rFonts w:eastAsia="Book Antiqua" w:cs="Book Antiqua" w:ascii="Book Antiqua" w:hAnsi="Book Antiqua"/>
          <w:sz w:val="21"/>
        </w:rPr>
        <w:t xml:space="preserve"> </w:t>
      </w:r>
      <w:r>
        <w:rPr>
          <w:rFonts w:eastAsia="Book Antiqua" w:cs="Book Antiqua" w:ascii="Book Antiqua" w:hAnsi="Book Antiqua"/>
          <w:i/>
          <w:sz w:val="21"/>
        </w:rPr>
        <w:t>for and on behalf of the State of Western Australia by</w:t>
      </w:r>
    </w:p>
    <w:p>
      <w:pPr>
        <w:pStyle w:val="Normal"/>
        <w:spacing w:lineRule="exact" w:line="20"/>
        <w:rPr>
          <w:rFonts w:ascii="Times New Roman" w:hAnsi="Times New Roman" w:eastAsia="Times New Roman" w:cs="Times New Roman"/>
          <w:i/>
          <w:i/>
          <w:sz w:val="21"/>
        </w:rPr>
      </w:pPr>
      <w:r>
        <w:rPr>
          <w:rFonts w:eastAsia="Times New Roman" w:cs="Times New Roman" w:ascii="Times New Roman" w:hAnsi="Times New Roman"/>
          <w:i/>
          <w:sz w:val="21"/>
        </w:rPr>
        <mc:AlternateContent>
          <mc:Choice Requires="wps">
            <w:drawing>
              <wp:anchor behindDoc="1" distT="0" distB="0" distL="114935" distR="114935" simplePos="0" locked="0" layoutInCell="1" allowOverlap="1" relativeHeight="20">
                <wp:simplePos x="0" y="0"/>
                <wp:positionH relativeFrom="column">
                  <wp:posOffset>52070</wp:posOffset>
                </wp:positionH>
                <wp:positionV relativeFrom="paragraph">
                  <wp:posOffset>354330</wp:posOffset>
                </wp:positionV>
                <wp:extent cx="2267585" cy="0"/>
                <wp:effectExtent l="0" t="5080" r="0" b="5080"/>
                <wp:wrapNone/>
                <wp:docPr id="19" name=""/>
                <a:graphic xmlns:a="http://schemas.openxmlformats.org/drawingml/2006/main">
                  <a:graphicData uri="http://schemas.microsoft.com/office/word/2010/wordprocessingShape">
                    <wps:wsp>
                      <wps:cNvSpPr/>
                      <wps:spPr>
                        <a:xfrm>
                          <a:off x="0" y="0"/>
                          <a:ext cx="2267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1pt,27.9pt" to="182.6pt,27.9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orbel" w:hAnsi="Corbel" w:eastAsia="Corbel" w:cs="Corbel"/>
          <w:b/>
          <w:sz w:val="23"/>
        </w:rPr>
      </w:pPr>
      <w:r>
        <w:rPr>
          <w:rFonts w:eastAsia="Corbel" w:cs="Corbel" w:ascii="Corbel" w:hAnsi="Corbel"/>
          <w:b/>
          <w:sz w:val="23"/>
        </w:rPr>
        <w:t>The Honourable Colin Barnett MLA</w:t>
      </w:r>
    </w:p>
    <w:p>
      <w:pPr>
        <w:pStyle w:val="Normal"/>
        <w:spacing w:lineRule="exact" w:line="2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rPr>
          <w:rFonts w:ascii="Corbel" w:hAnsi="Corbel" w:eastAsia="Corbel" w:cs="Corbel"/>
        </w:rPr>
      </w:pPr>
      <w:r>
        <w:rPr>
          <w:rFonts w:eastAsia="Corbel" w:cs="Corbel" w:ascii="Corbel" w:hAnsi="Corbel"/>
        </w:rPr>
        <w:t>Premier of the State of Western Australia</w:t>
      </w:r>
    </w:p>
    <w:p>
      <w:pPr>
        <w:pStyle w:val="Normal"/>
        <w:spacing w:lineRule="exact" w:line="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60" w:right="0"/>
        <w:rPr>
          <w:rFonts w:ascii="Corbel" w:hAnsi="Corbel" w:eastAsia="Corbel" w:cs="Corbel"/>
          <w:sz w:val="23"/>
        </w:rPr>
      </w:pPr>
      <w:r>
        <w:rPr>
          <w:rFonts w:eastAsia="Corbel" w:cs="Corbel" w:ascii="Corbel" w:hAnsi="Corbel"/>
          <w:sz w:val="23"/>
        </w:rPr>
        <w:t>[Day] [Month] [Year]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right="2100"/>
        <w:rPr/>
      </w:pPr>
      <w:r>
        <w:rPr>
          <w:rFonts w:eastAsia="Book Antiqua" w:cs="Book Antiqua" w:ascii="Book Antiqua" w:hAnsi="Book Antiqua"/>
          <w:b/>
          <w:sz w:val="23"/>
        </w:rPr>
        <w:t>Signed</w:t>
      </w:r>
      <w:r>
        <w:rPr>
          <w:rFonts w:eastAsia="Book Antiqua" w:cs="Book Antiqua" w:ascii="Book Antiqua" w:hAnsi="Book Antiqua"/>
          <w:sz w:val="23"/>
        </w:rPr>
        <w:t xml:space="preserve"> </w:t>
      </w:r>
      <w:r>
        <w:rPr>
          <w:rFonts w:eastAsia="Book Antiqua" w:cs="Book Antiqua" w:ascii="Book Antiqua" w:hAnsi="Book Antiqua"/>
          <w:i/>
          <w:sz w:val="23"/>
        </w:rPr>
        <w:t>for and on behalf of the State of Tasmania by</w:t>
      </w:r>
    </w:p>
    <w:p>
      <w:pPr>
        <w:pStyle w:val="Normal"/>
        <w:spacing w:lineRule="exact" w:line="20"/>
        <w:rPr>
          <w:rFonts w:ascii="Times New Roman" w:hAnsi="Times New Roman" w:eastAsia="Times New Roman" w:cs="Times New Roman"/>
          <w:i/>
          <w:i/>
          <w:sz w:val="23"/>
        </w:rPr>
      </w:pPr>
      <w:r>
        <w:rPr>
          <w:rFonts w:eastAsia="Times New Roman" w:cs="Times New Roman" w:ascii="Times New Roman" w:hAnsi="Times New Roman"/>
          <w:i/>
          <w:sz w:val="23"/>
        </w:rPr>
        <mc:AlternateContent>
          <mc:Choice Requires="wps">
            <w:drawing>
              <wp:anchor behindDoc="1" distT="0" distB="0" distL="114935" distR="114935" simplePos="0" locked="0" layoutInCell="1" allowOverlap="1" relativeHeight="21">
                <wp:simplePos x="0" y="0"/>
                <wp:positionH relativeFrom="column">
                  <wp:posOffset>52070</wp:posOffset>
                </wp:positionH>
                <wp:positionV relativeFrom="paragraph">
                  <wp:posOffset>374015</wp:posOffset>
                </wp:positionV>
                <wp:extent cx="2267585" cy="0"/>
                <wp:effectExtent l="0" t="5080" r="0" b="5080"/>
                <wp:wrapNone/>
                <wp:docPr id="20" name=""/>
                <a:graphic xmlns:a="http://schemas.openxmlformats.org/drawingml/2006/main">
                  <a:graphicData uri="http://schemas.microsoft.com/office/word/2010/wordprocessingShape">
                    <wps:wsp>
                      <wps:cNvSpPr/>
                      <wps:spPr>
                        <a:xfrm>
                          <a:off x="0" y="0"/>
                          <a:ext cx="2267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1pt,29.45pt" to="182.6pt,29.4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orbel" w:hAnsi="Corbel" w:eastAsia="Corbel" w:cs="Corbel"/>
          <w:b/>
          <w:sz w:val="23"/>
        </w:rPr>
      </w:pPr>
      <w:r>
        <w:rPr>
          <w:rFonts w:eastAsia="Corbel" w:cs="Corbel" w:ascii="Corbel" w:hAnsi="Corbel"/>
          <w:b/>
          <w:sz w:val="23"/>
        </w:rPr>
        <w:t>The Honourable Will Hodgman MP</w:t>
      </w:r>
    </w:p>
    <w:p>
      <w:pPr>
        <w:pStyle w:val="Normal"/>
        <w:spacing w:lineRule="exact" w:line="5"/>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rPr>
          <w:rFonts w:ascii="Corbel" w:hAnsi="Corbel" w:eastAsia="Corbel" w:cs="Corbel"/>
        </w:rPr>
      </w:pPr>
      <w:r>
        <w:rPr>
          <w:rFonts w:eastAsia="Corbel" w:cs="Corbel" w:ascii="Corbel" w:hAnsi="Corbel"/>
        </w:rPr>
        <w:t>Premier of the State of Tasmania</w:t>
      </w: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60" w:right="0"/>
        <w:rPr>
          <w:rFonts w:ascii="Corbel" w:hAnsi="Corbel" w:eastAsia="Corbel" w:cs="Corbel"/>
          <w:sz w:val="23"/>
        </w:rPr>
      </w:pPr>
      <w:r>
        <w:rPr>
          <w:rFonts w:eastAsia="Corbel" w:cs="Corbel" w:ascii="Corbel" w:hAnsi="Corbel"/>
          <w:sz w:val="23"/>
        </w:rPr>
        <w:t>[Day] [Month] [Year]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right="1860"/>
        <w:rPr/>
      </w:pPr>
      <w:r>
        <w:rPr>
          <w:rFonts w:eastAsia="Book Antiqua" w:cs="Book Antiqua" w:ascii="Book Antiqua" w:hAnsi="Book Antiqua"/>
          <w:b/>
          <w:sz w:val="23"/>
        </w:rPr>
        <w:t>Signed</w:t>
      </w:r>
      <w:r>
        <w:rPr>
          <w:rFonts w:eastAsia="Book Antiqua" w:cs="Book Antiqua" w:ascii="Book Antiqua" w:hAnsi="Book Antiqua"/>
          <w:sz w:val="23"/>
        </w:rPr>
        <w:t xml:space="preserve"> for and on behalf of the</w:t>
      </w:r>
      <w:r>
        <w:rPr>
          <w:rFonts w:eastAsia="Book Antiqua" w:cs="Book Antiqua" w:ascii="Book Antiqua" w:hAnsi="Book Antiqua"/>
          <w:i/>
          <w:sz w:val="23"/>
        </w:rPr>
        <w:t xml:space="preserve"> Northern Territory by</w:t>
      </w:r>
    </w:p>
    <w:p>
      <w:pPr>
        <w:pStyle w:val="Normal"/>
        <w:spacing w:lineRule="exact" w:line="20"/>
        <w:rPr>
          <w:rFonts w:ascii="Times New Roman" w:hAnsi="Times New Roman" w:eastAsia="Times New Roman" w:cs="Times New Roman"/>
          <w:i/>
          <w:i/>
          <w:sz w:val="23"/>
        </w:rPr>
      </w:pPr>
      <w:r>
        <w:rPr>
          <w:rFonts w:eastAsia="Times New Roman" w:cs="Times New Roman" w:ascii="Times New Roman" w:hAnsi="Times New Roman"/>
          <w:i/>
          <w:sz w:val="23"/>
        </w:rPr>
        <mc:AlternateContent>
          <mc:Choice Requires="wps">
            <w:drawing>
              <wp:anchor behindDoc="1" distT="0" distB="0" distL="114935" distR="114935" simplePos="0" locked="0" layoutInCell="1" allowOverlap="1" relativeHeight="22">
                <wp:simplePos x="0" y="0"/>
                <wp:positionH relativeFrom="column">
                  <wp:posOffset>52070</wp:posOffset>
                </wp:positionH>
                <wp:positionV relativeFrom="paragraph">
                  <wp:posOffset>379095</wp:posOffset>
                </wp:positionV>
                <wp:extent cx="2267585" cy="0"/>
                <wp:effectExtent l="0" t="5080" r="0" b="5080"/>
                <wp:wrapNone/>
                <wp:docPr id="21" name=""/>
                <a:graphic xmlns:a="http://schemas.openxmlformats.org/drawingml/2006/main">
                  <a:graphicData uri="http://schemas.microsoft.com/office/word/2010/wordprocessingShape">
                    <wps:wsp>
                      <wps:cNvSpPr/>
                      <wps:spPr>
                        <a:xfrm>
                          <a:off x="0" y="0"/>
                          <a:ext cx="22676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4.1pt,29.85pt" to="182.6pt,29.8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orbel" w:hAnsi="Corbel" w:eastAsia="Corbel" w:cs="Corbel"/>
          <w:b/>
          <w:sz w:val="23"/>
        </w:rPr>
      </w:pPr>
      <w:r>
        <w:rPr>
          <w:rFonts w:eastAsia="Corbel" w:cs="Corbel" w:ascii="Corbel" w:hAnsi="Corbel"/>
          <w:b/>
          <w:sz w:val="23"/>
        </w:rPr>
        <w:t>The Honourable Adam Giles MLA</w:t>
      </w:r>
    </w:p>
    <w:p>
      <w:pPr>
        <w:pStyle w:val="Normal"/>
        <w:spacing w:lineRule="exact" w:line="32"/>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uto" w:line="237"/>
        <w:ind w:right="1480"/>
        <w:rPr>
          <w:rFonts w:ascii="Corbel" w:hAnsi="Corbel" w:eastAsia="Corbel" w:cs="Corbel"/>
        </w:rPr>
      </w:pPr>
      <w:r>
        <w:rPr>
          <w:rFonts w:eastAsia="Corbel" w:cs="Corbel" w:ascii="Corbel" w:hAnsi="Corbel"/>
        </w:rPr>
        <w:t>Chief Minister of the Northern Territory of Australia</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60" w:right="0"/>
        <w:rPr>
          <w:rFonts w:ascii="Corbel" w:hAnsi="Corbel" w:eastAsia="Corbel" w:cs="Corbel"/>
          <w:sz w:val="23"/>
        </w:rPr>
      </w:pPr>
      <w:r>
        <w:rPr>
          <w:rFonts w:eastAsia="Corbel" w:cs="Corbel" w:ascii="Corbel" w:hAnsi="Corbel"/>
          <w:sz w:val="23"/>
        </w:rPr>
        <w:t>[Day] [Month] [Year]</w:t>
      </w:r>
    </w:p>
    <w:p>
      <w:pPr>
        <w:sectPr>
          <w:type w:val="continuous"/>
          <w:pgSz w:w="11906" w:h="16838"/>
          <w:pgMar w:left="1140" w:right="870" w:gutter="0" w:header="0" w:top="1091" w:footer="0" w:bottom="163"/>
          <w:cols w:num="2" w:equalWidth="false" w:sep="false">
            <w:col w:w="4660" w:space="340"/>
            <w:col w:w="49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9260" w:right="0"/>
        <w:rPr>
          <w:rFonts w:ascii="Corbel" w:hAnsi="Corbel" w:eastAsia="Corbel" w:cs="Corbel"/>
          <w:color w:val="3C4A67"/>
          <w:sz w:val="17"/>
        </w:rPr>
      </w:pPr>
      <w:r>
        <w:rPr>
          <w:rFonts w:eastAsia="Corbel" w:cs="Corbel" w:ascii="Corbel" w:hAnsi="Corbel"/>
          <w:color w:val="3C4A67"/>
          <w:sz w:val="17"/>
        </w:rPr>
        <w:t>Page | 15</w:t>
      </w:r>
    </w:p>
    <w:p>
      <w:pPr>
        <w:sectPr>
          <w:type w:val="continuous"/>
          <w:pgSz w:w="11906" w:h="16838"/>
          <w:pgMar w:left="1140" w:right="870" w:gutter="0" w:header="0" w:top="1091" w:footer="0" w:bottom="163"/>
          <w:formProt w:val="false"/>
          <w:textDirection w:val="lrTb"/>
          <w:docGrid w:type="default" w:linePitch="360" w:charSpace="0"/>
        </w:sectPr>
      </w:pPr>
    </w:p>
    <w:p>
      <w:pPr>
        <w:pStyle w:val="Normal"/>
        <w:spacing w:lineRule="atLeast" w:line="0"/>
        <w:ind w:left="7920" w:right="0"/>
        <w:rPr>
          <w:rFonts w:ascii="Corbel" w:hAnsi="Corbel" w:eastAsia="Corbel" w:cs="Corbel"/>
          <w:color w:val="800000"/>
          <w:sz w:val="36"/>
        </w:rPr>
      </w:pPr>
      <w:bookmarkStart w:id="15" w:name="page16"/>
      <w:bookmarkEnd w:id="15"/>
      <w:r>
        <w:rPr>
          <w:rFonts w:eastAsia="Corbel" w:cs="Corbel" w:ascii="Corbel" w:hAnsi="Corbel"/>
          <w:color w:val="800000"/>
          <w:sz w:val="36"/>
        </w:rPr>
        <w:t>Schedule A</w:t>
      </w:r>
    </w:p>
    <w:p>
      <w:pPr>
        <w:pStyle w:val="Normal"/>
        <w:spacing w:lineRule="exact" w:line="107"/>
        <w:rPr>
          <w:rFonts w:ascii="Times New Roman" w:hAnsi="Times New Roman" w:eastAsia="Times New Roman" w:cs="Times New Roman"/>
          <w:color w:val="800000"/>
          <w:sz w:val="36"/>
        </w:rPr>
      </w:pPr>
      <w:r>
        <w:rPr>
          <w:rFonts w:eastAsia="Times New Roman" w:cs="Times New Roman" w:ascii="Times New Roman" w:hAnsi="Times New Roman"/>
          <w:color w:val="800000"/>
          <w:sz w:val="36"/>
        </w:rPr>
      </w:r>
    </w:p>
    <w:p>
      <w:pPr>
        <w:pStyle w:val="Normal"/>
        <w:spacing w:lineRule="atLeast" w:line="0"/>
        <w:ind w:left="20" w:right="0"/>
        <w:rPr>
          <w:rFonts w:ascii="Corbel" w:hAnsi="Corbel" w:eastAsia="Corbel" w:cs="Corbel"/>
          <w:color w:val="3C4A67"/>
          <w:sz w:val="72"/>
        </w:rPr>
      </w:pPr>
      <w:r>
        <w:rPr>
          <w:rFonts w:eastAsia="Corbel" w:cs="Corbel" w:ascii="Corbel" w:hAnsi="Corbel"/>
          <w:color w:val="3C4A67"/>
          <w:sz w:val="72"/>
        </w:rPr>
        <w:t>Collaborative service planning</w:t>
      </w:r>
    </w:p>
    <w:p>
      <w:pPr>
        <w:pStyle w:val="Normal"/>
        <w:spacing w:lineRule="auto" w:line="259"/>
        <w:ind w:left="20" w:right="3680"/>
        <w:rPr>
          <w:rFonts w:ascii="Consolas" w:hAnsi="Consolas" w:eastAsia="Consolas" w:cs="Consolas"/>
          <w:b/>
          <w:color w:val="C6823D"/>
          <w:sz w:val="24"/>
        </w:rPr>
      </w:pPr>
      <w:r>
        <w:rPr>
          <w:rFonts w:eastAsia="Consolas" w:cs="Consolas" w:ascii="Consolas" w:hAnsi="Consolas"/>
          <w:b/>
          <w:color w:val="C6823D"/>
          <w:sz w:val="24"/>
        </w:rPr>
        <w:t>NATIONAL PARTNERSHIP AGREEMENT ON LEGAL ASSISTANCE SERVICES</w:t>
      </w:r>
    </w:p>
    <w:p>
      <w:pPr>
        <w:pStyle w:val="Normal"/>
        <w:spacing w:lineRule="exact" w:line="200"/>
        <w:rPr>
          <w:rFonts w:ascii="Times New Roman" w:hAnsi="Times New Roman" w:eastAsia="Times New Roman" w:cs="Times New Roman"/>
          <w:b/>
          <w:color w:val="C6823D"/>
          <w:sz w:val="24"/>
        </w:rPr>
      </w:pPr>
      <w:r>
        <w:rPr>
          <w:rFonts w:eastAsia="Times New Roman" w:cs="Times New Roman" w:ascii="Times New Roman" w:hAnsi="Times New Roman"/>
          <w:b/>
          <w:color w:val="C6823D"/>
          <w:sz w:val="24"/>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left="20" w:right="640"/>
        <w:rPr>
          <w:rFonts w:ascii="Corbel" w:hAnsi="Corbel" w:eastAsia="Corbel" w:cs="Corbel"/>
          <w:b/>
          <w:color w:val="3C4A67"/>
          <w:sz w:val="29"/>
        </w:rPr>
      </w:pPr>
      <w:r>
        <w:rPr>
          <w:rFonts w:eastAsia="Corbel" w:cs="Corbel" w:ascii="Corbel" w:hAnsi="Corbel"/>
          <w:b/>
          <w:color w:val="3C4A67"/>
          <w:sz w:val="29"/>
        </w:rPr>
        <w:t>This schedule provides guidance on the elements of collaborative service planning.</w:t>
      </w:r>
    </w:p>
    <w:p>
      <w:pPr>
        <w:pStyle w:val="Normal"/>
        <w:spacing w:lineRule="exact" w:line="200"/>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rFonts w:ascii="Consolas" w:hAnsi="Consolas" w:eastAsia="Consolas" w:cs="Consolas"/>
          <w:color w:val="3C4A67"/>
          <w:sz w:val="32"/>
        </w:rPr>
      </w:pPr>
      <w:r>
        <w:rPr>
          <w:rFonts w:eastAsia="Consolas" w:cs="Consolas" w:ascii="Consolas" w:hAnsi="Consolas"/>
          <w:color w:val="3C4A67"/>
          <w:sz w:val="32"/>
        </w:rPr>
        <w:t>OVERVIEW</w:t>
      </w:r>
    </w:p>
    <w:p>
      <w:pPr>
        <w:pStyle w:val="Normal"/>
        <w:spacing w:lineRule="exact" w:line="195"/>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tabs>
          <w:tab w:val="clear" w:pos="720"/>
          <w:tab w:val="left" w:pos="560" w:leader="none"/>
        </w:tabs>
        <w:spacing w:lineRule="auto" w:line="223"/>
        <w:ind w:hanging="579" w:left="580" w:right="20"/>
        <w:jc w:val="both"/>
        <w:rPr/>
      </w:pPr>
      <w:r>
        <w:rPr>
          <w:rFonts w:eastAsia="Corbel" w:cs="Corbel" w:ascii="Corbel" w:hAnsi="Corbel"/>
          <w:sz w:val="23"/>
        </w:rPr>
        <w:t>A1</w:t>
        <w:tab/>
        <w:t>Under this Agreement, the Parties will work together with the legal assistance sector to coordinate and maximise the reach of services and to ensure that services are directed where they are most needed.</w:t>
      </w:r>
    </w:p>
    <w:p>
      <w:pPr>
        <w:pStyle w:val="Normal"/>
        <w:spacing w:lineRule="exact" w:line="204"/>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tLeast" w:line="0"/>
        <w:rPr/>
      </w:pPr>
      <w:r>
        <w:rPr>
          <w:rFonts w:eastAsia="Corbel" w:cs="Corbel" w:ascii="Corbel" w:hAnsi="Corbel"/>
          <w:sz w:val="23"/>
        </w:rPr>
        <w:t>A2</w:t>
        <w:tab/>
        <w:t>The outcomes of collaborative service planning will inform the distribution of Commonwealth</w:t>
      </w:r>
    </w:p>
    <w:p>
      <w:pPr>
        <w:pStyle w:val="Normal"/>
        <w:spacing w:lineRule="auto" w:line="223"/>
        <w:ind w:firstLine="2" w:left="580" w:right="540"/>
        <w:rPr>
          <w:rFonts w:ascii="Corbel" w:hAnsi="Corbel" w:eastAsia="Corbel" w:cs="Corbel"/>
          <w:sz w:val="23"/>
        </w:rPr>
      </w:pPr>
      <w:r>
        <w:rPr>
          <w:rFonts w:eastAsia="Corbel" w:cs="Corbel" w:ascii="Corbel" w:hAnsi="Corbel"/>
          <w:sz w:val="23"/>
        </w:rPr>
        <w:t>and State funding to community legal centres within each jurisdiction. This process will facilitate a holistic and objective approach to decision-making about the distribution of this funding.</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rFonts w:ascii="Consolas" w:hAnsi="Consolas" w:eastAsia="Consolas" w:cs="Consolas"/>
          <w:color w:val="3C4A67"/>
          <w:sz w:val="32"/>
        </w:rPr>
      </w:pPr>
      <w:r>
        <w:rPr>
          <w:rFonts w:eastAsia="Consolas" w:cs="Consolas" w:ascii="Consolas" w:hAnsi="Consolas"/>
          <w:color w:val="3C4A67"/>
          <w:sz w:val="32"/>
        </w:rPr>
        <w:t>ELEMENTS OF COLLABORATIVE SERVICE PLANNING</w:t>
      </w:r>
    </w:p>
    <w:p>
      <w:pPr>
        <w:pStyle w:val="Normal"/>
        <w:spacing w:lineRule="exact" w:line="180"/>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tabs>
          <w:tab w:val="clear" w:pos="720"/>
          <w:tab w:val="left" w:pos="560" w:leader="none"/>
        </w:tabs>
        <w:spacing w:lineRule="atLeast" w:line="0"/>
        <w:ind w:left="20" w:right="0"/>
        <w:rPr/>
      </w:pPr>
      <w:r>
        <w:rPr>
          <w:rFonts w:eastAsia="Corbel" w:cs="Corbel" w:ascii="Corbel" w:hAnsi="Corbel"/>
          <w:sz w:val="23"/>
        </w:rPr>
        <w:t>A3</w:t>
        <w:tab/>
        <w:t>There are two key elements of the service planning process.</w:t>
      </w:r>
    </w:p>
    <w:p>
      <w:pPr>
        <w:pStyle w:val="Normal"/>
        <w:spacing w:lineRule="exact" w:line="23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Evidence and analysis of legal need</w:t>
      </w:r>
    </w:p>
    <w:p>
      <w:pPr>
        <w:pStyle w:val="Normal"/>
        <w:spacing w:lineRule="exact" w:line="123"/>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tabs>
          <w:tab w:val="clear" w:pos="720"/>
          <w:tab w:val="left" w:pos="560" w:leader="none"/>
        </w:tabs>
        <w:spacing w:lineRule="auto" w:line="220"/>
        <w:ind w:hanging="579" w:left="580" w:right="240"/>
        <w:rPr/>
      </w:pPr>
      <w:r>
        <w:rPr>
          <w:rFonts w:eastAsia="Corbel" w:cs="Corbel" w:ascii="Corbel" w:hAnsi="Corbel"/>
          <w:sz w:val="23"/>
        </w:rPr>
        <w:t>A4</w:t>
        <w:tab/>
        <w:t>The first element of service planning is that the States use an evidence base to identify priority clients and the geographic locations in which people have the highest levels of legal need. This will enable the States to identify and analyse evidence of disadvantage, as a proxy for legal need, and target legal assistance services within their jurisdiction accordingly.</w:t>
      </w:r>
    </w:p>
    <w:p>
      <w:pPr>
        <w:pStyle w:val="Normal"/>
        <w:spacing w:lineRule="exact" w:line="217"/>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tLeast" w:line="0"/>
        <w:ind w:left="20" w:right="0"/>
        <w:rPr/>
      </w:pPr>
      <w:r>
        <w:rPr>
          <w:rFonts w:eastAsia="Corbel" w:cs="Corbel" w:ascii="Corbel" w:hAnsi="Corbel"/>
          <w:sz w:val="23"/>
        </w:rPr>
        <w:t>A5</w:t>
        <w:tab/>
        <w:t>The States could develop a new evidence base, or could use existing evidence bases.</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580" w:right="0"/>
        <w:rPr>
          <w:rFonts w:ascii="Corbel" w:hAnsi="Corbel" w:eastAsia="Corbel" w:cs="Corbel"/>
          <w:sz w:val="23"/>
        </w:rPr>
      </w:pPr>
      <w:r>
        <w:rPr>
          <w:rFonts w:eastAsia="Corbel" w:cs="Corbel" w:ascii="Corbel" w:hAnsi="Corbel"/>
          <w:sz w:val="23"/>
        </w:rPr>
        <w:t>The evidence used should, at minimum, include:</w:t>
      </w:r>
    </w:p>
    <w:p>
      <w:pPr>
        <w:pStyle w:val="Normal"/>
        <w:spacing w:lineRule="exact" w:line="199"/>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3"/>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the Census and/or socio-economic data produced by the Australian Bureau of Statistics;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3"/>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information from the Law and Justice Foundation of New South Wales.</w:t>
      </w:r>
    </w:p>
    <w:p>
      <w:pPr>
        <w:pStyle w:val="Normal"/>
        <w:spacing w:lineRule="exact" w:line="229"/>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tLeast" w:line="0"/>
        <w:ind w:left="20" w:right="0"/>
        <w:rPr/>
      </w:pPr>
      <w:r>
        <w:rPr>
          <w:rFonts w:eastAsia="Corbel" w:cs="Corbel" w:ascii="Corbel" w:hAnsi="Corbel"/>
          <w:sz w:val="23"/>
        </w:rPr>
        <w:t>A6</w:t>
        <w:tab/>
        <w:t>To identify and analyse data, the States could use reports or tools including, but not limited to:</w:t>
      </w:r>
    </w:p>
    <w:p>
      <w:pPr>
        <w:pStyle w:val="Normal"/>
        <w:spacing w:lineRule="exact" w:line="21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4"/>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community profiles used by local councils that include demographic data;</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0"/>
          <w:numId w:val="34"/>
        </w:numPr>
        <w:tabs>
          <w:tab w:val="clear" w:pos="720"/>
          <w:tab w:val="left" w:pos="1141" w:leader="none"/>
        </w:tabs>
        <w:spacing w:lineRule="auto" w:line="228"/>
        <w:ind w:hanging="565" w:left="1140" w:right="1160"/>
        <w:rPr>
          <w:rFonts w:ascii="Corbel" w:hAnsi="Corbel" w:eastAsia="Corbel" w:cs="Corbel"/>
          <w:sz w:val="23"/>
        </w:rPr>
      </w:pPr>
      <w:r>
        <w:rPr>
          <w:rFonts w:eastAsia="Corbel" w:cs="Corbel" w:ascii="Corbel" w:hAnsi="Corbel"/>
          <w:sz w:val="23"/>
        </w:rPr>
        <w:t>the Legal Needs Assessment Framework and Toolkit produced by the National Association of Community Legal Centres;</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0"/>
          <w:numId w:val="34"/>
        </w:numPr>
        <w:tabs>
          <w:tab w:val="clear" w:pos="720"/>
          <w:tab w:val="left" w:pos="1140" w:leader="none"/>
        </w:tabs>
        <w:spacing w:lineRule="auto" w:line="220"/>
        <w:ind w:hanging="566" w:left="1140" w:right="300"/>
        <w:rPr>
          <w:rFonts w:ascii="Corbel" w:hAnsi="Corbel" w:eastAsia="Corbel" w:cs="Corbel"/>
          <w:sz w:val="23"/>
        </w:rPr>
      </w:pPr>
      <w:r>
        <w:rPr>
          <w:rFonts w:eastAsia="Corbel" w:cs="Corbel" w:ascii="Corbel" w:hAnsi="Corbel"/>
          <w:sz w:val="23"/>
        </w:rPr>
        <w:t>reports that include demographic and socio-economic analysis using relevant indicators by geographic spread;</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0"/>
          <w:numId w:val="34"/>
        </w:numPr>
        <w:tabs>
          <w:tab w:val="clear" w:pos="720"/>
          <w:tab w:val="left" w:pos="1140" w:leader="none"/>
        </w:tabs>
        <w:spacing w:lineRule="auto" w:line="220"/>
        <w:ind w:hanging="566" w:left="1140" w:right="980"/>
        <w:rPr>
          <w:rFonts w:ascii="Corbel" w:hAnsi="Corbel" w:eastAsia="Corbel" w:cs="Corbel"/>
          <w:sz w:val="23"/>
        </w:rPr>
      </w:pPr>
      <w:r>
        <w:rPr>
          <w:rFonts w:eastAsia="Corbel" w:cs="Corbel" w:ascii="Corbel" w:hAnsi="Corbel"/>
          <w:sz w:val="23"/>
        </w:rPr>
        <w:t>other local and relevant data from regional planning reports, crime statistics and information on debt recovery.</w:t>
      </w:r>
    </w:p>
    <w:p>
      <w:pPr>
        <w:pStyle w:val="Normal"/>
        <w:spacing w:lineRule="exact" w:line="295"/>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1906" w:h="16838"/>
          <w:pgMar w:left="1120" w:right="1130" w:gutter="0" w:header="0" w:top="1101" w:footer="0" w:bottom="174"/>
          <w:pgNumType w:fmt="decimal"/>
          <w:formProt w:val="false"/>
          <w:textDirection w:val="lrTb"/>
          <w:docGrid w:type="default" w:linePitch="360" w:charSpace="0"/>
        </w:sectPr>
        <w:pStyle w:val="Normal"/>
        <w:spacing w:lineRule="atLeast" w:line="0"/>
        <w:jc w:val="right"/>
        <w:rPr>
          <w:rFonts w:ascii="Times New Roman" w:hAnsi="Times New Roman" w:eastAsia="Times New Roman" w:cs="Times New Roman"/>
          <w:color w:val="3C4A67"/>
          <w:sz w:val="18"/>
        </w:rPr>
      </w:pPr>
      <w:r>
        <w:rPr>
          <w:rFonts w:eastAsia="Times New Roman" w:cs="Times New Roman" w:ascii="Times New Roman" w:hAnsi="Times New Roman"/>
          <w:color w:val="3C4A67"/>
          <w:sz w:val="18"/>
        </w:rPr>
        <w:t>Page | A-1</w:t>
      </w:r>
    </w:p>
    <w:p>
      <w:pPr>
        <w:pStyle w:val="Normal"/>
        <w:spacing w:lineRule="atLeast" w:line="0"/>
        <w:ind w:left="20" w:right="0"/>
        <w:rPr>
          <w:rFonts w:ascii="Corbel" w:hAnsi="Corbel" w:eastAsia="Corbel" w:cs="Corbel"/>
          <w:b/>
          <w:color w:val="3C4A67"/>
          <w:sz w:val="29"/>
        </w:rPr>
      </w:pPr>
      <w:bookmarkStart w:id="16" w:name="page17"/>
      <w:bookmarkEnd w:id="16"/>
      <w:r>
        <w:rPr>
          <w:rFonts w:eastAsia="Corbel" w:cs="Corbel" w:ascii="Corbel" w:hAnsi="Corbel"/>
          <w:b/>
          <w:color w:val="3C4A67"/>
          <w:sz w:val="29"/>
        </w:rPr>
        <w:t>Collaborative service planning meetings</w:t>
      </w:r>
    </w:p>
    <w:p>
      <w:pPr>
        <w:pStyle w:val="Normal"/>
        <w:spacing w:lineRule="exact" w:line="123"/>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tabs>
          <w:tab w:val="clear" w:pos="720"/>
          <w:tab w:val="left" w:pos="560" w:leader="none"/>
        </w:tabs>
        <w:spacing w:lineRule="auto" w:line="223"/>
        <w:ind w:hanging="579" w:left="580" w:right="580"/>
        <w:rPr/>
      </w:pPr>
      <w:r>
        <w:rPr>
          <w:rFonts w:eastAsia="Corbel" w:cs="Corbel" w:ascii="Corbel" w:hAnsi="Corbel"/>
          <w:sz w:val="23"/>
        </w:rPr>
        <w:t>A7</w:t>
        <w:tab/>
        <w:t>The second element of service planning is that the States will conduct collaborative service planning meetings, twice a year at minimum, to promote discussion of strategies for the delivery of services within their jurisdiction.</w:t>
      </w:r>
    </w:p>
    <w:p>
      <w:pPr>
        <w:pStyle w:val="Normal"/>
        <w:spacing w:lineRule="exact" w:line="216"/>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tLeast" w:line="0"/>
        <w:ind w:left="20" w:right="0"/>
        <w:rPr/>
      </w:pPr>
      <w:r>
        <w:rPr>
          <w:rFonts w:eastAsia="Corbel" w:cs="Corbel" w:ascii="Corbel" w:hAnsi="Corbel"/>
          <w:sz w:val="23"/>
        </w:rPr>
        <w:t>A8</w:t>
        <w:tab/>
        <w:t>The States will invite representatives from:</w:t>
      </w:r>
    </w:p>
    <w:p>
      <w:pPr>
        <w:pStyle w:val="Normal"/>
        <w:spacing w:lineRule="exact" w:line="21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5"/>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the relevant State/Territory government;</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0"/>
          <w:numId w:val="35"/>
        </w:numPr>
        <w:tabs>
          <w:tab w:val="clear" w:pos="720"/>
          <w:tab w:val="left" w:pos="1140" w:leader="none"/>
        </w:tabs>
        <w:spacing w:lineRule="atLeast" w:line="0"/>
        <w:ind w:hanging="566" w:left="1140" w:right="0"/>
        <w:rPr>
          <w:rFonts w:ascii="Corbel" w:hAnsi="Corbel" w:eastAsia="Corbel" w:cs="Corbel"/>
          <w:sz w:val="23"/>
        </w:rPr>
      </w:pPr>
      <w:r>
        <w:rPr>
          <w:rFonts w:eastAsia="Corbel" w:cs="Corbel" w:ascii="Corbel" w:hAnsi="Corbel"/>
          <w:sz w:val="23"/>
        </w:rPr>
        <w:t>the Commonwealth; and</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0"/>
          <w:numId w:val="35"/>
        </w:numPr>
        <w:tabs>
          <w:tab w:val="clear" w:pos="720"/>
          <w:tab w:val="left" w:pos="1140" w:leader="none"/>
        </w:tabs>
        <w:spacing w:lineRule="auto" w:line="220"/>
        <w:ind w:hanging="566" w:left="1140" w:right="1040"/>
        <w:rPr>
          <w:rFonts w:ascii="Corbel" w:hAnsi="Corbel" w:eastAsia="Corbel" w:cs="Corbel"/>
          <w:sz w:val="23"/>
        </w:rPr>
      </w:pPr>
      <w:r>
        <w:rPr>
          <w:rFonts w:eastAsia="Corbel" w:cs="Corbel" w:ascii="Corbel" w:hAnsi="Corbel"/>
          <w:sz w:val="23"/>
        </w:rPr>
        <w:t>legal aid commissions, community legal centres and Indigenous legal assistance providers.</w:t>
      </w:r>
    </w:p>
    <w:p>
      <w:pPr>
        <w:pStyle w:val="Normal"/>
        <w:spacing w:lineRule="exact" w:line="23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28"/>
        <w:ind w:left="580" w:right="640"/>
        <w:rPr>
          <w:rFonts w:ascii="Corbel" w:hAnsi="Corbel" w:eastAsia="Corbel" w:cs="Corbel"/>
          <w:sz w:val="23"/>
        </w:rPr>
      </w:pPr>
      <w:r>
        <w:rPr>
          <w:rFonts w:eastAsia="Corbel" w:cs="Corbel" w:ascii="Corbel" w:hAnsi="Corbel"/>
          <w:sz w:val="23"/>
        </w:rPr>
        <w:t>Service planning meetings could also include representatives from other legal or non-legal service providers or organisations.</w:t>
      </w:r>
    </w:p>
    <w:p>
      <w:pPr>
        <w:pStyle w:val="Normal"/>
        <w:spacing w:lineRule="exact" w:line="229"/>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uto" w:line="220"/>
        <w:ind w:hanging="579" w:left="580" w:right="820"/>
        <w:rPr/>
      </w:pPr>
      <w:r>
        <w:rPr>
          <w:rFonts w:eastAsia="Corbel" w:cs="Corbel" w:ascii="Corbel" w:hAnsi="Corbel"/>
          <w:sz w:val="23"/>
        </w:rPr>
        <w:t>A9</w:t>
        <w:tab/>
        <w:t>Using evidence and analysis of legal need, service planning meetings should consider, at minimum:</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6"/>
        </w:numPr>
        <w:tabs>
          <w:tab w:val="clear" w:pos="720"/>
          <w:tab w:val="left" w:pos="1140" w:leader="none"/>
        </w:tabs>
        <w:spacing w:lineRule="auto" w:line="220"/>
        <w:ind w:hanging="565" w:left="1140" w:right="400"/>
        <w:rPr>
          <w:rFonts w:ascii="Corbel" w:hAnsi="Corbel" w:eastAsia="Corbel" w:cs="Corbel"/>
          <w:sz w:val="23"/>
        </w:rPr>
      </w:pPr>
      <w:r>
        <w:rPr>
          <w:rFonts w:eastAsia="Corbel" w:cs="Corbel" w:ascii="Corbel" w:hAnsi="Corbel"/>
          <w:sz w:val="23"/>
        </w:rPr>
        <w:t>the different locations of services delivered by legal aid commissions, community legal centres and Indigenous legal assistance providers within the jurisdiction;</w:t>
      </w:r>
    </w:p>
    <w:p>
      <w:pPr>
        <w:pStyle w:val="Normal"/>
        <w:spacing w:lineRule="exact" w:line="215"/>
        <w:rPr>
          <w:rFonts w:ascii="Corbel" w:hAnsi="Corbel" w:eastAsia="Corbel" w:cs="Corbel"/>
          <w:sz w:val="23"/>
        </w:rPr>
      </w:pPr>
      <w:r>
        <w:rPr>
          <w:rFonts w:eastAsia="Corbel" w:cs="Corbel" w:ascii="Corbel" w:hAnsi="Corbel"/>
          <w:sz w:val="23"/>
        </w:rPr>
      </w:r>
    </w:p>
    <w:p>
      <w:pPr>
        <w:pStyle w:val="Normal"/>
        <w:numPr>
          <w:ilvl w:val="0"/>
          <w:numId w:val="36"/>
        </w:numPr>
        <w:tabs>
          <w:tab w:val="clear" w:pos="720"/>
          <w:tab w:val="left" w:pos="1140" w:leader="none"/>
        </w:tabs>
        <w:spacing w:lineRule="atLeast" w:line="0"/>
        <w:ind w:hanging="566" w:left="1140" w:right="0"/>
        <w:rPr>
          <w:rFonts w:ascii="Corbel" w:hAnsi="Corbel" w:eastAsia="Corbel" w:cs="Corbel"/>
          <w:sz w:val="23"/>
        </w:rPr>
      </w:pPr>
      <w:r>
        <w:rPr>
          <w:rFonts w:eastAsia="Corbel" w:cs="Corbel" w:ascii="Corbel" w:hAnsi="Corbel"/>
          <w:sz w:val="23"/>
        </w:rPr>
        <w:t>the mix of legal assistance services available;</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0"/>
          <w:numId w:val="36"/>
        </w:numPr>
        <w:tabs>
          <w:tab w:val="clear" w:pos="720"/>
          <w:tab w:val="left" w:pos="1140" w:leader="none"/>
        </w:tabs>
        <w:spacing w:lineRule="auto" w:line="244"/>
        <w:ind w:hanging="565" w:left="1140" w:right="840"/>
        <w:rPr>
          <w:rFonts w:ascii="Corbel" w:hAnsi="Corbel" w:eastAsia="Corbel" w:cs="Corbel"/>
          <w:sz w:val="21"/>
        </w:rPr>
      </w:pPr>
      <w:r>
        <w:rPr>
          <w:rFonts w:eastAsia="Corbel" w:cs="Corbel" w:ascii="Corbel" w:hAnsi="Corbel"/>
          <w:sz w:val="21"/>
        </w:rPr>
        <w:t>strategies to achieve proportionate service responses—for example that, where practicable, services are appropriate to clients’ legal needs and levels of capability;</w:t>
      </w:r>
    </w:p>
    <w:p>
      <w:pPr>
        <w:pStyle w:val="Normal"/>
        <w:spacing w:lineRule="exact" w:line="207"/>
        <w:rPr>
          <w:rFonts w:ascii="Corbel" w:hAnsi="Corbel" w:eastAsia="Corbel" w:cs="Corbel"/>
          <w:sz w:val="21"/>
        </w:rPr>
      </w:pPr>
      <w:r>
        <w:rPr>
          <w:rFonts w:eastAsia="Corbel" w:cs="Corbel" w:ascii="Corbel" w:hAnsi="Corbel"/>
          <w:sz w:val="21"/>
        </w:rPr>
      </w:r>
    </w:p>
    <w:p>
      <w:pPr>
        <w:pStyle w:val="Normal"/>
        <w:numPr>
          <w:ilvl w:val="0"/>
          <w:numId w:val="36"/>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the coordination of community legal education at a State/Territory level; and</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6"/>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the efficiency and effectiveness of service delivery models.</w:t>
      </w:r>
    </w:p>
    <w:p>
      <w:pPr>
        <w:pStyle w:val="Normal"/>
        <w:spacing w:lineRule="exact" w:line="244"/>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uto" w:line="228"/>
        <w:ind w:hanging="579" w:left="580" w:right="720"/>
        <w:rPr/>
      </w:pPr>
      <w:r>
        <w:rPr>
          <w:rFonts w:eastAsia="Corbel" w:cs="Corbel" w:ascii="Corbel" w:hAnsi="Corbel"/>
          <w:sz w:val="23"/>
        </w:rPr>
        <w:t>A10</w:t>
        <w:tab/>
        <w:t>Discussions should consider strategies to streamline services and reduce any unnecessary duplication, including but not limited to:</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7"/>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more efficient and effective ways of using available resources;</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0"/>
          <w:numId w:val="37"/>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reallocating resources;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7"/>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changing service delivery approaches;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7"/>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adjusting triage practices;</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0"/>
          <w:numId w:val="37"/>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collaborating or co-locating with other service providers;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7"/>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consolidating outreach services and/or locations;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7"/>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sharing telephone helplines and websites; and</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7"/>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merging administrative functions.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20" w:right="1130" w:gutter="0" w:header="0" w:top="1063" w:footer="0" w:bottom="174"/>
          <w:pgNumType w:fmt="decimal"/>
          <w:formProt w:val="false"/>
          <w:textDirection w:val="lrTb"/>
          <w:docGrid w:type="default" w:linePitch="360" w:charSpace="0"/>
        </w:sectPr>
        <w:pStyle w:val="Normal"/>
        <w:spacing w:lineRule="atLeast" w:line="0"/>
        <w:jc w:val="right"/>
        <w:rPr>
          <w:rFonts w:ascii="Times New Roman" w:hAnsi="Times New Roman" w:eastAsia="Times New Roman" w:cs="Times New Roman"/>
          <w:color w:val="3C4A67"/>
          <w:sz w:val="18"/>
        </w:rPr>
      </w:pPr>
      <w:r>
        <w:rPr>
          <w:rFonts w:eastAsia="Times New Roman" w:cs="Times New Roman" w:ascii="Times New Roman" w:hAnsi="Times New Roman"/>
          <w:color w:val="3C4A67"/>
          <w:sz w:val="18"/>
        </w:rPr>
        <w:t>Page | A-2</w:t>
      </w:r>
    </w:p>
    <w:p>
      <w:pPr>
        <w:pStyle w:val="Normal"/>
        <w:spacing w:lineRule="atLeast" w:line="0"/>
        <w:ind w:left="7900" w:right="0"/>
        <w:rPr>
          <w:rFonts w:ascii="Corbel" w:hAnsi="Corbel" w:eastAsia="Corbel" w:cs="Corbel"/>
          <w:color w:val="800000"/>
          <w:sz w:val="36"/>
        </w:rPr>
      </w:pPr>
      <w:bookmarkStart w:id="17" w:name="page18"/>
      <w:bookmarkEnd w:id="17"/>
      <w:r>
        <w:rPr>
          <w:rFonts w:eastAsia="Corbel" w:cs="Corbel" w:ascii="Corbel" w:hAnsi="Corbel"/>
          <w:color w:val="800000"/>
          <w:sz w:val="36"/>
        </w:rPr>
        <w:t>Schedule B</w:t>
      </w:r>
    </w:p>
    <w:p>
      <w:pPr>
        <w:pStyle w:val="Normal"/>
        <w:spacing w:lineRule="exact" w:line="144"/>
        <w:rPr>
          <w:rFonts w:ascii="Times New Roman" w:hAnsi="Times New Roman" w:eastAsia="Times New Roman" w:cs="Times New Roman"/>
          <w:color w:val="800000"/>
          <w:sz w:val="36"/>
        </w:rPr>
      </w:pPr>
      <w:r>
        <w:rPr>
          <w:rFonts w:eastAsia="Times New Roman" w:cs="Times New Roman" w:ascii="Times New Roman" w:hAnsi="Times New Roman"/>
          <w:color w:val="800000"/>
          <w:sz w:val="36"/>
        </w:rPr>
      </w:r>
    </w:p>
    <w:p>
      <w:pPr>
        <w:pStyle w:val="Normal"/>
        <w:spacing w:lineRule="auto" w:line="232"/>
        <w:ind w:right="860"/>
        <w:rPr>
          <w:rFonts w:ascii="Corbel" w:hAnsi="Corbel" w:eastAsia="Corbel" w:cs="Corbel"/>
          <w:color w:val="3C4A67"/>
          <w:sz w:val="72"/>
        </w:rPr>
      </w:pPr>
      <w:r>
        <w:rPr>
          <w:rFonts w:eastAsia="Corbel" w:cs="Corbel" w:ascii="Corbel" w:hAnsi="Corbel"/>
          <w:color w:val="3C4A67"/>
          <w:sz w:val="72"/>
        </w:rPr>
        <w:t>Commonwealth priorities and eligibility principles</w:t>
      </w:r>
    </w:p>
    <w:p>
      <w:pPr>
        <w:pStyle w:val="Normal"/>
        <w:spacing w:lineRule="exact" w:line="200"/>
        <w:rPr>
          <w:rFonts w:ascii="Times New Roman" w:hAnsi="Times New Roman" w:eastAsia="Times New Roman" w:cs="Times New Roman"/>
          <w:color w:val="3C4A67"/>
          <w:sz w:val="72"/>
        </w:rPr>
      </w:pPr>
      <w:r>
        <w:rPr>
          <w:rFonts w:eastAsia="Times New Roman" w:cs="Times New Roman" w:ascii="Times New Roman" w:hAnsi="Times New Roman"/>
          <w:color w:val="3C4A67"/>
          <w:sz w:val="7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right="3660"/>
        <w:rPr>
          <w:rFonts w:ascii="Consolas" w:hAnsi="Consolas" w:eastAsia="Consolas" w:cs="Consolas"/>
          <w:b/>
          <w:color w:val="C6823D"/>
          <w:sz w:val="24"/>
        </w:rPr>
      </w:pPr>
      <w:r>
        <w:rPr>
          <w:rFonts w:eastAsia="Consolas" w:cs="Consolas" w:ascii="Consolas" w:hAnsi="Consolas"/>
          <w:b/>
          <w:color w:val="C6823D"/>
          <w:sz w:val="24"/>
        </w:rPr>
        <w:t>NATIONAL PARTNERSHIP AGREEMENT ON LEGAL ASSISTANCE SERVICES</w:t>
      </w:r>
    </w:p>
    <w:p>
      <w:pPr>
        <w:pStyle w:val="Normal"/>
        <w:spacing w:lineRule="exact" w:line="250"/>
        <w:rPr>
          <w:rFonts w:ascii="Times New Roman" w:hAnsi="Times New Roman" w:eastAsia="Times New Roman" w:cs="Times New Roman"/>
          <w:b/>
          <w:color w:val="C6823D"/>
          <w:sz w:val="24"/>
        </w:rPr>
      </w:pPr>
      <w:r>
        <w:rPr>
          <w:rFonts w:eastAsia="Times New Roman" w:cs="Times New Roman" w:ascii="Times New Roman" w:hAnsi="Times New Roman"/>
          <w:b/>
          <w:color w:val="C6823D"/>
          <w:sz w:val="24"/>
        </w:rPr>
      </w:r>
    </w:p>
    <w:p>
      <w:pPr>
        <w:pStyle w:val="Normal"/>
        <w:spacing w:lineRule="auto" w:line="204"/>
        <w:ind w:right="20"/>
        <w:rPr>
          <w:rFonts w:ascii="Corbel" w:hAnsi="Corbel" w:eastAsia="Corbel" w:cs="Corbel"/>
          <w:b/>
          <w:color w:val="3C4A67"/>
          <w:sz w:val="29"/>
        </w:rPr>
      </w:pPr>
      <w:r>
        <w:rPr>
          <w:rFonts w:eastAsia="Corbel" w:cs="Corbel" w:ascii="Corbel" w:hAnsi="Corbel"/>
          <w:b/>
          <w:color w:val="3C4A67"/>
          <w:sz w:val="29"/>
        </w:rPr>
        <w:t>This schedule provides guidance on the prioritisation of legal assistance services delivered by legal aid commissions and community legal centres.</w:t>
      </w:r>
    </w:p>
    <w:p>
      <w:pPr>
        <w:pStyle w:val="Normal"/>
        <w:spacing w:lineRule="exact" w:line="200"/>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onsolas" w:hAnsi="Consolas" w:eastAsia="Consolas" w:cs="Consolas"/>
          <w:color w:val="3C4A67"/>
          <w:sz w:val="32"/>
        </w:rPr>
      </w:pPr>
      <w:r>
        <w:rPr>
          <w:rFonts w:eastAsia="Consolas" w:cs="Consolas" w:ascii="Consolas" w:hAnsi="Consolas"/>
          <w:color w:val="3C4A67"/>
          <w:sz w:val="32"/>
        </w:rPr>
        <w:t>PRIORITY CLIENTS</w:t>
      </w:r>
    </w:p>
    <w:p>
      <w:pPr>
        <w:pStyle w:val="Normal"/>
        <w:spacing w:lineRule="exact" w:line="15"/>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tabs>
          <w:tab w:val="clear" w:pos="720"/>
          <w:tab w:val="left" w:pos="540" w:leader="none"/>
        </w:tabs>
        <w:spacing w:lineRule="auto" w:line="220"/>
        <w:ind w:hanging="579" w:left="560" w:right="0"/>
        <w:jc w:val="both"/>
        <w:rPr/>
      </w:pPr>
      <w:r>
        <w:rPr>
          <w:rFonts w:eastAsia="Corbel" w:cs="Corbel" w:ascii="Corbel" w:hAnsi="Corbel"/>
          <w:sz w:val="23"/>
        </w:rPr>
        <w:t>B1</w:t>
      </w:r>
      <w:r>
        <w:rPr>
          <w:rFonts w:eastAsia="Times New Roman" w:cs="Times New Roman" w:ascii="Times New Roman" w:hAnsi="Times New Roman"/>
        </w:rPr>
        <w:tab/>
      </w:r>
      <w:r>
        <w:rPr>
          <w:rFonts w:eastAsia="Corbel" w:cs="Corbel" w:ascii="Corbel" w:hAnsi="Corbel"/>
          <w:sz w:val="23"/>
        </w:rPr>
        <w:t>The legal assistance priority client groups recognise people whose capability to resolve legal problems may be compromised by circumstances of vulnerability and/or disadvantage. People who fall within the priority client groups are more likely to experience legal problems, less likely to seek assistance and/or less able to access services for a range of reasons.</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40" w:leader="none"/>
        </w:tabs>
        <w:spacing w:lineRule="auto" w:line="220"/>
        <w:ind w:hanging="579" w:left="560" w:right="320"/>
        <w:rPr/>
      </w:pPr>
      <w:r>
        <w:rPr>
          <w:rFonts w:eastAsia="Corbel" w:cs="Corbel" w:ascii="Corbel" w:hAnsi="Corbel"/>
          <w:sz w:val="23"/>
        </w:rPr>
        <w:t>B2</w:t>
        <w:tab/>
        <w:t>Legal assistance service providers should focus their services on people experiencing financial disadvantage.</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40" w:leader="none"/>
        </w:tabs>
        <w:spacing w:lineRule="auto" w:line="244"/>
        <w:ind w:hanging="579" w:left="560" w:right="220"/>
        <w:rPr/>
      </w:pPr>
      <w:r>
        <w:rPr>
          <w:rFonts w:eastAsia="Corbel" w:cs="Corbel" w:ascii="Corbel" w:hAnsi="Corbel"/>
          <w:sz w:val="21"/>
        </w:rPr>
        <w:t>B3</w:t>
      </w:r>
      <w:r>
        <w:rPr>
          <w:rFonts w:eastAsia="Times New Roman" w:cs="Times New Roman" w:ascii="Times New Roman" w:hAnsi="Times New Roman"/>
        </w:rPr>
        <w:tab/>
      </w:r>
      <w:r>
        <w:rPr>
          <w:rFonts w:eastAsia="Corbel" w:cs="Corbel" w:ascii="Corbel" w:hAnsi="Corbel"/>
          <w:sz w:val="21"/>
        </w:rPr>
        <w:t>Where appropriate, legal assistance service providers should also plan and target their services to people who fall within one or more of the priority client groups (in alphabetical order):</w:t>
      </w:r>
    </w:p>
    <w:p>
      <w:pPr>
        <w:pStyle w:val="Normal"/>
        <w:spacing w:lineRule="exact" w:line="20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8"/>
        </w:numPr>
        <w:tabs>
          <w:tab w:val="clear" w:pos="720"/>
          <w:tab w:val="left" w:pos="1120" w:leader="none"/>
        </w:tabs>
        <w:spacing w:lineRule="atLeast" w:line="0"/>
        <w:ind w:hanging="565" w:left="1120" w:right="0"/>
        <w:rPr>
          <w:rFonts w:ascii="Corbel" w:hAnsi="Corbel" w:eastAsia="Corbel" w:cs="Corbel"/>
          <w:sz w:val="23"/>
        </w:rPr>
      </w:pPr>
      <w:r>
        <w:rPr>
          <w:rFonts w:eastAsia="Corbel" w:cs="Corbel" w:ascii="Corbel" w:hAnsi="Corbel"/>
          <w:sz w:val="23"/>
        </w:rPr>
        <w:t>children and young people (up to 24 years);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8"/>
        </w:numPr>
        <w:tabs>
          <w:tab w:val="clear" w:pos="720"/>
          <w:tab w:val="left" w:pos="1120" w:leader="none"/>
        </w:tabs>
        <w:spacing w:lineRule="atLeast" w:line="0"/>
        <w:ind w:hanging="565" w:left="1120" w:right="0"/>
        <w:rPr>
          <w:rFonts w:ascii="Corbel" w:hAnsi="Corbel" w:eastAsia="Corbel" w:cs="Corbel"/>
          <w:sz w:val="23"/>
        </w:rPr>
      </w:pPr>
      <w:r>
        <w:rPr>
          <w:rFonts w:eastAsia="Corbel" w:cs="Corbel" w:ascii="Corbel" w:hAnsi="Corbel"/>
          <w:sz w:val="23"/>
        </w:rPr>
        <w:t>Indigenous Australians;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8"/>
        </w:numPr>
        <w:tabs>
          <w:tab w:val="clear" w:pos="720"/>
          <w:tab w:val="left" w:pos="1120" w:leader="none"/>
        </w:tabs>
        <w:spacing w:lineRule="atLeast" w:line="0"/>
        <w:ind w:hanging="565" w:left="1120" w:right="0"/>
        <w:rPr>
          <w:rFonts w:ascii="Corbel" w:hAnsi="Corbel" w:eastAsia="Corbel" w:cs="Corbel"/>
          <w:sz w:val="23"/>
        </w:rPr>
      </w:pPr>
      <w:r>
        <w:rPr>
          <w:rFonts w:eastAsia="Corbel" w:cs="Corbel" w:ascii="Corbel" w:hAnsi="Corbel"/>
          <w:sz w:val="23"/>
        </w:rPr>
        <w:t>older people (aged over 65 years);</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0"/>
          <w:numId w:val="38"/>
        </w:numPr>
        <w:tabs>
          <w:tab w:val="clear" w:pos="720"/>
          <w:tab w:val="left" w:pos="1120" w:leader="none"/>
        </w:tabs>
        <w:spacing w:lineRule="atLeast" w:line="0"/>
        <w:ind w:hanging="565" w:left="1120" w:right="0"/>
        <w:rPr>
          <w:rFonts w:ascii="Corbel" w:hAnsi="Corbel" w:eastAsia="Corbel" w:cs="Corbel"/>
          <w:sz w:val="23"/>
        </w:rPr>
      </w:pPr>
      <w:r>
        <w:rPr>
          <w:rFonts w:eastAsia="Corbel" w:cs="Corbel" w:ascii="Corbel" w:hAnsi="Corbel"/>
          <w:sz w:val="23"/>
        </w:rPr>
        <w:t>people experiencing, or at risk of, family violence;</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8"/>
        </w:numPr>
        <w:tabs>
          <w:tab w:val="clear" w:pos="720"/>
          <w:tab w:val="left" w:pos="1120" w:leader="none"/>
        </w:tabs>
        <w:spacing w:lineRule="atLeast" w:line="0"/>
        <w:ind w:hanging="565" w:left="1120" w:right="0"/>
        <w:rPr>
          <w:rFonts w:ascii="Corbel" w:hAnsi="Corbel" w:eastAsia="Corbel" w:cs="Corbel"/>
          <w:sz w:val="23"/>
        </w:rPr>
      </w:pPr>
      <w:r>
        <w:rPr>
          <w:rFonts w:eastAsia="Corbel" w:cs="Corbel" w:ascii="Corbel" w:hAnsi="Corbel"/>
          <w:sz w:val="23"/>
        </w:rPr>
        <w:t>people experiencing, or at risk of, homelessness;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8"/>
        </w:numPr>
        <w:tabs>
          <w:tab w:val="clear" w:pos="720"/>
          <w:tab w:val="left" w:pos="1120" w:leader="none"/>
        </w:tabs>
        <w:spacing w:lineRule="atLeast" w:line="0"/>
        <w:ind w:hanging="565" w:left="1120" w:right="0"/>
        <w:rPr>
          <w:rFonts w:ascii="Corbel" w:hAnsi="Corbel" w:eastAsia="Corbel" w:cs="Corbel"/>
          <w:sz w:val="23"/>
        </w:rPr>
      </w:pPr>
      <w:r>
        <w:rPr>
          <w:rFonts w:eastAsia="Corbel" w:cs="Corbel" w:ascii="Corbel" w:hAnsi="Corbel"/>
          <w:sz w:val="23"/>
        </w:rPr>
        <w:t>people in custody and prisoners;</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0"/>
          <w:numId w:val="38"/>
        </w:numPr>
        <w:tabs>
          <w:tab w:val="clear" w:pos="720"/>
          <w:tab w:val="left" w:pos="1120" w:leader="none"/>
        </w:tabs>
        <w:spacing w:lineRule="atLeast" w:line="0"/>
        <w:ind w:hanging="565" w:left="1120" w:right="0"/>
        <w:rPr>
          <w:rFonts w:ascii="Corbel" w:hAnsi="Corbel" w:eastAsia="Corbel" w:cs="Corbel"/>
          <w:sz w:val="23"/>
        </w:rPr>
      </w:pPr>
      <w:r>
        <w:rPr>
          <w:rFonts w:eastAsia="Corbel" w:cs="Corbel" w:ascii="Corbel" w:hAnsi="Corbel"/>
          <w:sz w:val="23"/>
        </w:rPr>
        <w:t>people residing in rural or remote areas;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8"/>
        </w:numPr>
        <w:tabs>
          <w:tab w:val="clear" w:pos="720"/>
          <w:tab w:val="left" w:pos="1120" w:leader="none"/>
        </w:tabs>
        <w:spacing w:lineRule="atLeast" w:line="0"/>
        <w:ind w:hanging="565" w:left="1120" w:right="0"/>
        <w:rPr>
          <w:rFonts w:ascii="Corbel" w:hAnsi="Corbel" w:eastAsia="Corbel" w:cs="Corbel"/>
          <w:sz w:val="23"/>
        </w:rPr>
      </w:pPr>
      <w:r>
        <w:rPr>
          <w:rFonts w:eastAsia="Corbel" w:cs="Corbel" w:ascii="Corbel" w:hAnsi="Corbel"/>
          <w:sz w:val="23"/>
        </w:rPr>
        <w:t>people who are culturally and linguistically diverse;</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8"/>
        </w:numPr>
        <w:tabs>
          <w:tab w:val="clear" w:pos="720"/>
          <w:tab w:val="left" w:pos="1120" w:leader="none"/>
        </w:tabs>
        <w:spacing w:lineRule="atLeast" w:line="0"/>
        <w:ind w:hanging="565" w:left="1120" w:right="0"/>
        <w:rPr>
          <w:rFonts w:ascii="Corbel" w:hAnsi="Corbel" w:eastAsia="Corbel" w:cs="Corbel"/>
          <w:sz w:val="23"/>
        </w:rPr>
      </w:pPr>
      <w:r>
        <w:rPr>
          <w:rFonts w:eastAsia="Corbel" w:cs="Corbel" w:ascii="Corbel" w:hAnsi="Corbel"/>
          <w:sz w:val="23"/>
        </w:rPr>
        <w:t>people with a disability or mental illness;</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0"/>
          <w:numId w:val="38"/>
        </w:numPr>
        <w:tabs>
          <w:tab w:val="clear" w:pos="720"/>
          <w:tab w:val="left" w:pos="1120" w:leader="none"/>
        </w:tabs>
        <w:spacing w:lineRule="atLeast" w:line="0"/>
        <w:ind w:hanging="565" w:left="1120" w:right="0"/>
        <w:rPr>
          <w:rFonts w:ascii="Corbel" w:hAnsi="Corbel" w:eastAsia="Corbel" w:cs="Corbel"/>
          <w:sz w:val="23"/>
        </w:rPr>
      </w:pPr>
      <w:r>
        <w:rPr>
          <w:rFonts w:eastAsia="Corbel" w:cs="Corbel" w:ascii="Corbel" w:hAnsi="Corbel"/>
          <w:sz w:val="23"/>
        </w:rPr>
        <w:t>people with low education levels; and</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8"/>
        </w:numPr>
        <w:tabs>
          <w:tab w:val="clear" w:pos="720"/>
          <w:tab w:val="left" w:pos="1120" w:leader="none"/>
        </w:tabs>
        <w:spacing w:lineRule="atLeast" w:line="0"/>
        <w:ind w:hanging="565" w:left="1120" w:right="0"/>
        <w:rPr>
          <w:rFonts w:ascii="Corbel" w:hAnsi="Corbel" w:eastAsia="Corbel" w:cs="Corbel"/>
          <w:sz w:val="23"/>
        </w:rPr>
      </w:pPr>
      <w:r>
        <w:rPr>
          <w:rFonts w:eastAsia="Corbel" w:cs="Corbel" w:ascii="Corbel" w:hAnsi="Corbel"/>
          <w:sz w:val="23"/>
        </w:rPr>
        <w:t>single parents.</w:t>
      </w:r>
    </w:p>
    <w:p>
      <w:pPr>
        <w:pStyle w:val="Normal"/>
        <w:spacing w:lineRule="exact" w:line="244"/>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40" w:leader="none"/>
        </w:tabs>
        <w:spacing w:lineRule="auto" w:line="220"/>
        <w:ind w:hanging="579" w:left="560" w:right="160"/>
        <w:rPr/>
      </w:pPr>
      <w:r>
        <w:rPr>
          <w:rFonts w:eastAsia="Corbel" w:cs="Corbel" w:ascii="Corbel" w:hAnsi="Corbel"/>
          <w:sz w:val="23"/>
        </w:rPr>
        <w:t>B4</w:t>
        <w:tab/>
        <w:t>The list of priority client groups is for guidance only and is not exhaustive. Service providers are not excluded from assisting clients that fall outside these groups.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40" w:right="1150" w:gutter="0" w:header="0" w:top="1101" w:footer="0" w:bottom="185"/>
          <w:pgNumType w:fmt="decimal"/>
          <w:formProt w:val="false"/>
          <w:textDirection w:val="lrTb"/>
          <w:docGrid w:type="default" w:linePitch="360" w:charSpace="0"/>
        </w:sectPr>
        <w:pStyle w:val="Normal"/>
        <w:spacing w:lineRule="atLeast" w:line="0"/>
        <w:ind w:left="8880" w:right="0"/>
        <w:rPr>
          <w:rFonts w:ascii="Times New Roman" w:hAnsi="Times New Roman" w:eastAsia="Times New Roman" w:cs="Times New Roman"/>
          <w:color w:val="3C4A67"/>
          <w:sz w:val="17"/>
        </w:rPr>
      </w:pPr>
      <w:r>
        <w:rPr>
          <w:rFonts w:eastAsia="Times New Roman" w:cs="Times New Roman" w:ascii="Times New Roman" w:hAnsi="Times New Roman"/>
          <w:color w:val="3C4A67"/>
          <w:sz w:val="17"/>
        </w:rPr>
        <w:t>Page | B-1</w:t>
      </w:r>
    </w:p>
    <w:p>
      <w:pPr>
        <w:pStyle w:val="Normal"/>
        <w:spacing w:lineRule="atLeast" w:line="0"/>
        <w:ind w:left="20" w:right="0"/>
        <w:rPr>
          <w:rFonts w:ascii="Consolas" w:hAnsi="Consolas" w:eastAsia="Consolas" w:cs="Consolas"/>
          <w:color w:val="3C4A67"/>
          <w:sz w:val="32"/>
        </w:rPr>
      </w:pPr>
      <w:bookmarkStart w:id="18" w:name="page19"/>
      <w:bookmarkEnd w:id="18"/>
      <w:r>
        <w:rPr>
          <w:rFonts w:eastAsia="Consolas" w:cs="Consolas" w:ascii="Consolas" w:hAnsi="Consolas"/>
          <w:color w:val="3C4A67"/>
          <w:sz w:val="32"/>
        </w:rPr>
        <w:t>COMMONWEALTH SERVICE PRIORITIES</w:t>
      </w:r>
    </w:p>
    <w:p>
      <w:pPr>
        <w:pStyle w:val="Normal"/>
        <w:spacing w:lineRule="exact" w:line="195"/>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tabs>
          <w:tab w:val="clear" w:pos="720"/>
          <w:tab w:val="left" w:pos="560" w:leader="none"/>
        </w:tabs>
        <w:spacing w:lineRule="auto" w:line="223"/>
        <w:ind w:hanging="579" w:left="580" w:right="400"/>
        <w:rPr/>
      </w:pPr>
      <w:r>
        <w:rPr>
          <w:rFonts w:eastAsia="Corbel" w:cs="Corbel" w:ascii="Corbel" w:hAnsi="Corbel"/>
          <w:sz w:val="23"/>
        </w:rPr>
        <w:t>B5</w:t>
      </w:r>
      <w:r>
        <w:rPr>
          <w:rFonts w:eastAsia="Times New Roman" w:cs="Times New Roman" w:ascii="Times New Roman" w:hAnsi="Times New Roman"/>
        </w:rPr>
        <w:tab/>
      </w:r>
      <w:r>
        <w:rPr>
          <w:rFonts w:eastAsia="Corbel" w:cs="Corbel" w:ascii="Corbel" w:hAnsi="Corbel"/>
          <w:sz w:val="23"/>
        </w:rPr>
        <w:t>The use of Commonwealth funding provided under this Agreement by legal aid commissions and community legal centres should be broadly consistent with the principles and service priorities set out in this Schedule, where applicable.</w:t>
      </w:r>
    </w:p>
    <w:p>
      <w:pPr>
        <w:pStyle w:val="Normal"/>
        <w:spacing w:lineRule="exact" w:line="23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General principles</w:t>
      </w:r>
    </w:p>
    <w:p>
      <w:pPr>
        <w:pStyle w:val="Normal"/>
        <w:spacing w:lineRule="exact" w:line="123"/>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tabs>
          <w:tab w:val="clear" w:pos="720"/>
          <w:tab w:val="left" w:pos="560" w:leader="none"/>
        </w:tabs>
        <w:spacing w:lineRule="auto" w:line="220"/>
        <w:ind w:hanging="579" w:left="580" w:right="120"/>
        <w:rPr/>
      </w:pPr>
      <w:r>
        <w:rPr>
          <w:rFonts w:eastAsia="Corbel" w:cs="Corbel" w:ascii="Corbel" w:hAnsi="Corbel"/>
          <w:sz w:val="23"/>
        </w:rPr>
        <w:t>B6</w:t>
        <w:tab/>
        <w:t>Commonwealth funding should be directed to the delivery of front-line services and focused on meeting the legal needs of priority clients.</w:t>
      </w:r>
    </w:p>
    <w:p>
      <w:pPr>
        <w:pStyle w:val="Normal"/>
        <w:spacing w:lineRule="exact" w:line="23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uto" w:line="220"/>
        <w:ind w:hanging="579" w:left="580" w:right="180"/>
        <w:rPr/>
      </w:pPr>
      <w:r>
        <w:rPr>
          <w:rFonts w:eastAsia="Corbel" w:cs="Corbel" w:ascii="Corbel" w:hAnsi="Corbel"/>
          <w:sz w:val="23"/>
        </w:rPr>
        <w:t>B7</w:t>
      </w:r>
      <w:r>
        <w:rPr>
          <w:rFonts w:eastAsia="Times New Roman" w:cs="Times New Roman" w:ascii="Times New Roman" w:hAnsi="Times New Roman"/>
        </w:rPr>
        <w:tab/>
      </w:r>
      <w:r>
        <w:rPr>
          <w:rFonts w:eastAsia="Corbel" w:cs="Corbel" w:ascii="Corbel" w:hAnsi="Corbel"/>
          <w:sz w:val="23"/>
        </w:rPr>
        <w:t xml:space="preserve">Commonwealth funding should not be used to lobby governments or to engage in public campaigns. Lobbying does </w:t>
      </w:r>
      <w:r>
        <w:rPr>
          <w:rFonts w:eastAsia="Corbel" w:cs="Corbel" w:ascii="Corbel" w:hAnsi="Corbel"/>
          <w:sz w:val="23"/>
          <w:u w:val="single"/>
        </w:rPr>
        <w:t>not</w:t>
      </w:r>
      <w:r>
        <w:rPr>
          <w:rFonts w:eastAsia="Corbel" w:cs="Corbel" w:ascii="Corbel" w:hAnsi="Corbel"/>
          <w:sz w:val="23"/>
        </w:rPr>
        <w:t xml:space="preserve"> include community legal education or where a legal assistance service provider makes a submission to a government or parliamentary body to provide factual information and/or advice with a focus on systemic issues affecting access to justice.</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uto" w:line="228"/>
        <w:ind w:hanging="579" w:left="580" w:right="220"/>
        <w:rPr/>
      </w:pPr>
      <w:r>
        <w:rPr>
          <w:rFonts w:eastAsia="Corbel" w:cs="Corbel" w:ascii="Corbel" w:hAnsi="Corbel"/>
          <w:sz w:val="23"/>
        </w:rPr>
        <w:t>B8</w:t>
        <w:tab/>
        <w:t>Legal assistance service providers should deliver timely intervention services to resolve clients’ legal problems sooner, or prevent them from arising altogether.</w:t>
      </w:r>
    </w:p>
    <w:p>
      <w:pPr>
        <w:pStyle w:val="Normal"/>
        <w:spacing w:lineRule="exact" w:line="229"/>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uto" w:line="220"/>
        <w:ind w:hanging="579" w:left="580" w:right="180"/>
        <w:rPr/>
      </w:pPr>
      <w:r>
        <w:rPr>
          <w:rFonts w:eastAsia="Corbel" w:cs="Corbel" w:ascii="Corbel" w:hAnsi="Corbel"/>
          <w:sz w:val="23"/>
        </w:rPr>
        <w:t>B9</w:t>
        <w:tab/>
        <w:t>Family or civil law disputes should be resolved through alternative dispute resolution processes rather than through litigation, where appropriate.</w:t>
      </w:r>
    </w:p>
    <w:p>
      <w:pPr>
        <w:pStyle w:val="Normal"/>
        <w:spacing w:lineRule="exact" w:line="23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uto" w:line="249"/>
        <w:ind w:hanging="579" w:left="580" w:right="680"/>
        <w:jc w:val="both"/>
        <w:rPr/>
      </w:pPr>
      <w:r>
        <w:rPr>
          <w:rFonts w:eastAsia="Corbel" w:cs="Corbel" w:ascii="Corbel" w:hAnsi="Corbel"/>
          <w:sz w:val="21"/>
        </w:rPr>
        <w:t>B10</w:t>
        <w:tab/>
        <w:t>Legal assistance service providers should consider whether other services (legal as well as non-legal) may be relevant to a client’s needs and make referrals to these services where appropriate. Suitable collaborative arrangements should be established for this purpose.</w:t>
      </w:r>
    </w:p>
    <w:p>
      <w:pPr>
        <w:pStyle w:val="Normal"/>
        <w:spacing w:lineRule="exact" w:line="20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Family law priorities</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tabs>
          <w:tab w:val="clear" w:pos="720"/>
          <w:tab w:val="left" w:pos="560" w:leader="none"/>
        </w:tabs>
        <w:spacing w:lineRule="atLeast" w:line="0"/>
        <w:ind w:left="20" w:right="0"/>
        <w:rPr/>
      </w:pPr>
      <w:r>
        <w:rPr>
          <w:rFonts w:eastAsia="Corbel" w:cs="Corbel" w:ascii="Corbel" w:hAnsi="Corbel"/>
          <w:sz w:val="23"/>
        </w:rPr>
        <w:t>B11</w:t>
      </w:r>
      <w:r>
        <w:rPr>
          <w:rFonts w:eastAsia="Times New Roman" w:cs="Times New Roman" w:ascii="Times New Roman" w:hAnsi="Times New Roman"/>
        </w:rPr>
        <w:tab/>
      </w:r>
      <w:r>
        <w:rPr>
          <w:rFonts w:eastAsia="Corbel" w:cs="Corbel" w:ascii="Corbel" w:hAnsi="Corbel"/>
          <w:sz w:val="21"/>
        </w:rPr>
        <w:t>Family law services should focus on:</w:t>
      </w:r>
    </w:p>
    <w:p>
      <w:pPr>
        <w:pStyle w:val="Normal"/>
        <w:spacing w:lineRule="exact" w:line="10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9"/>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matters involving allegations of family violence;</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39"/>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matters where the safety or welfare of children are at risk;</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0"/>
          <w:numId w:val="39"/>
        </w:numPr>
        <w:tabs>
          <w:tab w:val="clear" w:pos="720"/>
          <w:tab w:val="left" w:pos="1140" w:leader="none"/>
        </w:tabs>
        <w:spacing w:lineRule="auto" w:line="220"/>
        <w:ind w:hanging="565" w:left="1140" w:right="760"/>
        <w:rPr>
          <w:rFonts w:ascii="Corbel" w:hAnsi="Corbel" w:eastAsia="Corbel" w:cs="Corbel"/>
          <w:sz w:val="23"/>
        </w:rPr>
      </w:pPr>
      <w:r>
        <w:rPr>
          <w:rFonts w:eastAsia="Corbel" w:cs="Corbel" w:ascii="Corbel" w:hAnsi="Corbel"/>
          <w:sz w:val="23"/>
        </w:rPr>
        <w:t>matters involving complex issues about the living arrangements, relationships and financial support of children; and</w:t>
      </w:r>
    </w:p>
    <w:p>
      <w:pPr>
        <w:pStyle w:val="Normal"/>
        <w:spacing w:lineRule="exact" w:line="245"/>
        <w:rPr>
          <w:rFonts w:ascii="Corbel" w:hAnsi="Corbel" w:eastAsia="Corbel" w:cs="Corbel"/>
          <w:sz w:val="23"/>
        </w:rPr>
      </w:pPr>
      <w:r>
        <w:rPr>
          <w:rFonts w:eastAsia="Corbel" w:cs="Corbel" w:ascii="Corbel" w:hAnsi="Corbel"/>
          <w:sz w:val="23"/>
        </w:rPr>
      </w:r>
    </w:p>
    <w:p>
      <w:pPr>
        <w:pStyle w:val="Normal"/>
        <w:numPr>
          <w:ilvl w:val="0"/>
          <w:numId w:val="39"/>
        </w:numPr>
        <w:tabs>
          <w:tab w:val="clear" w:pos="720"/>
          <w:tab w:val="left" w:pos="1141" w:leader="none"/>
        </w:tabs>
        <w:spacing w:lineRule="auto" w:line="220"/>
        <w:ind w:hanging="565" w:left="1140" w:right="700"/>
        <w:rPr>
          <w:rFonts w:ascii="Corbel" w:hAnsi="Corbel" w:eastAsia="Corbel" w:cs="Corbel"/>
          <w:sz w:val="23"/>
        </w:rPr>
      </w:pPr>
      <w:r>
        <w:rPr>
          <w:rFonts w:eastAsia="Corbel" w:cs="Corbel" w:ascii="Corbel" w:hAnsi="Corbel"/>
          <w:sz w:val="23"/>
        </w:rPr>
        <w:t>assisting people with property settlement matters if they are experiencing financial disadvantage or are at risk of homelessness.</w:t>
      </w:r>
    </w:p>
    <w:p>
      <w:pPr>
        <w:pStyle w:val="Normal"/>
        <w:spacing w:lineRule="exact" w:line="23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uto" w:line="228"/>
        <w:ind w:hanging="579" w:left="580" w:right="280"/>
        <w:rPr/>
      </w:pPr>
      <w:r>
        <w:rPr>
          <w:rFonts w:eastAsia="Corbel" w:cs="Corbel" w:ascii="Corbel" w:hAnsi="Corbel"/>
          <w:sz w:val="23"/>
        </w:rPr>
        <w:t>B12</w:t>
        <w:tab/>
        <w:t>For legal aid commissions, the representation of children in family law proceedings and family dispute resolution processes should also be a focus.</w:t>
      </w:r>
    </w:p>
    <w:p>
      <w:pPr>
        <w:pStyle w:val="Normal"/>
        <w:spacing w:lineRule="exact" w:line="2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Civil law priorities</w:t>
      </w:r>
    </w:p>
    <w:p>
      <w:pPr>
        <w:pStyle w:val="Normal"/>
        <w:spacing w:lineRule="exact" w:line="123"/>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tabs>
          <w:tab w:val="clear" w:pos="720"/>
          <w:tab w:val="left" w:pos="560" w:leader="none"/>
        </w:tabs>
        <w:spacing w:lineRule="auto" w:line="220"/>
        <w:ind w:hanging="579" w:left="580" w:right="200"/>
        <w:rPr/>
      </w:pPr>
      <w:r>
        <w:rPr>
          <w:rFonts w:eastAsia="Corbel" w:cs="Corbel" w:ascii="Corbel" w:hAnsi="Corbel"/>
          <w:sz w:val="23"/>
        </w:rPr>
        <w:t>B13</w:t>
        <w:tab/>
        <w:t>Legal assistance service providers should focus on assisting people with civil law problems that are likely to have a significant adverse impact if not resolved. For example, where there are implications for a person’s safety, health and wellbeing, access to government benefits and pensions, or homelessness status.</w:t>
      </w:r>
    </w:p>
    <w:p>
      <w:pPr>
        <w:pStyle w:val="Normal"/>
        <w:spacing w:lineRule="exact" w:line="217"/>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tLeast" w:line="0"/>
        <w:ind w:left="20" w:right="0"/>
        <w:rPr/>
      </w:pPr>
      <w:r>
        <w:rPr>
          <w:rFonts w:eastAsia="Corbel" w:cs="Corbel" w:ascii="Corbel" w:hAnsi="Corbel"/>
          <w:sz w:val="23"/>
        </w:rPr>
        <w:t>B14</w:t>
      </w:r>
      <w:r>
        <w:rPr>
          <w:rFonts w:eastAsia="Times New Roman" w:cs="Times New Roman" w:ascii="Times New Roman" w:hAnsi="Times New Roman"/>
        </w:rPr>
        <w:tab/>
      </w:r>
      <w:r>
        <w:rPr>
          <w:rFonts w:eastAsia="Corbel" w:cs="Corbel" w:ascii="Corbel" w:hAnsi="Corbel"/>
          <w:sz w:val="21"/>
        </w:rPr>
        <w:t>Key Commonwealth civil law areas are listed below (in alphabetical order):</w:t>
      </w:r>
    </w:p>
    <w:p>
      <w:pPr>
        <w:pStyle w:val="Normal"/>
        <w:spacing w:lineRule="exact" w:line="10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0"/>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bankruptcy matters;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40"/>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consumer law matters;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40"/>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employment matters;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20" w:right="1150" w:gutter="0" w:header="0" w:top="1091" w:footer="0" w:bottom="174"/>
          <w:pgNumType w:fmt="decimal"/>
          <w:formProt w:val="false"/>
          <w:textDirection w:val="lrTb"/>
          <w:docGrid w:type="default" w:linePitch="360" w:charSpace="0"/>
        </w:sectPr>
        <w:pStyle w:val="Normal"/>
        <w:spacing w:lineRule="atLeast" w:line="0"/>
        <w:jc w:val="right"/>
        <w:rPr>
          <w:rFonts w:ascii="Times New Roman" w:hAnsi="Times New Roman" w:eastAsia="Times New Roman" w:cs="Times New Roman"/>
          <w:color w:val="3C4A67"/>
          <w:sz w:val="18"/>
        </w:rPr>
      </w:pPr>
      <w:r>
        <w:rPr>
          <w:rFonts w:eastAsia="Times New Roman" w:cs="Times New Roman" w:ascii="Times New Roman" w:hAnsi="Times New Roman"/>
          <w:color w:val="3C4A67"/>
          <w:sz w:val="18"/>
        </w:rPr>
        <w:t>Page | B-2</w:t>
      </w:r>
    </w:p>
    <w:p>
      <w:pPr>
        <w:pStyle w:val="Normal"/>
        <w:numPr>
          <w:ilvl w:val="0"/>
          <w:numId w:val="41"/>
        </w:numPr>
        <w:tabs>
          <w:tab w:val="clear" w:pos="720"/>
          <w:tab w:val="left" w:pos="1140" w:leader="none"/>
        </w:tabs>
        <w:spacing w:lineRule="atLeast" w:line="0"/>
        <w:ind w:hanging="565" w:left="1140" w:right="0"/>
        <w:rPr>
          <w:rFonts w:ascii="Corbel" w:hAnsi="Corbel" w:eastAsia="Corbel" w:cs="Corbel"/>
          <w:sz w:val="23"/>
        </w:rPr>
      </w:pPr>
      <w:bookmarkStart w:id="19" w:name="page20"/>
      <w:bookmarkEnd w:id="19"/>
      <w:r>
        <w:rPr>
          <w:rFonts w:eastAsia="Corbel" w:cs="Corbel" w:ascii="Corbel" w:hAnsi="Corbel"/>
          <w:sz w:val="23"/>
        </w:rPr>
        <w:t>extradition matters;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41"/>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human rights and anti-discrimination matters;</w:t>
      </w:r>
    </w:p>
    <w:p>
      <w:pPr>
        <w:pStyle w:val="Normal"/>
        <w:spacing w:lineRule="exact" w:line="214"/>
        <w:rPr>
          <w:rFonts w:ascii="Corbel" w:hAnsi="Corbel" w:eastAsia="Corbel" w:cs="Corbel"/>
          <w:sz w:val="23"/>
        </w:rPr>
      </w:pPr>
      <w:r>
        <w:rPr>
          <w:rFonts w:eastAsia="Corbel" w:cs="Corbel" w:ascii="Corbel" w:hAnsi="Corbel"/>
          <w:sz w:val="23"/>
        </w:rPr>
      </w:r>
    </w:p>
    <w:p>
      <w:pPr>
        <w:pStyle w:val="Normal"/>
        <w:numPr>
          <w:ilvl w:val="0"/>
          <w:numId w:val="41"/>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insurance law matters;</w:t>
      </w:r>
    </w:p>
    <w:p>
      <w:pPr>
        <w:pStyle w:val="Normal"/>
        <w:spacing w:lineRule="exact" w:line="229"/>
        <w:rPr>
          <w:rFonts w:ascii="Corbel" w:hAnsi="Corbel" w:eastAsia="Corbel" w:cs="Corbel"/>
          <w:sz w:val="23"/>
        </w:rPr>
      </w:pPr>
      <w:r>
        <w:rPr>
          <w:rFonts w:eastAsia="Corbel" w:cs="Corbel" w:ascii="Corbel" w:hAnsi="Corbel"/>
          <w:sz w:val="23"/>
        </w:rPr>
      </w:r>
    </w:p>
    <w:p>
      <w:pPr>
        <w:pStyle w:val="Normal"/>
        <w:numPr>
          <w:ilvl w:val="0"/>
          <w:numId w:val="41"/>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migration matters; and</w:t>
      </w:r>
    </w:p>
    <w:p>
      <w:pPr>
        <w:pStyle w:val="Normal"/>
        <w:spacing w:lineRule="exact" w:line="243"/>
        <w:rPr>
          <w:rFonts w:ascii="Corbel" w:hAnsi="Corbel" w:eastAsia="Corbel" w:cs="Corbel"/>
          <w:sz w:val="23"/>
        </w:rPr>
      </w:pPr>
      <w:r>
        <w:rPr>
          <w:rFonts w:eastAsia="Corbel" w:cs="Corbel" w:ascii="Corbel" w:hAnsi="Corbel"/>
          <w:sz w:val="23"/>
        </w:rPr>
      </w:r>
    </w:p>
    <w:p>
      <w:pPr>
        <w:pStyle w:val="Normal"/>
        <w:numPr>
          <w:ilvl w:val="0"/>
          <w:numId w:val="41"/>
        </w:numPr>
        <w:tabs>
          <w:tab w:val="clear" w:pos="720"/>
          <w:tab w:val="left" w:pos="1141" w:leader="none"/>
        </w:tabs>
        <w:spacing w:lineRule="auto" w:line="220"/>
        <w:ind w:hanging="565" w:left="1140" w:right="780"/>
        <w:rPr>
          <w:rFonts w:ascii="Corbel" w:hAnsi="Corbel" w:eastAsia="Corbel" w:cs="Corbel"/>
          <w:sz w:val="23"/>
        </w:rPr>
      </w:pPr>
      <w:r>
        <w:rPr>
          <w:rFonts w:eastAsia="Corbel" w:cs="Corbel" w:ascii="Corbel" w:hAnsi="Corbel"/>
          <w:sz w:val="23"/>
        </w:rPr>
        <w:t>social security law matters (including matters relating to military entitlements and military compensation claims).</w:t>
      </w:r>
    </w:p>
    <w:p>
      <w:pPr>
        <w:pStyle w:val="Normal"/>
        <w:spacing w:lineRule="exact" w:line="23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uto" w:line="220"/>
        <w:ind w:hanging="579" w:left="580" w:right="100"/>
        <w:rPr/>
      </w:pPr>
      <w:r>
        <w:rPr>
          <w:rFonts w:eastAsia="Corbel" w:cs="Corbel" w:ascii="Corbel" w:hAnsi="Corbel"/>
          <w:sz w:val="23"/>
        </w:rPr>
        <w:t>B15</w:t>
        <w:tab/>
        <w:t>The list of Commonwealth civil law areas is for guidance only. Legal assistance service providers should consider how to best meet civil law need collectively (arising from Commonwealth or State laws), within available resources.</w:t>
      </w:r>
    </w:p>
    <w:p>
      <w:pPr>
        <w:pStyle w:val="Normal"/>
        <w:spacing w:lineRule="exact" w:line="244"/>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uto" w:line="259"/>
        <w:ind w:hanging="579" w:left="580" w:right="180"/>
        <w:rPr/>
      </w:pPr>
      <w:r>
        <w:rPr>
          <w:rFonts w:eastAsia="Corbel" w:cs="Corbel" w:ascii="Corbel" w:hAnsi="Corbel"/>
          <w:sz w:val="21"/>
        </w:rPr>
        <w:t>B16</w:t>
        <w:tab/>
        <w:t>Legal assistance service providers should respond collectively to emerging civil law issues identified through service planning, such as providing legal help for victims of natural disasters.</w:t>
      </w:r>
    </w:p>
    <w:p>
      <w:pPr>
        <w:pStyle w:val="Normal"/>
        <w:spacing w:lineRule="exact" w:line="19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20" w:right="0"/>
        <w:rPr>
          <w:rFonts w:ascii="Corbel" w:hAnsi="Corbel" w:eastAsia="Corbel" w:cs="Corbel"/>
          <w:b/>
          <w:color w:val="3C4A67"/>
          <w:sz w:val="29"/>
        </w:rPr>
      </w:pPr>
      <w:r>
        <w:rPr>
          <w:rFonts w:eastAsia="Corbel" w:cs="Corbel" w:ascii="Corbel" w:hAnsi="Corbel"/>
          <w:b/>
          <w:color w:val="3C4A67"/>
          <w:sz w:val="29"/>
        </w:rPr>
        <w:t>Commonwealth criminal law priorities</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tabs>
          <w:tab w:val="clear" w:pos="720"/>
          <w:tab w:val="left" w:pos="560" w:leader="none"/>
        </w:tabs>
        <w:spacing w:lineRule="atLeast" w:line="0"/>
        <w:ind w:left="20" w:right="0"/>
        <w:rPr/>
      </w:pPr>
      <w:r>
        <w:rPr>
          <w:rFonts w:eastAsia="Corbel" w:cs="Corbel" w:ascii="Corbel" w:hAnsi="Corbel"/>
          <w:sz w:val="23"/>
        </w:rPr>
        <w:t>B17</w:t>
      </w:r>
      <w:r>
        <w:rPr>
          <w:rFonts w:eastAsia="Times New Roman" w:cs="Times New Roman" w:ascii="Times New Roman" w:hAnsi="Times New Roman"/>
        </w:rPr>
        <w:tab/>
      </w:r>
      <w:r>
        <w:rPr>
          <w:rFonts w:eastAsia="Corbel" w:cs="Corbel" w:ascii="Corbel" w:hAnsi="Corbel"/>
          <w:sz w:val="21"/>
        </w:rPr>
        <w:t>Commonwealth criminal law services should focus on:</w:t>
      </w:r>
    </w:p>
    <w:p>
      <w:pPr>
        <w:pStyle w:val="Normal"/>
        <w:spacing w:lineRule="exact" w:line="10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2"/>
        </w:numPr>
        <w:tabs>
          <w:tab w:val="clear" w:pos="720"/>
          <w:tab w:val="left" w:pos="1140" w:leader="none"/>
        </w:tabs>
        <w:spacing w:lineRule="atLeast" w:line="0"/>
        <w:ind w:hanging="565" w:left="1140" w:right="0"/>
        <w:rPr>
          <w:rFonts w:ascii="Corbel" w:hAnsi="Corbel" w:eastAsia="Corbel" w:cs="Corbel"/>
          <w:sz w:val="23"/>
        </w:rPr>
      </w:pPr>
      <w:r>
        <w:rPr>
          <w:rFonts w:eastAsia="Corbel" w:cs="Corbel" w:ascii="Corbel" w:hAnsi="Corbel"/>
          <w:sz w:val="23"/>
        </w:rPr>
        <w:t>matters where the defendant is a child;</w:t>
      </w:r>
    </w:p>
    <w:p>
      <w:pPr>
        <w:pStyle w:val="Normal"/>
        <w:spacing w:lineRule="exact" w:line="228"/>
        <w:rPr>
          <w:rFonts w:ascii="Corbel" w:hAnsi="Corbel" w:eastAsia="Corbel" w:cs="Corbel"/>
          <w:sz w:val="23"/>
        </w:rPr>
      </w:pPr>
      <w:r>
        <w:rPr>
          <w:rFonts w:eastAsia="Corbel" w:cs="Corbel" w:ascii="Corbel" w:hAnsi="Corbel"/>
          <w:sz w:val="23"/>
        </w:rPr>
      </w:r>
    </w:p>
    <w:p>
      <w:pPr>
        <w:pStyle w:val="Normal"/>
        <w:numPr>
          <w:ilvl w:val="0"/>
          <w:numId w:val="42"/>
        </w:numPr>
        <w:tabs>
          <w:tab w:val="clear" w:pos="720"/>
          <w:tab w:val="left" w:pos="1140" w:leader="none"/>
        </w:tabs>
        <w:spacing w:lineRule="auto" w:line="259"/>
        <w:ind w:hanging="565" w:left="1140" w:right="480"/>
        <w:rPr>
          <w:rFonts w:ascii="Corbel" w:hAnsi="Corbel" w:eastAsia="Corbel" w:cs="Corbel"/>
          <w:sz w:val="21"/>
        </w:rPr>
      </w:pPr>
      <w:r>
        <w:rPr>
          <w:rFonts w:eastAsia="Corbel" w:cs="Corbel" w:ascii="Corbel" w:hAnsi="Corbel"/>
          <w:sz w:val="21"/>
        </w:rPr>
        <w:t>matters where the defendant is being charged with a criminal offence for which a sentence of imprisonment is likely to apply should the defendant be found guilty; and</w:t>
      </w:r>
    </w:p>
    <w:p>
      <w:pPr>
        <w:pStyle w:val="Normal"/>
        <w:spacing w:lineRule="exact" w:line="177"/>
        <w:rPr>
          <w:rFonts w:ascii="Corbel" w:hAnsi="Corbel" w:eastAsia="Corbel" w:cs="Corbel"/>
          <w:sz w:val="21"/>
        </w:rPr>
      </w:pPr>
      <w:r>
        <w:rPr>
          <w:rFonts w:eastAsia="Corbel" w:cs="Corbel" w:ascii="Corbel" w:hAnsi="Corbel"/>
          <w:sz w:val="21"/>
        </w:rPr>
      </w:r>
    </w:p>
    <w:p>
      <w:pPr>
        <w:pStyle w:val="Normal"/>
        <w:numPr>
          <w:ilvl w:val="0"/>
          <w:numId w:val="42"/>
        </w:numPr>
        <w:tabs>
          <w:tab w:val="clear" w:pos="720"/>
          <w:tab w:val="left" w:pos="1140" w:leader="none"/>
        </w:tabs>
        <w:spacing w:lineRule="atLeast" w:line="0"/>
        <w:ind w:hanging="566" w:left="1140" w:right="0"/>
        <w:rPr>
          <w:rFonts w:ascii="Corbel" w:hAnsi="Corbel" w:eastAsia="Corbel" w:cs="Corbel"/>
          <w:sz w:val="23"/>
        </w:rPr>
      </w:pPr>
      <w:r>
        <w:rPr>
          <w:rFonts w:eastAsia="Corbel" w:cs="Corbel" w:ascii="Corbel" w:hAnsi="Corbel"/>
          <w:sz w:val="23"/>
        </w:rPr>
        <w:t>assisting persons being detained in custody.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0" w:right="0"/>
        <w:rPr>
          <w:rFonts w:ascii="Consolas" w:hAnsi="Consolas" w:eastAsia="Consolas" w:cs="Consolas"/>
          <w:color w:val="3C4A67"/>
          <w:sz w:val="32"/>
        </w:rPr>
      </w:pPr>
      <w:r>
        <w:rPr>
          <w:rFonts w:eastAsia="Consolas" w:cs="Consolas" w:ascii="Consolas" w:hAnsi="Consolas"/>
          <w:color w:val="3C4A67"/>
          <w:sz w:val="32"/>
        </w:rPr>
        <w:t>COMMONWEALTH ELIGIBILITY PRINCIPLES</w:t>
      </w:r>
    </w:p>
    <w:p>
      <w:pPr>
        <w:pStyle w:val="Normal"/>
        <w:spacing w:lineRule="exact" w:line="210"/>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tabs>
          <w:tab w:val="clear" w:pos="720"/>
          <w:tab w:val="left" w:pos="560" w:leader="none"/>
        </w:tabs>
        <w:spacing w:lineRule="auto" w:line="220"/>
        <w:ind w:hanging="579" w:left="580" w:right="480"/>
        <w:rPr/>
      </w:pPr>
      <w:r>
        <w:rPr>
          <w:rFonts w:eastAsia="Corbel" w:cs="Corbel" w:ascii="Corbel" w:hAnsi="Corbel"/>
          <w:sz w:val="23"/>
        </w:rPr>
        <w:t>B18</w:t>
        <w:tab/>
        <w:t>This section sets out the Commonwealth’s directions for assessing the financial eligibility of applicants for Commonwealth-funded representation services.</w:t>
      </w:r>
    </w:p>
    <w:p>
      <w:pPr>
        <w:pStyle w:val="Normal"/>
        <w:spacing w:lineRule="exact" w:line="231"/>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uto" w:line="223"/>
        <w:ind w:hanging="579" w:left="580" w:right="520"/>
        <w:rPr/>
      </w:pPr>
      <w:r>
        <w:rPr>
          <w:rFonts w:eastAsia="Corbel" w:cs="Corbel" w:ascii="Corbel" w:hAnsi="Corbel"/>
          <w:sz w:val="23"/>
        </w:rPr>
        <w:t>B19</w:t>
        <w:tab/>
        <w:t>Legal assistance service providers should consider the financial status of prospective clients when providing representation services to ensure that intensive services are provided to financially disadvantaged clients.</w:t>
      </w:r>
    </w:p>
    <w:p>
      <w:pPr>
        <w:pStyle w:val="Normal"/>
        <w:spacing w:lineRule="exact" w:line="245"/>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uto" w:line="220"/>
        <w:ind w:hanging="579" w:left="580" w:right="680"/>
        <w:rPr/>
      </w:pPr>
      <w:r>
        <w:rPr>
          <w:rFonts w:eastAsia="Corbel" w:cs="Corbel" w:ascii="Corbel" w:hAnsi="Corbel"/>
          <w:sz w:val="23"/>
        </w:rPr>
        <w:t>B20</w:t>
        <w:tab/>
        <w:t>Legal assistance service providers may seek client contributions to improve their financial sustainability and to fund additional front-line services.</w:t>
      </w:r>
    </w:p>
    <w:p>
      <w:pPr>
        <w:pStyle w:val="Normal"/>
        <w:spacing w:lineRule="exact" w:line="220"/>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tLeast" w:line="0"/>
        <w:rPr/>
      </w:pPr>
      <w:r>
        <w:rPr>
          <w:rFonts w:eastAsia="Corbel" w:cs="Corbel" w:ascii="Corbel" w:hAnsi="Corbel"/>
          <w:sz w:val="23"/>
        </w:rPr>
        <w:t>B21</w:t>
      </w:r>
      <w:r>
        <w:rPr>
          <w:rFonts w:eastAsia="Times New Roman" w:cs="Times New Roman" w:ascii="Times New Roman" w:hAnsi="Times New Roman"/>
        </w:rPr>
        <w:tab/>
      </w:r>
      <w:r>
        <w:rPr>
          <w:rFonts w:eastAsia="Corbel" w:cs="Corbel" w:ascii="Corbel" w:hAnsi="Corbel"/>
          <w:sz w:val="21"/>
        </w:rPr>
        <w:t>Applicants should be exempt from legal aid commission means tests when seeking the merits</w:t>
      </w:r>
    </w:p>
    <w:p>
      <w:pPr>
        <w:pStyle w:val="Normal"/>
        <w:spacing w:lineRule="auto" w:line="220"/>
        <w:ind w:firstLine="1" w:left="580" w:right="880"/>
        <w:rPr>
          <w:rFonts w:ascii="Corbel" w:hAnsi="Corbel" w:eastAsia="Corbel" w:cs="Corbel"/>
          <w:sz w:val="23"/>
        </w:rPr>
      </w:pPr>
      <w:r>
        <w:rPr>
          <w:rFonts w:eastAsia="Corbel" w:cs="Corbel" w:ascii="Corbel" w:hAnsi="Corbel"/>
          <w:sz w:val="23"/>
        </w:rPr>
        <w:t>review of decisions about eligibility for Commonwealth military entitlements or military compensation payments.</w:t>
      </w:r>
    </w:p>
    <w:p>
      <w:pPr>
        <w:pStyle w:val="Normal"/>
        <w:spacing w:lineRule="exact" w:line="246"/>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60" w:leader="none"/>
        </w:tabs>
        <w:spacing w:lineRule="auto" w:line="220"/>
        <w:ind w:hanging="579" w:left="580" w:right="220"/>
        <w:jc w:val="both"/>
        <w:rPr/>
      </w:pPr>
      <w:r>
        <w:rPr>
          <w:rFonts w:eastAsia="Corbel" w:cs="Corbel" w:ascii="Corbel" w:hAnsi="Corbel"/>
          <w:sz w:val="23"/>
        </w:rPr>
        <w:t>B22</w:t>
        <w:tab/>
        <w:t xml:space="preserve">In assessing an applicant’s eligibility, legal aid commissions should disregard any of a person’s property that is subject to a restraining order or confiscation order under the </w:t>
      </w:r>
      <w:r>
        <w:rPr>
          <w:rFonts w:eastAsia="Corbel" w:cs="Corbel" w:ascii="Corbel" w:hAnsi="Corbel"/>
          <w:i/>
          <w:sz w:val="23"/>
        </w:rPr>
        <w:t>Proceeds of Crime Act 2002</w:t>
      </w:r>
      <w:r>
        <w:rPr>
          <w:rFonts w:eastAsia="Corbel" w:cs="Corbel" w:ascii="Corbel" w:hAnsi="Corbel"/>
          <w:sz w:val="23"/>
        </w:rPr>
        <w:t xml:space="preserve"> (Cth) or is likely to be covered by such an order.</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20" w:right="1150" w:gutter="0" w:header="0" w:top="1091" w:footer="0" w:bottom="174"/>
          <w:pgNumType w:fmt="decimal"/>
          <w:formProt w:val="false"/>
          <w:textDirection w:val="lrTb"/>
          <w:docGrid w:type="default" w:linePitch="360" w:charSpace="0"/>
        </w:sectPr>
        <w:pStyle w:val="Normal"/>
        <w:spacing w:lineRule="atLeast" w:line="0"/>
        <w:jc w:val="right"/>
        <w:rPr>
          <w:rFonts w:ascii="Times New Roman" w:hAnsi="Times New Roman" w:eastAsia="Times New Roman" w:cs="Times New Roman"/>
          <w:color w:val="3C4A67"/>
          <w:sz w:val="18"/>
        </w:rPr>
      </w:pPr>
      <w:r>
        <w:rPr>
          <w:rFonts w:eastAsia="Times New Roman" w:cs="Times New Roman" w:ascii="Times New Roman" w:hAnsi="Times New Roman"/>
          <w:color w:val="3C4A67"/>
          <w:sz w:val="18"/>
        </w:rPr>
        <w:t>Page | B-3</w:t>
      </w:r>
    </w:p>
    <w:p>
      <w:pPr>
        <w:pStyle w:val="Normal"/>
        <w:spacing w:lineRule="atLeast" w:line="0"/>
        <w:rPr>
          <w:rFonts w:ascii="Corbel" w:hAnsi="Corbel" w:eastAsia="Corbel" w:cs="Corbel"/>
          <w:b/>
          <w:color w:val="3C4A67"/>
          <w:sz w:val="29"/>
        </w:rPr>
      </w:pPr>
      <w:bookmarkStart w:id="20" w:name="page21"/>
      <w:bookmarkEnd w:id="20"/>
      <w:r>
        <w:rPr>
          <w:rFonts w:eastAsia="Corbel" w:cs="Corbel" w:ascii="Corbel" w:hAnsi="Corbel"/>
          <w:b/>
          <w:color w:val="3C4A67"/>
          <w:sz w:val="29"/>
        </w:rPr>
        <w:t>Legal aid commission means tests</w:t>
      </w:r>
    </w:p>
    <w:p>
      <w:pPr>
        <w:pStyle w:val="Normal"/>
        <w:spacing w:lineRule="exact" w:line="108"/>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tabs>
          <w:tab w:val="clear" w:pos="720"/>
          <w:tab w:val="left" w:pos="540" w:leader="none"/>
        </w:tabs>
        <w:spacing w:lineRule="atLeast" w:line="0"/>
        <w:rPr/>
      </w:pPr>
      <w:r>
        <w:rPr>
          <w:rFonts w:eastAsia="Corbel" w:cs="Corbel" w:ascii="Corbel" w:hAnsi="Corbel"/>
          <w:sz w:val="23"/>
        </w:rPr>
        <w:t>B23</w:t>
      </w:r>
      <w:r>
        <w:rPr>
          <w:rFonts w:eastAsia="Times New Roman" w:cs="Times New Roman" w:ascii="Times New Roman" w:hAnsi="Times New Roman"/>
        </w:rPr>
        <w:tab/>
      </w:r>
      <w:r>
        <w:rPr>
          <w:rFonts w:eastAsia="Corbel" w:cs="Corbel" w:ascii="Corbel" w:hAnsi="Corbel"/>
          <w:sz w:val="21"/>
        </w:rPr>
        <w:t>Legal aid commissions apply a means test to determine the financial eligibility of applicants.</w:t>
      </w:r>
    </w:p>
    <w:p>
      <w:pPr>
        <w:pStyle w:val="Normal"/>
        <w:spacing w:lineRule="exact" w:line="4"/>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left="560" w:right="0"/>
        <w:rPr>
          <w:rFonts w:ascii="Corbel" w:hAnsi="Corbel" w:eastAsia="Corbel" w:cs="Corbel"/>
          <w:sz w:val="23"/>
        </w:rPr>
      </w:pPr>
      <w:r>
        <w:rPr>
          <w:rFonts w:eastAsia="Corbel" w:cs="Corbel" w:ascii="Corbel" w:hAnsi="Corbel"/>
          <w:sz w:val="23"/>
        </w:rPr>
        <w:t>The key features of this means test are set out below.</w:t>
      </w:r>
    </w:p>
    <w:p>
      <w:pPr>
        <w:pStyle w:val="Normal"/>
        <w:spacing w:lineRule="exact" w:line="19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Corbel" w:hAnsi="Corbel" w:eastAsia="Corbel" w:cs="Corbel"/>
          <w:b/>
          <w:color w:val="3C4A67"/>
          <w:sz w:val="23"/>
        </w:rPr>
      </w:pPr>
      <w:r>
        <w:rPr>
          <w:rFonts w:eastAsia="Corbel" w:cs="Corbel" w:ascii="Corbel" w:hAnsi="Corbel"/>
          <w:b/>
          <w:color w:val="3C4A67"/>
          <w:sz w:val="23"/>
        </w:rPr>
        <w:t>Income test</w:t>
      </w:r>
    </w:p>
    <w:p>
      <w:pPr>
        <w:pStyle w:val="Normal"/>
        <w:spacing w:lineRule="exact" w:line="139"/>
        <w:rPr>
          <w:rFonts w:ascii="Times New Roman" w:hAnsi="Times New Roman" w:eastAsia="Times New Roman" w:cs="Times New Roman"/>
          <w:b/>
          <w:color w:val="3C4A67"/>
          <w:sz w:val="23"/>
        </w:rPr>
      </w:pPr>
      <w:r>
        <w:rPr>
          <w:rFonts w:eastAsia="Times New Roman" w:cs="Times New Roman" w:ascii="Times New Roman" w:hAnsi="Times New Roman"/>
          <w:b/>
          <w:color w:val="3C4A67"/>
          <w:sz w:val="23"/>
        </w:rPr>
      </w:r>
    </w:p>
    <w:p>
      <w:pPr>
        <w:pStyle w:val="Normal"/>
        <w:tabs>
          <w:tab w:val="clear" w:pos="720"/>
          <w:tab w:val="left" w:pos="540" w:leader="none"/>
        </w:tabs>
        <w:spacing w:lineRule="auto" w:line="228"/>
        <w:ind w:hanging="579" w:left="560" w:right="120"/>
        <w:rPr/>
      </w:pPr>
      <w:r>
        <w:rPr>
          <w:rFonts w:eastAsia="Corbel" w:cs="Corbel" w:ascii="Corbel" w:hAnsi="Corbel"/>
          <w:sz w:val="23"/>
        </w:rPr>
        <w:t>B24</w:t>
        <w:tab/>
        <w:t>The income test will generally be satisfied where an applicant is in receipt of Centrelink benefits as their main source of income.</w:t>
      </w:r>
    </w:p>
    <w:p>
      <w:pPr>
        <w:pStyle w:val="Normal"/>
        <w:spacing w:lineRule="exact" w:line="214"/>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40" w:leader="none"/>
        </w:tabs>
        <w:spacing w:lineRule="auto" w:line="220"/>
        <w:ind w:hanging="579" w:left="560" w:right="320"/>
        <w:rPr/>
      </w:pPr>
      <w:r>
        <w:rPr>
          <w:rFonts w:eastAsia="Corbel" w:cs="Corbel" w:ascii="Corbel" w:hAnsi="Corbel"/>
          <w:sz w:val="23"/>
        </w:rPr>
        <w:t>B25</w:t>
        <w:tab/>
        <w:t>The test may also be satisfied if the applicant’s income is below an eligibility threshold after deductions are made for income tax, housing costs and support provided to dependents. The Commonwealth’s preference is for income thresholds to be referrable to an established measure of disadvantage, such as the Henderson Poverty Line.</w:t>
      </w:r>
    </w:p>
    <w:p>
      <w:pPr>
        <w:pStyle w:val="Normal"/>
        <w:spacing w:lineRule="exact" w:line="217"/>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40" w:leader="none"/>
        </w:tabs>
        <w:spacing w:lineRule="atLeast" w:line="0"/>
        <w:rPr/>
      </w:pPr>
      <w:r>
        <w:rPr>
          <w:rFonts w:eastAsia="Corbel" w:cs="Corbel" w:ascii="Corbel" w:hAnsi="Corbel"/>
          <w:sz w:val="23"/>
        </w:rPr>
        <w:t>B26</w:t>
      </w:r>
      <w:r>
        <w:rPr>
          <w:rFonts w:eastAsia="Times New Roman" w:cs="Times New Roman" w:ascii="Times New Roman" w:hAnsi="Times New Roman"/>
        </w:rPr>
        <w:tab/>
      </w:r>
      <w:r>
        <w:rPr>
          <w:rFonts w:eastAsia="Corbel" w:cs="Corbel" w:ascii="Corbel" w:hAnsi="Corbel"/>
          <w:sz w:val="21"/>
        </w:rPr>
        <w:t>It is at the discretion of legal aid commissions to set thresholds for financial eligibility.</w:t>
      </w:r>
    </w:p>
    <w:p>
      <w:pPr>
        <w:pStyle w:val="Normal"/>
        <w:spacing w:lineRule="exact" w:line="22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Corbel" w:hAnsi="Corbel" w:eastAsia="Corbel" w:cs="Corbel"/>
          <w:b/>
          <w:color w:val="3C4A67"/>
          <w:sz w:val="23"/>
        </w:rPr>
      </w:pPr>
      <w:r>
        <w:rPr>
          <w:rFonts w:eastAsia="Corbel" w:cs="Corbel" w:ascii="Corbel" w:hAnsi="Corbel"/>
          <w:b/>
          <w:color w:val="3C4A67"/>
          <w:sz w:val="23"/>
        </w:rPr>
        <w:t>Assets test</w:t>
      </w:r>
    </w:p>
    <w:p>
      <w:pPr>
        <w:pStyle w:val="Normal"/>
        <w:spacing w:lineRule="exact" w:line="139"/>
        <w:rPr>
          <w:rFonts w:ascii="Times New Roman" w:hAnsi="Times New Roman" w:eastAsia="Times New Roman" w:cs="Times New Roman"/>
          <w:b/>
          <w:color w:val="3C4A67"/>
          <w:sz w:val="23"/>
        </w:rPr>
      </w:pPr>
      <w:r>
        <w:rPr>
          <w:rFonts w:eastAsia="Times New Roman" w:cs="Times New Roman" w:ascii="Times New Roman" w:hAnsi="Times New Roman"/>
          <w:b/>
          <w:color w:val="3C4A67"/>
          <w:sz w:val="23"/>
        </w:rPr>
      </w:r>
    </w:p>
    <w:p>
      <w:pPr>
        <w:pStyle w:val="Normal"/>
        <w:tabs>
          <w:tab w:val="clear" w:pos="720"/>
          <w:tab w:val="left" w:pos="540" w:leader="none"/>
        </w:tabs>
        <w:spacing w:lineRule="auto" w:line="218"/>
        <w:ind w:hanging="579" w:left="560" w:right="380"/>
        <w:rPr/>
      </w:pPr>
      <w:r>
        <w:rPr>
          <w:rFonts w:eastAsia="Corbel" w:cs="Corbel" w:ascii="Corbel" w:hAnsi="Corbel"/>
          <w:sz w:val="23"/>
        </w:rPr>
        <w:t>B27</w:t>
        <w:tab/>
        <w:t>The assets test will generally be satisfied if the total value of an applicant’s assets is below an eligibility threshold. Exemptions are made for allowable assets, which include an amount of equity in the applicant’s principal place of residence, a motor vehicle, tools of the trade and household goods.</w:t>
      </w:r>
    </w:p>
    <w:p>
      <w:pPr>
        <w:pStyle w:val="Normal"/>
        <w:spacing w:lineRule="exact" w:line="245"/>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40" w:leader="none"/>
        </w:tabs>
        <w:spacing w:lineRule="auto" w:line="228"/>
        <w:ind w:hanging="579" w:left="560" w:right="120"/>
        <w:rPr/>
      </w:pPr>
      <w:r>
        <w:rPr>
          <w:rFonts w:eastAsia="Corbel" w:cs="Corbel" w:ascii="Corbel" w:hAnsi="Corbel"/>
          <w:sz w:val="23"/>
        </w:rPr>
        <w:t>B28</w:t>
        <w:tab/>
        <w:t>It is at the discretion of legal aid commissions to set the eligibility threshold and exemptions for allowable assets.</w:t>
      </w:r>
    </w:p>
    <w:p>
      <w:pPr>
        <w:pStyle w:val="Normal"/>
        <w:spacing w:lineRule="exact" w:line="21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Corbel" w:hAnsi="Corbel" w:eastAsia="Corbel" w:cs="Corbel"/>
          <w:b/>
          <w:color w:val="3C4A67"/>
          <w:sz w:val="23"/>
        </w:rPr>
      </w:pPr>
      <w:r>
        <w:rPr>
          <w:rFonts w:eastAsia="Corbel" w:cs="Corbel" w:ascii="Corbel" w:hAnsi="Corbel"/>
          <w:b/>
          <w:color w:val="3C4A67"/>
          <w:sz w:val="23"/>
        </w:rPr>
        <w:t>Client contributions</w:t>
      </w:r>
    </w:p>
    <w:p>
      <w:pPr>
        <w:pStyle w:val="Normal"/>
        <w:spacing w:lineRule="exact" w:line="124"/>
        <w:rPr>
          <w:rFonts w:ascii="Times New Roman" w:hAnsi="Times New Roman" w:eastAsia="Times New Roman" w:cs="Times New Roman"/>
          <w:b/>
          <w:color w:val="3C4A67"/>
          <w:sz w:val="23"/>
        </w:rPr>
      </w:pPr>
      <w:r>
        <w:rPr>
          <w:rFonts w:eastAsia="Times New Roman" w:cs="Times New Roman" w:ascii="Times New Roman" w:hAnsi="Times New Roman"/>
          <w:b/>
          <w:color w:val="3C4A67"/>
          <w:sz w:val="23"/>
        </w:rPr>
      </w:r>
    </w:p>
    <w:p>
      <w:pPr>
        <w:pStyle w:val="Normal"/>
        <w:spacing w:lineRule="auto" w:line="223"/>
        <w:ind w:hanging="567" w:left="560" w:right="0"/>
        <w:jc w:val="both"/>
        <w:rPr/>
      </w:pPr>
      <w:r>
        <w:rPr>
          <w:rFonts w:eastAsia="Corbel" w:cs="Corbel" w:ascii="Corbel" w:hAnsi="Corbel"/>
          <w:sz w:val="23"/>
        </w:rPr>
        <w:t>B29 Where an applicant’s income or assets are above the eligibility threshold, legal aid may still be granted with contributions from the applicant based on their financial capacity and/or the estimated cost of the legal matter.</w:t>
      </w:r>
    </w:p>
    <w:p>
      <w:pPr>
        <w:pStyle w:val="Normal"/>
        <w:spacing w:lineRule="exact" w:line="23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Corbel" w:hAnsi="Corbel" w:eastAsia="Corbel" w:cs="Corbel"/>
          <w:b/>
          <w:color w:val="3C4A67"/>
          <w:sz w:val="23"/>
        </w:rPr>
      </w:pPr>
      <w:r>
        <w:rPr>
          <w:rFonts w:eastAsia="Corbel" w:cs="Corbel" w:ascii="Corbel" w:hAnsi="Corbel"/>
          <w:b/>
          <w:color w:val="3C4A67"/>
          <w:sz w:val="23"/>
        </w:rPr>
        <w:t>General discretion</w:t>
      </w:r>
    </w:p>
    <w:p>
      <w:pPr>
        <w:pStyle w:val="Normal"/>
        <w:spacing w:lineRule="exact" w:line="124"/>
        <w:rPr>
          <w:rFonts w:ascii="Times New Roman" w:hAnsi="Times New Roman" w:eastAsia="Times New Roman" w:cs="Times New Roman"/>
          <w:b/>
          <w:color w:val="3C4A67"/>
          <w:sz w:val="23"/>
        </w:rPr>
      </w:pPr>
      <w:r>
        <w:rPr>
          <w:rFonts w:eastAsia="Times New Roman" w:cs="Times New Roman" w:ascii="Times New Roman" w:hAnsi="Times New Roman"/>
          <w:b/>
          <w:color w:val="3C4A67"/>
          <w:sz w:val="23"/>
        </w:rPr>
      </w:r>
    </w:p>
    <w:p>
      <w:pPr>
        <w:pStyle w:val="Normal"/>
        <w:tabs>
          <w:tab w:val="clear" w:pos="720"/>
          <w:tab w:val="left" w:pos="540" w:leader="none"/>
        </w:tabs>
        <w:spacing w:lineRule="auto" w:line="228"/>
        <w:ind w:hanging="579" w:left="560" w:right="20"/>
        <w:jc w:val="both"/>
        <w:rPr/>
      </w:pPr>
      <w:r>
        <w:rPr>
          <w:rFonts w:eastAsia="Corbel" w:cs="Corbel" w:ascii="Corbel" w:hAnsi="Corbel"/>
          <w:sz w:val="23"/>
        </w:rPr>
        <w:t>B30</w:t>
        <w:tab/>
        <w:t>Legal aid commissions may exercise discretion in special circumstances to grant legal aid to a person who does not satisfied its means test.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140" w:right="1150" w:gutter="0" w:header="0" w:top="1063" w:footer="0" w:bottom="185"/>
          <w:pgNumType w:fmt="decimal"/>
          <w:formProt w:val="false"/>
          <w:textDirection w:val="lrTb"/>
          <w:docGrid w:type="default" w:linePitch="360" w:charSpace="0"/>
        </w:sectPr>
        <w:pStyle w:val="Normal"/>
        <w:spacing w:lineRule="atLeast" w:line="0"/>
        <w:ind w:left="8880" w:right="0"/>
        <w:rPr>
          <w:rFonts w:ascii="Times New Roman" w:hAnsi="Times New Roman" w:eastAsia="Times New Roman" w:cs="Times New Roman"/>
          <w:color w:val="3C4A67"/>
          <w:sz w:val="17"/>
        </w:rPr>
      </w:pPr>
      <w:r>
        <w:rPr>
          <w:rFonts w:eastAsia="Times New Roman" w:cs="Times New Roman" w:ascii="Times New Roman" w:hAnsi="Times New Roman"/>
          <w:color w:val="3C4A67"/>
          <w:sz w:val="17"/>
        </w:rPr>
        <w:t>Page | B-4</w:t>
      </w:r>
    </w:p>
    <w:p>
      <w:pPr>
        <w:pStyle w:val="Normal"/>
        <w:spacing w:lineRule="atLeast" w:line="0"/>
        <w:ind w:left="8900" w:right="0"/>
        <w:rPr>
          <w:rFonts w:ascii="Corbel" w:hAnsi="Corbel" w:eastAsia="Corbel" w:cs="Corbel"/>
          <w:color w:val="800000"/>
          <w:sz w:val="35"/>
        </w:rPr>
      </w:pPr>
      <w:bookmarkStart w:id="21" w:name="page22"/>
      <w:bookmarkEnd w:id="21"/>
      <w:r>
        <w:rPr>
          <w:rFonts w:eastAsia="Corbel" w:cs="Corbel" w:ascii="Corbel" w:hAnsi="Corbel"/>
          <w:color w:val="800000"/>
          <w:sz w:val="35"/>
        </w:rPr>
        <w:t>Schedule C</w:t>
      </w:r>
    </w:p>
    <w:p>
      <w:pPr>
        <w:pStyle w:val="Normal"/>
        <w:spacing w:lineRule="exact" w:line="94"/>
        <w:rPr>
          <w:rFonts w:ascii="Times New Roman" w:hAnsi="Times New Roman" w:eastAsia="Times New Roman" w:cs="Times New Roman"/>
          <w:color w:val="800000"/>
          <w:sz w:val="35"/>
        </w:rPr>
      </w:pPr>
      <w:r>
        <w:rPr>
          <w:rFonts w:eastAsia="Times New Roman" w:cs="Times New Roman" w:ascii="Times New Roman" w:hAnsi="Times New Roman"/>
          <w:color w:val="800000"/>
          <w:sz w:val="35"/>
        </w:rPr>
      </w:r>
    </w:p>
    <w:p>
      <w:pPr>
        <w:pStyle w:val="Normal"/>
        <w:spacing w:lineRule="atLeast" w:line="0"/>
        <w:rPr>
          <w:rFonts w:ascii="Corbel" w:hAnsi="Corbel" w:eastAsia="Corbel" w:cs="Corbel"/>
          <w:color w:val="3C4A67"/>
          <w:sz w:val="72"/>
        </w:rPr>
      </w:pPr>
      <w:r>
        <w:rPr>
          <w:rFonts w:eastAsia="Corbel" w:cs="Corbel" w:ascii="Corbel" w:hAnsi="Corbel"/>
          <w:color w:val="3C4A67"/>
          <w:sz w:val="72"/>
        </w:rPr>
        <w:t>Specific community legal centres</w:t>
      </w:r>
    </w:p>
    <w:p>
      <w:pPr>
        <w:pStyle w:val="Normal"/>
        <w:spacing w:lineRule="auto" w:line="259"/>
        <w:ind w:right="4600"/>
        <w:rPr>
          <w:rFonts w:ascii="Consolas" w:hAnsi="Consolas" w:eastAsia="Consolas" w:cs="Consolas"/>
          <w:b/>
          <w:color w:val="C6823D"/>
          <w:sz w:val="24"/>
        </w:rPr>
      </w:pPr>
      <w:r>
        <w:rPr>
          <w:rFonts w:eastAsia="Consolas" w:cs="Consolas" w:ascii="Consolas" w:hAnsi="Consolas"/>
          <w:b/>
          <w:color w:val="C6823D"/>
          <w:sz w:val="24"/>
        </w:rPr>
        <w:t>NATIONAL PARTNERSHIP AGREEMENT ON LEGAL ASSISTANCE SERVICES</w:t>
      </w:r>
    </w:p>
    <w:p>
      <w:pPr>
        <w:pStyle w:val="Normal"/>
        <w:spacing w:lineRule="exact" w:line="265"/>
        <w:rPr>
          <w:rFonts w:ascii="Times New Roman" w:hAnsi="Times New Roman" w:eastAsia="Times New Roman" w:cs="Times New Roman"/>
          <w:b/>
          <w:color w:val="C6823D"/>
          <w:sz w:val="24"/>
        </w:rPr>
      </w:pPr>
      <w:r>
        <w:rPr>
          <w:rFonts w:eastAsia="Times New Roman" w:cs="Times New Roman" w:ascii="Times New Roman" w:hAnsi="Times New Roman"/>
          <w:b/>
          <w:color w:val="C6823D"/>
          <w:sz w:val="24"/>
        </w:rPr>
      </w:r>
    </w:p>
    <w:p>
      <w:pPr>
        <w:pStyle w:val="Normal"/>
        <w:spacing w:lineRule="auto" w:line="204"/>
        <w:ind w:firstLine="2" w:right="40"/>
        <w:rPr>
          <w:rFonts w:ascii="Corbel" w:hAnsi="Corbel" w:eastAsia="Corbel" w:cs="Corbel"/>
          <w:b/>
          <w:color w:val="3C4A67"/>
          <w:sz w:val="29"/>
        </w:rPr>
      </w:pPr>
      <w:r>
        <w:rPr>
          <w:rFonts w:eastAsia="Corbel" w:cs="Corbel" w:ascii="Corbel" w:hAnsi="Corbel"/>
          <w:b/>
          <w:color w:val="3C4A67"/>
          <w:sz w:val="29"/>
        </w:rPr>
        <w:t>This schedule specifies the community legal centres that will receive guaranteed Commonwealth funding in 2015-16 and 2016-17.</w:t>
      </w:r>
    </w:p>
    <w:p>
      <w:pPr>
        <w:pStyle w:val="Normal"/>
        <w:spacing w:lineRule="exact" w:line="200"/>
        <w:rPr>
          <w:rFonts w:ascii="Times New Roman" w:hAnsi="Times New Roman" w:eastAsia="Times New Roman" w:cs="Times New Roman"/>
          <w:b/>
          <w:color w:val="3C4A67"/>
          <w:sz w:val="29"/>
        </w:rPr>
      </w:pPr>
      <w:r>
        <w:rPr>
          <w:rFonts w:eastAsia="Times New Roman" w:cs="Times New Roman" w:ascii="Times New Roman" w:hAnsi="Times New Roman"/>
          <w:b/>
          <w:color w:val="3C4A67"/>
          <w:sz w:val="29"/>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Consolas" w:hAnsi="Consolas" w:eastAsia="Consolas" w:cs="Consolas"/>
          <w:color w:val="3C4A67"/>
          <w:sz w:val="32"/>
        </w:rPr>
      </w:pPr>
      <w:r>
        <w:rPr>
          <w:rFonts w:eastAsia="Consolas" w:cs="Consolas" w:ascii="Consolas" w:hAnsi="Consolas"/>
          <w:color w:val="3C4A67"/>
          <w:sz w:val="32"/>
        </w:rPr>
        <w:t>LIST OF COMMUNITY LEGAL CENTRES</w:t>
      </w:r>
    </w:p>
    <w:p>
      <w:pPr>
        <w:pStyle w:val="Normal"/>
        <w:spacing w:lineRule="exact" w:line="15"/>
        <w:rPr>
          <w:rFonts w:ascii="Times New Roman" w:hAnsi="Times New Roman" w:eastAsia="Times New Roman" w:cs="Times New Roman"/>
          <w:color w:val="3C4A67"/>
          <w:sz w:val="32"/>
        </w:rPr>
      </w:pPr>
      <w:r>
        <w:rPr>
          <w:rFonts w:eastAsia="Times New Roman" w:cs="Times New Roman" w:ascii="Times New Roman" w:hAnsi="Times New Roman"/>
          <w:color w:val="3C4A67"/>
          <w:sz w:val="32"/>
        </w:rPr>
      </w:r>
    </w:p>
    <w:p>
      <w:pPr>
        <w:pStyle w:val="Normal"/>
        <w:tabs>
          <w:tab w:val="clear" w:pos="720"/>
          <w:tab w:val="left" w:pos="540" w:leader="none"/>
        </w:tabs>
        <w:spacing w:lineRule="auto" w:line="220"/>
        <w:ind w:hanging="559" w:left="560" w:right="0"/>
        <w:jc w:val="both"/>
        <w:rPr/>
      </w:pPr>
      <w:r>
        <w:rPr>
          <w:rFonts w:eastAsia="Corbel" w:cs="Corbel" w:ascii="Corbel" w:hAnsi="Corbel"/>
          <w:sz w:val="23"/>
        </w:rPr>
        <w:t>C1</w:t>
        <w:tab/>
        <w:t>Table 1 sets out the minimum amount of Commonwealth funding that will be provided to specific community legal centres, subject to clauses C2 and C3. This Schedule does not prevent the States from providing additional funding to the community legal centres listed in this Schedule.</w:t>
      </w:r>
    </w:p>
    <w:p>
      <w:pPr>
        <w:pStyle w:val="Normal"/>
        <w:spacing w:lineRule="exact" w:line="244"/>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40" w:leader="none"/>
        </w:tabs>
        <w:spacing w:lineRule="auto" w:line="220"/>
        <w:ind w:hanging="559" w:left="560" w:right="0"/>
        <w:jc w:val="both"/>
        <w:rPr/>
      </w:pPr>
      <w:r>
        <w:rPr>
          <w:rFonts w:eastAsia="Corbel" w:cs="Corbel" w:ascii="Corbel" w:hAnsi="Corbel"/>
          <w:sz w:val="23"/>
        </w:rPr>
        <w:t>C2</w:t>
        <w:tab/>
        <w:t>A State may withhold Commonwealth funding to a community legal centre listed in this Schedule if that community legal centre ceases to operate, fails to comply with reasonable reporting requirements established by a State, and/or ceases to deliver legal assistance services in accordance with this Agreement.</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540" w:leader="none"/>
        </w:tabs>
        <w:spacing w:lineRule="auto" w:line="220"/>
        <w:ind w:hanging="559" w:left="560" w:right="0"/>
        <w:jc w:val="both"/>
        <w:rPr/>
      </w:pPr>
      <w:r>
        <w:rPr>
          <w:rFonts w:eastAsia="Corbel" w:cs="Corbel" w:ascii="Corbel" w:hAnsi="Corbel"/>
          <w:sz w:val="23"/>
        </w:rPr>
        <w:t>C3</w:t>
        <w:tab/>
        <w:t>A State must obtain agreement in writing from the Commonwealth to withhold funding under clause C2 and to redirect that funding to other community legal centres in that State.</w:t>
      </w:r>
    </w:p>
    <w:p>
      <w:pPr>
        <w:pStyle w:val="Normal"/>
        <w:spacing w:lineRule="exact" w:line="22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right="980"/>
        <w:rPr>
          <w:rFonts w:ascii="Consolas" w:hAnsi="Consolas" w:eastAsia="Consolas" w:cs="Consolas"/>
          <w:b/>
          <w:color w:val="3C4A67"/>
          <w:sz w:val="24"/>
        </w:rPr>
      </w:pPr>
      <w:r>
        <w:rPr>
          <w:rFonts w:eastAsia="Consolas" w:cs="Consolas" w:ascii="Consolas" w:hAnsi="Consolas"/>
          <w:b/>
          <w:color w:val="3C4A67"/>
          <w:sz w:val="24"/>
        </w:rPr>
        <w:t>Table 1: Commonwealth financial contribution for specific community legal centres</w:t>
      </w:r>
    </w:p>
    <w:p>
      <w:pPr>
        <w:pStyle w:val="Normal"/>
        <w:spacing w:lineRule="exact" w:line="66"/>
        <w:rPr>
          <w:rFonts w:ascii="Times New Roman" w:hAnsi="Times New Roman" w:eastAsia="Times New Roman" w:cs="Times New Roman"/>
          <w:b/>
          <w:color w:val="3C4A67"/>
          <w:sz w:val="24"/>
        </w:rPr>
      </w:pPr>
      <w:r>
        <w:rPr>
          <w:rFonts w:eastAsia="Times New Roman" w:cs="Times New Roman" w:ascii="Times New Roman" w:hAnsi="Times New Roman"/>
          <w:b/>
          <w:color w:val="3C4A67"/>
          <w:sz w:val="24"/>
        </w:rPr>
      </w:r>
    </w:p>
    <w:tbl>
      <w:tblPr>
        <w:tblW w:w="9700" w:type="dxa"/>
        <w:jc w:val="left"/>
        <w:tblInd w:w="260" w:type="dxa"/>
        <w:tblLayout w:type="fixed"/>
        <w:tblCellMar>
          <w:top w:w="0" w:type="dxa"/>
          <w:left w:w="0" w:type="dxa"/>
          <w:bottom w:w="0" w:type="dxa"/>
          <w:right w:w="0" w:type="dxa"/>
        </w:tblCellMar>
      </w:tblPr>
      <w:tblGrid>
        <w:gridCol w:w="5060"/>
        <w:gridCol w:w="1540"/>
        <w:gridCol w:w="1560"/>
        <w:gridCol w:w="1540"/>
      </w:tblGrid>
      <w:tr>
        <w:trPr>
          <w:trHeight w:val="382" w:hRule="atLeast"/>
        </w:trPr>
        <w:tc>
          <w:tcPr>
            <w:tcW w:w="5060" w:type="dxa"/>
            <w:tcBorders>
              <w:top w:val="single" w:sz="8" w:space="0" w:color="000000"/>
              <w:left w:val="single" w:sz="8" w:space="0" w:color="000000"/>
              <w:right w:val="single" w:sz="8" w:space="0" w:color="000000"/>
            </w:tcBorders>
          </w:tcPr>
          <w:p>
            <w:pPr>
              <w:pStyle w:val="Normal"/>
              <w:spacing w:lineRule="atLeast" w:line="0"/>
              <w:ind w:left="120" w:right="0"/>
              <w:rPr>
                <w:rFonts w:ascii="Corbel" w:hAnsi="Corbel" w:eastAsia="Corbel" w:cs="Corbel"/>
                <w:b/>
                <w:sz w:val="23"/>
              </w:rPr>
            </w:pPr>
            <w:r>
              <w:rPr>
                <w:rFonts w:eastAsia="Corbel" w:cs="Corbel" w:ascii="Corbel" w:hAnsi="Corbel"/>
                <w:b/>
                <w:sz w:val="23"/>
              </w:rPr>
              <w:t>Centre Name</w:t>
            </w:r>
          </w:p>
        </w:tc>
        <w:tc>
          <w:tcPr>
            <w:tcW w:w="1540" w:type="dxa"/>
            <w:tcBorders>
              <w:top w:val="single" w:sz="8" w:space="0" w:color="000000"/>
              <w:right w:val="single" w:sz="8" w:space="0" w:color="000000"/>
            </w:tcBorders>
          </w:tcPr>
          <w:p>
            <w:pPr>
              <w:pStyle w:val="Normal"/>
              <w:spacing w:lineRule="atLeast" w:line="0"/>
              <w:ind w:right="328"/>
              <w:jc w:val="right"/>
              <w:rPr>
                <w:rFonts w:ascii="Corbel" w:hAnsi="Corbel" w:eastAsia="Corbel" w:cs="Corbel"/>
                <w:b/>
                <w:sz w:val="23"/>
              </w:rPr>
            </w:pPr>
            <w:r>
              <w:rPr>
                <w:rFonts w:eastAsia="Corbel" w:cs="Corbel" w:ascii="Corbel" w:hAnsi="Corbel"/>
                <w:b/>
                <w:sz w:val="23"/>
              </w:rPr>
              <w:t>2015-16</w:t>
            </w:r>
          </w:p>
        </w:tc>
        <w:tc>
          <w:tcPr>
            <w:tcW w:w="1560" w:type="dxa"/>
            <w:tcBorders>
              <w:top w:val="single" w:sz="8" w:space="0" w:color="000000"/>
              <w:right w:val="single" w:sz="8" w:space="0" w:color="000000"/>
            </w:tcBorders>
          </w:tcPr>
          <w:p>
            <w:pPr>
              <w:pStyle w:val="Normal"/>
              <w:spacing w:lineRule="atLeast" w:line="0"/>
              <w:ind w:right="328"/>
              <w:jc w:val="right"/>
              <w:rPr>
                <w:rFonts w:ascii="Corbel" w:hAnsi="Corbel" w:eastAsia="Corbel" w:cs="Corbel"/>
                <w:b/>
                <w:sz w:val="23"/>
              </w:rPr>
            </w:pPr>
            <w:r>
              <w:rPr>
                <w:rFonts w:eastAsia="Corbel" w:cs="Corbel" w:ascii="Corbel" w:hAnsi="Corbel"/>
                <w:b/>
                <w:sz w:val="23"/>
              </w:rPr>
              <w:t>2016-17</w:t>
            </w:r>
          </w:p>
        </w:tc>
        <w:tc>
          <w:tcPr>
            <w:tcW w:w="1540" w:type="dxa"/>
            <w:tcBorders>
              <w:top w:val="single" w:sz="8" w:space="0" w:color="000000"/>
              <w:right w:val="single" w:sz="8" w:space="0" w:color="000000"/>
            </w:tcBorders>
          </w:tcPr>
          <w:p>
            <w:pPr>
              <w:pStyle w:val="Normal"/>
              <w:spacing w:lineRule="atLeast" w:line="0"/>
              <w:ind w:right="408"/>
              <w:jc w:val="right"/>
              <w:rPr>
                <w:rFonts w:ascii="Corbel" w:hAnsi="Corbel" w:eastAsia="Corbel" w:cs="Corbel"/>
                <w:b/>
                <w:sz w:val="23"/>
              </w:rPr>
            </w:pPr>
            <w:r>
              <w:rPr>
                <w:rFonts w:eastAsia="Corbel" w:cs="Corbel" w:ascii="Corbel" w:hAnsi="Corbel"/>
                <w:b/>
                <w:sz w:val="23"/>
              </w:rPr>
              <w:t>Total</w:t>
            </w:r>
          </w:p>
        </w:tc>
      </w:tr>
      <w:tr>
        <w:trPr>
          <w:trHeight w:val="14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3" w:hRule="atLeast"/>
        </w:trPr>
        <w:tc>
          <w:tcPr>
            <w:tcW w:w="5060" w:type="dxa"/>
            <w:tcBorders>
              <w:lef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40" w:type="dxa"/>
            <w:tcBorders>
              <w:righ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57" w:hRule="atLeast"/>
        </w:trPr>
        <w:tc>
          <w:tcPr>
            <w:tcW w:w="5060" w:type="dxa"/>
            <w:tcBorders>
              <w:left w:val="single" w:sz="8" w:space="0" w:color="000000"/>
              <w:right w:val="single" w:sz="8" w:space="0" w:color="C0C0C0"/>
            </w:tcBorders>
          </w:tcPr>
          <w:p>
            <w:pPr>
              <w:pStyle w:val="Normal"/>
              <w:spacing w:lineRule="atLeast" w:line="0"/>
              <w:ind w:left="120" w:right="0"/>
              <w:rPr>
                <w:rFonts w:ascii="Corbel" w:hAnsi="Corbel" w:eastAsia="Corbel" w:cs="Corbel"/>
                <w:b/>
                <w:sz w:val="23"/>
              </w:rPr>
            </w:pPr>
            <w:r>
              <w:rPr>
                <w:rFonts w:eastAsia="Corbel" w:cs="Corbel" w:ascii="Corbel" w:hAnsi="Corbel"/>
                <w:b/>
                <w:sz w:val="23"/>
              </w:rPr>
              <w:t>New South Wales</w:t>
            </w:r>
          </w:p>
        </w:tc>
        <w:tc>
          <w:tcPr>
            <w:tcW w:w="1540" w:type="dxa"/>
            <w:tcBorders>
              <w:right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60" w:type="dxa"/>
            <w:tcBorders>
              <w:righ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3" w:hRule="atLeast"/>
        </w:trPr>
        <w:tc>
          <w:tcPr>
            <w:tcW w:w="5060" w:type="dxa"/>
            <w:tcBorders>
              <w:left w:val="single" w:sz="8" w:space="0" w:color="000000"/>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4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6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3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Central Coast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$389,185</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$389,185</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$778,370</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Far West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$456,515</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$456,515</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$913,030</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HIV/AIDS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$92,458</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$92,458</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$184,916</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Kingsford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$276,260</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$276,260</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$552,520</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Macquarie Legal Centre</w:t>
            </w:r>
          </w:p>
        </w:tc>
        <w:tc>
          <w:tcPr>
            <w:tcW w:w="15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$437,553</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N/A</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$437,553</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Mid-North Coast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$313,950</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$313,950</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$627,900</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Mt Druitt and Area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$259,661</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N/A</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$259,661</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Northern Rivers Community Legal Service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$452,290</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$452,290</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$904,580</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Public Interest Advocacy Centre</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$120,000</w:t>
            </w:r>
          </w:p>
        </w:tc>
        <w:tc>
          <w:tcPr>
            <w:tcW w:w="156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$120,000</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$240,000</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Redfern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$217,191</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$217,191</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$434,382</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Shoalcoast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$417,264</w:t>
            </w:r>
          </w:p>
        </w:tc>
        <w:tc>
          <w:tcPr>
            <w:tcW w:w="156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$417,264</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$834,528</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South West Sydney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$428,976</w:t>
            </w:r>
          </w:p>
        </w:tc>
        <w:tc>
          <w:tcPr>
            <w:tcW w:w="156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$428,976</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$857,952</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Welfare Rights Centre (NSW)</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$343,191</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$343,191</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$686,382</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Western Sydney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N/A</w:t>
            </w:r>
          </w:p>
        </w:tc>
        <w:tc>
          <w:tcPr>
            <w:tcW w:w="156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$697,214</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$697,214</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4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b/>
                <w:sz w:val="23"/>
              </w:rPr>
            </w:pPr>
            <w:r>
              <w:rPr>
                <w:rFonts w:eastAsia="Corbel" w:cs="Corbel" w:ascii="Corbel" w:hAnsi="Corbel"/>
                <w:b/>
                <w:sz w:val="23"/>
              </w:rPr>
              <w:t>New South Wales Total</w:t>
            </w:r>
          </w:p>
        </w:tc>
        <w:tc>
          <w:tcPr>
            <w:tcW w:w="1540" w:type="dxa"/>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$4,204,494</w:t>
            </w:r>
          </w:p>
        </w:tc>
        <w:tc>
          <w:tcPr>
            <w:tcW w:w="1560" w:type="dxa"/>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$4,204,494</w:t>
            </w:r>
          </w:p>
        </w:tc>
        <w:tc>
          <w:tcPr>
            <w:tcW w:w="1540" w:type="dxa"/>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$8,408,988</w:t>
            </w:r>
          </w:p>
        </w:tc>
      </w:tr>
      <w:tr>
        <w:trPr>
          <w:trHeight w:val="9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8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680" w:right="690" w:gutter="0" w:header="0" w:top="1037" w:footer="0" w:bottom="159"/>
          <w:pgNumType w:fmt="decimal"/>
          <w:formProt w:val="false"/>
          <w:textDirection w:val="lrTb"/>
          <w:docGrid w:type="default" w:linePitch="360" w:charSpace="0"/>
        </w:sectPr>
        <w:pStyle w:val="Normal"/>
        <w:spacing w:lineRule="atLeast" w:line="0"/>
        <w:ind w:left="9860" w:right="0"/>
        <w:rPr/>
      </w:pPr>
      <w:r>
        <w:rPr/>
        <w:t>Page C-1</w:t>
      </w:r>
    </w:p>
    <w:tbl>
      <w:tblPr>
        <w:tblW w:w="9700" w:type="dxa"/>
        <w:jc w:val="left"/>
        <w:tblInd w:w="0" w:type="dxa"/>
        <w:tblLayout w:type="fixed"/>
        <w:tblCellMar>
          <w:top w:w="0" w:type="dxa"/>
          <w:left w:w="0" w:type="dxa"/>
          <w:bottom w:w="0" w:type="dxa"/>
          <w:right w:w="0" w:type="dxa"/>
        </w:tblCellMar>
      </w:tblPr>
      <w:tblGrid>
        <w:gridCol w:w="5060"/>
        <w:gridCol w:w="1540"/>
        <w:gridCol w:w="1560"/>
        <w:gridCol w:w="1540"/>
      </w:tblGrid>
      <w:tr>
        <w:trPr>
          <w:trHeight w:val="382" w:hRule="atLeast"/>
        </w:trPr>
        <w:tc>
          <w:tcPr>
            <w:tcW w:w="5060" w:type="dxa"/>
            <w:tcBorders>
              <w:top w:val="single" w:sz="8" w:space="0" w:color="000000"/>
              <w:left w:val="single" w:sz="8" w:space="0" w:color="000000"/>
              <w:right w:val="single" w:sz="8" w:space="0" w:color="000000"/>
            </w:tcBorders>
          </w:tcPr>
          <w:p>
            <w:pPr>
              <w:pStyle w:val="Normal"/>
              <w:spacing w:lineRule="atLeast" w:line="0"/>
              <w:ind w:left="120" w:right="0"/>
              <w:rPr>
                <w:rFonts w:ascii="Corbel" w:hAnsi="Corbel" w:eastAsia="Corbel" w:cs="Corbel"/>
                <w:b/>
                <w:sz w:val="23"/>
              </w:rPr>
            </w:pPr>
            <w:bookmarkStart w:id="22" w:name="page23"/>
            <w:bookmarkEnd w:id="22"/>
            <w:r>
              <w:rPr>
                <w:rFonts w:eastAsia="Corbel" w:cs="Corbel" w:ascii="Corbel" w:hAnsi="Corbel"/>
                <w:b/>
                <w:sz w:val="23"/>
              </w:rPr>
              <w:t>Centre Name</w:t>
            </w:r>
          </w:p>
        </w:tc>
        <w:tc>
          <w:tcPr>
            <w:tcW w:w="1540" w:type="dxa"/>
            <w:tcBorders>
              <w:top w:val="single" w:sz="8" w:space="0" w:color="000000"/>
              <w:right w:val="single" w:sz="8" w:space="0" w:color="000000"/>
            </w:tcBorders>
          </w:tcPr>
          <w:p>
            <w:pPr>
              <w:pStyle w:val="Normal"/>
              <w:spacing w:lineRule="atLeast" w:line="0"/>
              <w:ind w:right="328"/>
              <w:jc w:val="right"/>
              <w:rPr>
                <w:rFonts w:ascii="Corbel" w:hAnsi="Corbel" w:eastAsia="Corbel" w:cs="Corbel"/>
                <w:b/>
                <w:sz w:val="23"/>
              </w:rPr>
            </w:pPr>
            <w:r>
              <w:rPr>
                <w:rFonts w:eastAsia="Corbel" w:cs="Corbel" w:ascii="Corbel" w:hAnsi="Corbel"/>
                <w:b/>
                <w:sz w:val="23"/>
              </w:rPr>
              <w:t>2015-16</w:t>
            </w:r>
          </w:p>
        </w:tc>
        <w:tc>
          <w:tcPr>
            <w:tcW w:w="1560" w:type="dxa"/>
            <w:tcBorders>
              <w:top w:val="single" w:sz="8" w:space="0" w:color="000000"/>
              <w:right w:val="single" w:sz="8" w:space="0" w:color="000000"/>
            </w:tcBorders>
          </w:tcPr>
          <w:p>
            <w:pPr>
              <w:pStyle w:val="Normal"/>
              <w:spacing w:lineRule="atLeast" w:line="0"/>
              <w:ind w:right="328"/>
              <w:jc w:val="right"/>
              <w:rPr>
                <w:rFonts w:ascii="Corbel" w:hAnsi="Corbel" w:eastAsia="Corbel" w:cs="Corbel"/>
                <w:b/>
                <w:sz w:val="23"/>
              </w:rPr>
            </w:pPr>
            <w:r>
              <w:rPr>
                <w:rFonts w:eastAsia="Corbel" w:cs="Corbel" w:ascii="Corbel" w:hAnsi="Corbel"/>
                <w:b/>
                <w:sz w:val="23"/>
              </w:rPr>
              <w:t>2016-17</w:t>
            </w:r>
          </w:p>
        </w:tc>
        <w:tc>
          <w:tcPr>
            <w:tcW w:w="1540" w:type="dxa"/>
            <w:tcBorders>
              <w:top w:val="single" w:sz="8" w:space="0" w:color="000000"/>
              <w:right w:val="single" w:sz="8" w:space="0" w:color="000000"/>
            </w:tcBorders>
          </w:tcPr>
          <w:p>
            <w:pPr>
              <w:pStyle w:val="Normal"/>
              <w:spacing w:lineRule="atLeast" w:line="0"/>
              <w:ind w:right="408"/>
              <w:jc w:val="right"/>
              <w:rPr>
                <w:rFonts w:ascii="Corbel" w:hAnsi="Corbel" w:eastAsia="Corbel" w:cs="Corbel"/>
                <w:b/>
                <w:sz w:val="23"/>
              </w:rPr>
            </w:pPr>
            <w:r>
              <w:rPr>
                <w:rFonts w:eastAsia="Corbel" w:cs="Corbel" w:ascii="Corbel" w:hAnsi="Corbel"/>
                <w:b/>
                <w:sz w:val="23"/>
              </w:rPr>
              <w:t>Total</w:t>
            </w:r>
          </w:p>
        </w:tc>
      </w:tr>
      <w:tr>
        <w:trPr>
          <w:trHeight w:val="14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32" w:hRule="atLeast"/>
        </w:trPr>
        <w:tc>
          <w:tcPr>
            <w:tcW w:w="5060" w:type="dxa"/>
            <w:tcBorders>
              <w:left w:val="single" w:sz="8" w:space="0" w:color="000000"/>
              <w:right w:val="single" w:sz="8" w:space="0" w:color="C0C0C0"/>
            </w:tcBorders>
          </w:tcPr>
          <w:p>
            <w:pPr>
              <w:pStyle w:val="Normal"/>
              <w:spacing w:lineRule="atLeast" w:line="0"/>
              <w:ind w:left="120" w:right="0"/>
              <w:rPr>
                <w:rFonts w:ascii="Corbel" w:hAnsi="Corbel" w:eastAsia="Corbel" w:cs="Corbel"/>
                <w:b/>
                <w:sz w:val="23"/>
              </w:rPr>
            </w:pPr>
            <w:r>
              <w:rPr>
                <w:rFonts w:eastAsia="Corbel" w:cs="Corbel" w:ascii="Corbel" w:hAnsi="Corbel"/>
                <w:b/>
                <w:sz w:val="23"/>
              </w:rPr>
              <w:t>Victoria</w:t>
            </w:r>
          </w:p>
        </w:tc>
        <w:tc>
          <w:tcPr>
            <w:tcW w:w="1540" w:type="dxa"/>
            <w:tcBorders>
              <w:right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60" w:type="dxa"/>
            <w:tcBorders>
              <w:righ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8" w:hRule="atLeast"/>
        </w:trPr>
        <w:tc>
          <w:tcPr>
            <w:tcW w:w="5060" w:type="dxa"/>
            <w:tcBorders>
              <w:left w:val="single" w:sz="8" w:space="0" w:color="000000"/>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Brimbank Melton Community Legal Centre</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$226,647</w:t>
            </w:r>
          </w:p>
        </w:tc>
        <w:tc>
          <w:tcPr>
            <w:tcW w:w="156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$226,647</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$453,294</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Broadmeadows Community Legal Service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$241,777</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N/A</w:t>
            </w:r>
          </w:p>
        </w:tc>
        <w:tc>
          <w:tcPr>
            <w:tcW w:w="1540" w:type="dxa"/>
            <w:tcBorders>
              <w:right w:val="single" w:sz="8" w:space="0" w:color="000000"/>
            </w:tcBorders>
          </w:tcPr>
          <w:p>
            <w:pPr>
              <w:pStyle w:val="Normal"/>
              <w:spacing w:lineRule="atLeast" w:line="0"/>
              <w:ind w:right="48"/>
              <w:jc w:val="right"/>
              <w:rPr>
                <w:rFonts w:ascii="Corbel" w:hAnsi="Corbel" w:eastAsia="Corbel" w:cs="Corbel"/>
                <w:sz w:val="23"/>
              </w:rPr>
            </w:pPr>
            <w:r>
              <w:rPr>
                <w:rFonts w:eastAsia="Corbel" w:cs="Corbel" w:ascii="Corbel" w:hAnsi="Corbel"/>
                <w:sz w:val="23"/>
              </w:rPr>
              <w:t>$241,777</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Casey Cardinia Community Legal Service</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$281,997</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$281,997</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$563,994</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Consumer Action Law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$270,918</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$270,918</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$541,836</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Darebin Community Legal Centre</w:t>
            </w:r>
          </w:p>
        </w:tc>
        <w:tc>
          <w:tcPr>
            <w:tcW w:w="15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$177,138</w:t>
            </w:r>
          </w:p>
        </w:tc>
        <w:tc>
          <w:tcPr>
            <w:tcW w:w="156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$177,138</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$354,276</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Eastern Community Legal Centre</w:t>
            </w:r>
          </w:p>
        </w:tc>
        <w:tc>
          <w:tcPr>
            <w:tcW w:w="15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$401,770</w:t>
            </w:r>
          </w:p>
        </w:tc>
        <w:tc>
          <w:tcPr>
            <w:tcW w:w="156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$401,770</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$803,540</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Loddon Campaspe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$207,387</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$207,387</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$414,774</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Murray Mallee Community Legal Service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$454,004</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$454,004</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$908,008</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Northern CLC</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N/A</w:t>
            </w:r>
          </w:p>
        </w:tc>
        <w:tc>
          <w:tcPr>
            <w:tcW w:w="156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$241,777</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$241,777</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Inner Melbourne Community Legal</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$209,643</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$209,643</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$419,286</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pPr>
            <w:r>
              <w:rPr>
                <w:rFonts w:eastAsia="Corbel" w:cs="Corbel" w:ascii="Corbel" w:hAnsi="Corbel"/>
                <w:sz w:val="23"/>
              </w:rPr>
              <w:t>Justice Connect – Victoria</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$154,883</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$154,883</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$309,766</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Springvale Monash Legal Service</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$422,620</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$422,620</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$845,240</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Western Community Legal Centre Ltd (formerly</w:t>
            </w:r>
          </w:p>
        </w:tc>
        <w:tc>
          <w:tcPr>
            <w:tcW w:w="1540" w:type="dxa"/>
            <w:vMerge w:val="restart"/>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$234,018</w:t>
            </w:r>
          </w:p>
        </w:tc>
        <w:tc>
          <w:tcPr>
            <w:tcW w:w="1560" w:type="dxa"/>
            <w:vMerge w:val="restart"/>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$234,018</w:t>
            </w:r>
          </w:p>
        </w:tc>
        <w:tc>
          <w:tcPr>
            <w:tcW w:w="1540" w:type="dxa"/>
            <w:vMerge w:val="restart"/>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$468,036</w:t>
            </w:r>
          </w:p>
        </w:tc>
      </w:tr>
      <w:tr>
        <w:trPr>
          <w:trHeight w:val="135" w:hRule="atLeast"/>
        </w:trPr>
        <w:tc>
          <w:tcPr>
            <w:tcW w:w="5060" w:type="dxa"/>
            <w:vMerge w:val="restart"/>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Wyndham Legal Service Inc.)</w:t>
            </w:r>
          </w:p>
        </w:tc>
        <w:tc>
          <w:tcPr>
            <w:tcW w:w="15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6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50" w:hRule="atLeast"/>
        </w:trPr>
        <w:tc>
          <w:tcPr>
            <w:tcW w:w="506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60" w:type="dxa"/>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Whittlesea Community Legal Service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$232,736</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$232,736</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$465,472</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Youthlaw (Vic)</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$136,307</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$136,307</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$272,614</w:t>
            </w:r>
          </w:p>
        </w:tc>
      </w:tr>
      <w:tr>
        <w:trPr>
          <w:trHeight w:val="9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3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b/>
                <w:sz w:val="23"/>
              </w:rPr>
            </w:pPr>
            <w:r>
              <w:rPr>
                <w:rFonts w:eastAsia="Corbel" w:cs="Corbel" w:ascii="Corbel" w:hAnsi="Corbel"/>
                <w:b/>
                <w:sz w:val="23"/>
              </w:rPr>
              <w:t>Victoria Total</w:t>
            </w:r>
          </w:p>
        </w:tc>
        <w:tc>
          <w:tcPr>
            <w:tcW w:w="1540" w:type="dxa"/>
            <w:tcBorders>
              <w:right w:val="single" w:sz="8" w:space="0" w:color="000000"/>
            </w:tcBorders>
          </w:tcPr>
          <w:p>
            <w:pPr>
              <w:pStyle w:val="Normal"/>
              <w:spacing w:lineRule="atLeast" w:line="0"/>
              <w:ind w:left="340" w:right="0"/>
              <w:rPr>
                <w:rFonts w:ascii="Corbel" w:hAnsi="Corbel" w:eastAsia="Corbel" w:cs="Corbel"/>
                <w:b/>
                <w:sz w:val="23"/>
              </w:rPr>
            </w:pPr>
            <w:r>
              <w:rPr>
                <w:rFonts w:eastAsia="Corbel" w:cs="Corbel" w:ascii="Corbel" w:hAnsi="Corbel"/>
                <w:b/>
                <w:sz w:val="23"/>
              </w:rPr>
              <w:t>$3,651,845</w:t>
            </w:r>
          </w:p>
        </w:tc>
        <w:tc>
          <w:tcPr>
            <w:tcW w:w="1560" w:type="dxa"/>
            <w:tcBorders>
              <w:right w:val="single" w:sz="8" w:space="0" w:color="000000"/>
            </w:tcBorders>
          </w:tcPr>
          <w:p>
            <w:pPr>
              <w:pStyle w:val="Normal"/>
              <w:spacing w:lineRule="atLeast" w:line="0"/>
              <w:ind w:left="360" w:right="0"/>
              <w:rPr>
                <w:rFonts w:ascii="Corbel" w:hAnsi="Corbel" w:eastAsia="Corbel" w:cs="Corbel"/>
                <w:b/>
                <w:sz w:val="23"/>
              </w:rPr>
            </w:pPr>
            <w:r>
              <w:rPr>
                <w:rFonts w:eastAsia="Corbel" w:cs="Corbel" w:ascii="Corbel" w:hAnsi="Corbel"/>
                <w:b/>
                <w:sz w:val="23"/>
              </w:rPr>
              <w:t>$3,651,845</w:t>
            </w:r>
          </w:p>
        </w:tc>
        <w:tc>
          <w:tcPr>
            <w:tcW w:w="1540" w:type="dxa"/>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$7,303,690</w:t>
            </w:r>
          </w:p>
        </w:tc>
      </w:tr>
      <w:tr>
        <w:trPr>
          <w:trHeight w:val="9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3" w:hRule="atLeast"/>
        </w:trPr>
        <w:tc>
          <w:tcPr>
            <w:tcW w:w="5060" w:type="dxa"/>
            <w:tcBorders>
              <w:lef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40" w:type="dxa"/>
            <w:tcBorders>
              <w:righ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57" w:hRule="atLeast"/>
        </w:trPr>
        <w:tc>
          <w:tcPr>
            <w:tcW w:w="5060" w:type="dxa"/>
            <w:tcBorders>
              <w:left w:val="single" w:sz="8" w:space="0" w:color="000000"/>
              <w:right w:val="single" w:sz="8" w:space="0" w:color="C0C0C0"/>
            </w:tcBorders>
          </w:tcPr>
          <w:p>
            <w:pPr>
              <w:pStyle w:val="Normal"/>
              <w:spacing w:lineRule="atLeast" w:line="0"/>
              <w:ind w:left="120" w:right="0"/>
              <w:rPr>
                <w:rFonts w:ascii="Corbel" w:hAnsi="Corbel" w:eastAsia="Corbel" w:cs="Corbel"/>
                <w:b/>
                <w:sz w:val="23"/>
              </w:rPr>
            </w:pPr>
            <w:r>
              <w:rPr>
                <w:rFonts w:eastAsia="Corbel" w:cs="Corbel" w:ascii="Corbel" w:hAnsi="Corbel"/>
                <w:b/>
                <w:sz w:val="23"/>
              </w:rPr>
              <w:t>Queensland</w:t>
            </w:r>
          </w:p>
        </w:tc>
        <w:tc>
          <w:tcPr>
            <w:tcW w:w="1540" w:type="dxa"/>
            <w:tcBorders>
              <w:right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60" w:type="dxa"/>
            <w:tcBorders>
              <w:righ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28" w:hRule="atLeast"/>
        </w:trPr>
        <w:tc>
          <w:tcPr>
            <w:tcW w:w="5060" w:type="dxa"/>
            <w:tcBorders>
              <w:left w:val="single" w:sz="8" w:space="0" w:color="000000"/>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6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pPr>
            <w:r>
              <w:rPr>
                <w:rFonts w:eastAsia="Corbel" w:cs="Corbel" w:ascii="Corbel" w:hAnsi="Corbel"/>
                <w:sz w:val="23"/>
              </w:rPr>
              <w:t>Aboriginal and Torres Strait Islander Women’s</w:t>
            </w:r>
          </w:p>
        </w:tc>
        <w:tc>
          <w:tcPr>
            <w:tcW w:w="1540" w:type="dxa"/>
            <w:vMerge w:val="restart"/>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$173,488</w:t>
            </w:r>
          </w:p>
        </w:tc>
        <w:tc>
          <w:tcPr>
            <w:tcW w:w="1560" w:type="dxa"/>
            <w:vMerge w:val="restart"/>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$173,488</w:t>
            </w:r>
          </w:p>
        </w:tc>
        <w:tc>
          <w:tcPr>
            <w:tcW w:w="1540" w:type="dxa"/>
            <w:vMerge w:val="restart"/>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$346,976</w:t>
            </w:r>
          </w:p>
        </w:tc>
      </w:tr>
      <w:tr>
        <w:trPr>
          <w:trHeight w:val="135" w:hRule="atLeast"/>
        </w:trPr>
        <w:tc>
          <w:tcPr>
            <w:tcW w:w="5060" w:type="dxa"/>
            <w:vMerge w:val="restart"/>
            <w:tcBorders>
              <w:left w:val="single" w:sz="8" w:space="0" w:color="000000"/>
              <w:right w:val="single" w:sz="8" w:space="0" w:color="000000"/>
            </w:tcBorders>
          </w:tcPr>
          <w:p>
            <w:pPr>
              <w:pStyle w:val="Normal"/>
              <w:spacing w:lineRule="exact" w:line="270"/>
              <w:ind w:left="120" w:right="0"/>
              <w:rPr>
                <w:rFonts w:ascii="Corbel" w:hAnsi="Corbel" w:eastAsia="Corbel" w:cs="Corbel"/>
                <w:sz w:val="23"/>
              </w:rPr>
            </w:pPr>
            <w:r>
              <w:rPr>
                <w:rFonts w:eastAsia="Corbel" w:cs="Corbel" w:ascii="Corbel" w:hAnsi="Corbel"/>
                <w:sz w:val="23"/>
              </w:rPr>
              <w:t>Legal Services North Queensland</w:t>
            </w:r>
          </w:p>
        </w:tc>
        <w:tc>
          <w:tcPr>
            <w:tcW w:w="15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6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35" w:hRule="atLeast"/>
        </w:trPr>
        <w:tc>
          <w:tcPr>
            <w:tcW w:w="506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6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Cairns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$340,341</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$340,341</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$680,682</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Gold Coast Community Legal Centre and Advice</w:t>
            </w:r>
          </w:p>
        </w:tc>
        <w:tc>
          <w:tcPr>
            <w:tcW w:w="1540" w:type="dxa"/>
            <w:vMerge w:val="restart"/>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$393,697</w:t>
            </w:r>
          </w:p>
        </w:tc>
        <w:tc>
          <w:tcPr>
            <w:tcW w:w="1560" w:type="dxa"/>
            <w:vMerge w:val="restart"/>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$393,697</w:t>
            </w:r>
          </w:p>
        </w:tc>
        <w:tc>
          <w:tcPr>
            <w:tcW w:w="1540" w:type="dxa"/>
            <w:vMerge w:val="restart"/>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$787,394</w:t>
            </w:r>
          </w:p>
        </w:tc>
      </w:tr>
      <w:tr>
        <w:trPr>
          <w:trHeight w:val="150" w:hRule="atLeast"/>
        </w:trPr>
        <w:tc>
          <w:tcPr>
            <w:tcW w:w="5060" w:type="dxa"/>
            <w:vMerge w:val="restart"/>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Bureau</w:t>
            </w:r>
          </w:p>
        </w:tc>
        <w:tc>
          <w:tcPr>
            <w:tcW w:w="15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6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540" w:type="dxa"/>
            <w:vMerge w:val="continue"/>
            <w:tcBorders>
              <w:righ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35" w:hRule="atLeast"/>
        </w:trPr>
        <w:tc>
          <w:tcPr>
            <w:tcW w:w="5060" w:type="dxa"/>
            <w:vMerge w:val="continue"/>
            <w:tcBorders>
              <w:left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6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Youth and Family Service (YFS)</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$187,247</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$187,247</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$374,494</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Pine Rivers Community Legal Service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$206,086</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$206,086</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$412,172</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South West Brisbane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$133,103</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$133,103</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$266,206</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Suncoast Community Legal Service</w:t>
            </w:r>
          </w:p>
        </w:tc>
        <w:tc>
          <w:tcPr>
            <w:tcW w:w="15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$107,653</w:t>
            </w:r>
          </w:p>
        </w:tc>
        <w:tc>
          <w:tcPr>
            <w:tcW w:w="156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$107,653</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$215,306</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Taylor Street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$253,163</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$253,163</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$506,326</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Tenants Queensland</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$69,580</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$69,580</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$139,160</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Townsville Community Legal Service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$306,583</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$306,583</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$613,166</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Basic Rights Queensland</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$340,687</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$340,687</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$681,374</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4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b/>
                <w:sz w:val="23"/>
              </w:rPr>
            </w:pPr>
            <w:r>
              <w:rPr>
                <w:rFonts w:eastAsia="Corbel" w:cs="Corbel" w:ascii="Corbel" w:hAnsi="Corbel"/>
                <w:b/>
                <w:sz w:val="23"/>
              </w:rPr>
              <w:t>Queensland Total</w:t>
            </w:r>
          </w:p>
        </w:tc>
        <w:tc>
          <w:tcPr>
            <w:tcW w:w="1540" w:type="dxa"/>
            <w:tcBorders>
              <w:right w:val="single" w:sz="8" w:space="0" w:color="000000"/>
            </w:tcBorders>
          </w:tcPr>
          <w:p>
            <w:pPr>
              <w:pStyle w:val="Normal"/>
              <w:spacing w:lineRule="atLeast" w:line="0"/>
              <w:ind w:left="340" w:right="0"/>
              <w:rPr>
                <w:rFonts w:ascii="Corbel" w:hAnsi="Corbel" w:eastAsia="Corbel" w:cs="Corbel"/>
                <w:b/>
                <w:sz w:val="23"/>
              </w:rPr>
            </w:pPr>
            <w:r>
              <w:rPr>
                <w:rFonts w:eastAsia="Corbel" w:cs="Corbel" w:ascii="Corbel" w:hAnsi="Corbel"/>
                <w:b/>
                <w:sz w:val="23"/>
              </w:rPr>
              <w:t>$2,511,628</w:t>
            </w:r>
          </w:p>
        </w:tc>
        <w:tc>
          <w:tcPr>
            <w:tcW w:w="1560" w:type="dxa"/>
            <w:tcBorders>
              <w:right w:val="single" w:sz="8" w:space="0" w:color="000000"/>
            </w:tcBorders>
          </w:tcPr>
          <w:p>
            <w:pPr>
              <w:pStyle w:val="Normal"/>
              <w:spacing w:lineRule="atLeast" w:line="0"/>
              <w:ind w:left="360" w:right="0"/>
              <w:rPr>
                <w:rFonts w:ascii="Corbel" w:hAnsi="Corbel" w:eastAsia="Corbel" w:cs="Corbel"/>
                <w:b/>
                <w:sz w:val="23"/>
              </w:rPr>
            </w:pPr>
            <w:r>
              <w:rPr>
                <w:rFonts w:eastAsia="Corbel" w:cs="Corbel" w:ascii="Corbel" w:hAnsi="Corbel"/>
                <w:b/>
                <w:sz w:val="23"/>
              </w:rPr>
              <w:t>$2,511,628</w:t>
            </w:r>
          </w:p>
        </w:tc>
        <w:tc>
          <w:tcPr>
            <w:tcW w:w="1540" w:type="dxa"/>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$5,023,256</w:t>
            </w:r>
          </w:p>
        </w:tc>
      </w:tr>
      <w:tr>
        <w:trPr>
          <w:trHeight w:val="9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17" w:hRule="atLeast"/>
        </w:trPr>
        <w:tc>
          <w:tcPr>
            <w:tcW w:w="5060" w:type="dxa"/>
            <w:tcBorders>
              <w:left w:val="single" w:sz="8" w:space="0" w:color="000000"/>
              <w:right w:val="single" w:sz="8" w:space="0" w:color="C0C0C0"/>
            </w:tcBorders>
          </w:tcPr>
          <w:p>
            <w:pPr>
              <w:pStyle w:val="Normal"/>
              <w:spacing w:lineRule="atLeast" w:line="0"/>
              <w:ind w:left="120" w:right="0"/>
              <w:rPr>
                <w:rFonts w:ascii="Corbel" w:hAnsi="Corbel" w:eastAsia="Corbel" w:cs="Corbel"/>
                <w:b/>
                <w:sz w:val="23"/>
              </w:rPr>
            </w:pPr>
            <w:r>
              <w:rPr>
                <w:rFonts w:eastAsia="Corbel" w:cs="Corbel" w:ascii="Corbel" w:hAnsi="Corbel"/>
                <w:b/>
                <w:sz w:val="23"/>
              </w:rPr>
              <w:t>Western Australia</w:t>
            </w:r>
          </w:p>
        </w:tc>
        <w:tc>
          <w:tcPr>
            <w:tcW w:w="1540" w:type="dxa"/>
            <w:tcBorders>
              <w:right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60" w:type="dxa"/>
            <w:tcBorders>
              <w:righ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 w:hRule="atLeast"/>
        </w:trPr>
        <w:tc>
          <w:tcPr>
            <w:tcW w:w="5060" w:type="dxa"/>
            <w:tcBorders>
              <w:left w:val="single" w:sz="8" w:space="0" w:color="000000"/>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Bunbury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$312,372</w:t>
            </w:r>
          </w:p>
        </w:tc>
        <w:tc>
          <w:tcPr>
            <w:tcW w:w="156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$312,372</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$624,744</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40" w:right="710" w:gutter="0" w:header="0" w:top="895" w:footer="0" w:bottom="159"/>
          <w:pgNumType w:fmt="decimal"/>
          <w:formProt w:val="false"/>
          <w:textDirection w:val="lrTb"/>
          <w:docGrid w:type="default" w:linePitch="360" w:charSpace="0"/>
        </w:sectPr>
        <w:pStyle w:val="Normal"/>
        <w:spacing w:lineRule="atLeast" w:line="0"/>
        <w:jc w:val="right"/>
        <w:rPr/>
      </w:pPr>
      <w:r>
        <w:rPr/>
        <w:t>Page C-2</w:t>
      </w:r>
    </w:p>
    <w:tbl>
      <w:tblPr>
        <w:tblW w:w="9700" w:type="dxa"/>
        <w:jc w:val="left"/>
        <w:tblInd w:w="0" w:type="dxa"/>
        <w:tblLayout w:type="fixed"/>
        <w:tblCellMar>
          <w:top w:w="0" w:type="dxa"/>
          <w:left w:w="0" w:type="dxa"/>
          <w:bottom w:w="0" w:type="dxa"/>
          <w:right w:w="0" w:type="dxa"/>
        </w:tblCellMar>
      </w:tblPr>
      <w:tblGrid>
        <w:gridCol w:w="5060"/>
        <w:gridCol w:w="1540"/>
        <w:gridCol w:w="1540"/>
        <w:gridCol w:w="23"/>
        <w:gridCol w:w="1537"/>
      </w:tblGrid>
      <w:tr>
        <w:trPr>
          <w:trHeight w:val="382" w:hRule="atLeast"/>
        </w:trPr>
        <w:tc>
          <w:tcPr>
            <w:tcW w:w="5060" w:type="dxa"/>
            <w:tcBorders>
              <w:top w:val="single" w:sz="8" w:space="0" w:color="000000"/>
              <w:left w:val="single" w:sz="8" w:space="0" w:color="000000"/>
              <w:right w:val="single" w:sz="8" w:space="0" w:color="000000"/>
            </w:tcBorders>
          </w:tcPr>
          <w:p>
            <w:pPr>
              <w:pStyle w:val="Normal"/>
              <w:spacing w:lineRule="atLeast" w:line="0"/>
              <w:ind w:left="120" w:right="0"/>
              <w:rPr>
                <w:rFonts w:ascii="Corbel" w:hAnsi="Corbel" w:eastAsia="Corbel" w:cs="Corbel"/>
                <w:b/>
                <w:sz w:val="23"/>
              </w:rPr>
            </w:pPr>
            <w:bookmarkStart w:id="23" w:name="page24"/>
            <w:bookmarkEnd w:id="23"/>
            <w:r>
              <w:rPr>
                <w:rFonts w:eastAsia="Corbel" w:cs="Corbel" w:ascii="Corbel" w:hAnsi="Corbel"/>
                <w:b/>
                <w:sz w:val="23"/>
              </w:rPr>
              <w:t>Centre Name</w:t>
            </w:r>
          </w:p>
        </w:tc>
        <w:tc>
          <w:tcPr>
            <w:tcW w:w="1540" w:type="dxa"/>
            <w:tcBorders>
              <w:top w:val="single" w:sz="8" w:space="0" w:color="000000"/>
              <w:right w:val="single" w:sz="8" w:space="0" w:color="000000"/>
            </w:tcBorders>
          </w:tcPr>
          <w:p>
            <w:pPr>
              <w:pStyle w:val="Normal"/>
              <w:spacing w:lineRule="atLeast" w:line="0"/>
              <w:ind w:right="328"/>
              <w:jc w:val="right"/>
              <w:rPr>
                <w:rFonts w:ascii="Corbel" w:hAnsi="Corbel" w:eastAsia="Corbel" w:cs="Corbel"/>
                <w:b/>
                <w:sz w:val="23"/>
              </w:rPr>
            </w:pPr>
            <w:r>
              <w:rPr>
                <w:rFonts w:eastAsia="Corbel" w:cs="Corbel" w:ascii="Corbel" w:hAnsi="Corbel"/>
                <w:b/>
                <w:sz w:val="23"/>
              </w:rPr>
              <w:t>2015-16</w:t>
            </w:r>
          </w:p>
        </w:tc>
        <w:tc>
          <w:tcPr>
            <w:tcW w:w="1540" w:type="dxa"/>
            <w:tcBorders>
              <w:top w:val="single" w:sz="8" w:space="0" w:color="000000"/>
              <w:right w:val="single" w:sz="8" w:space="0" w:color="000000"/>
            </w:tcBorders>
          </w:tcPr>
          <w:p>
            <w:pPr>
              <w:pStyle w:val="Normal"/>
              <w:spacing w:lineRule="atLeast" w:line="0"/>
              <w:ind w:right="308"/>
              <w:jc w:val="right"/>
              <w:rPr>
                <w:rFonts w:ascii="Corbel" w:hAnsi="Corbel" w:eastAsia="Corbel" w:cs="Corbel"/>
                <w:b/>
                <w:sz w:val="23"/>
              </w:rPr>
            </w:pPr>
            <w:r>
              <w:rPr>
                <w:rFonts w:eastAsia="Corbel" w:cs="Corbel" w:ascii="Corbel" w:hAnsi="Corbel"/>
                <w:b/>
                <w:sz w:val="23"/>
              </w:rPr>
              <w:t>2016-17</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37" w:type="dxa"/>
            <w:tcBorders>
              <w:top w:val="single" w:sz="8" w:space="0" w:color="000000"/>
              <w:right w:val="single" w:sz="8" w:space="0" w:color="000000"/>
            </w:tcBorders>
          </w:tcPr>
          <w:p>
            <w:pPr>
              <w:pStyle w:val="Normal"/>
              <w:spacing w:lineRule="atLeast" w:line="0"/>
              <w:ind w:right="408"/>
              <w:jc w:val="right"/>
              <w:rPr>
                <w:rFonts w:ascii="Corbel" w:hAnsi="Corbel" w:eastAsia="Corbel" w:cs="Corbel"/>
                <w:b/>
                <w:sz w:val="23"/>
              </w:rPr>
            </w:pPr>
            <w:r>
              <w:rPr>
                <w:rFonts w:eastAsia="Corbel" w:cs="Corbel" w:ascii="Corbel" w:hAnsi="Corbel"/>
                <w:b/>
                <w:sz w:val="23"/>
              </w:rPr>
              <w:t>Total</w:t>
            </w:r>
          </w:p>
        </w:tc>
      </w:tr>
      <w:tr>
        <w:trPr>
          <w:trHeight w:val="14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Consumer Credit Legal Service (WA)</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$259,405</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$259,405</w:t>
            </w:r>
          </w:p>
        </w:tc>
        <w:tc>
          <w:tcPr>
            <w:tcW w:w="1560" w:type="dxa"/>
            <w:gridSpan w:val="2"/>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$518,810</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Gosnells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$380,171</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$380,171</w:t>
            </w:r>
          </w:p>
        </w:tc>
        <w:tc>
          <w:tcPr>
            <w:tcW w:w="1560" w:type="dxa"/>
            <w:gridSpan w:val="2"/>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$760,342</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Kimberley Community Legal Services</w:t>
            </w:r>
          </w:p>
        </w:tc>
        <w:tc>
          <w:tcPr>
            <w:tcW w:w="15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$477,002</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$477,002</w:t>
            </w:r>
          </w:p>
        </w:tc>
        <w:tc>
          <w:tcPr>
            <w:tcW w:w="1560" w:type="dxa"/>
            <w:gridSpan w:val="2"/>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$954,004</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Northern Suburbs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$432,900</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$432,900</w:t>
            </w:r>
          </w:p>
        </w:tc>
        <w:tc>
          <w:tcPr>
            <w:tcW w:w="1560" w:type="dxa"/>
            <w:gridSpan w:val="2"/>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$865,800</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Peel Community Legal Service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$138,139</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$138,139</w:t>
            </w:r>
          </w:p>
        </w:tc>
        <w:tc>
          <w:tcPr>
            <w:tcW w:w="1560" w:type="dxa"/>
            <w:gridSpan w:val="2"/>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$276,278</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Pilbara Community Legal Service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$342,346</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$342,346</w:t>
            </w:r>
          </w:p>
        </w:tc>
        <w:tc>
          <w:tcPr>
            <w:tcW w:w="1560" w:type="dxa"/>
            <w:gridSpan w:val="2"/>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$684,692</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Welfare Rights and Advocacy Service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$285,240</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$285,240</w:t>
            </w:r>
          </w:p>
        </w:tc>
        <w:tc>
          <w:tcPr>
            <w:tcW w:w="1560" w:type="dxa"/>
            <w:gridSpan w:val="2"/>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$570,480</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Wheatbelt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$90,000</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$90,000</w:t>
            </w:r>
          </w:p>
        </w:tc>
        <w:tc>
          <w:tcPr>
            <w:tcW w:w="1560" w:type="dxa"/>
            <w:gridSpan w:val="2"/>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$180,000</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3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b/>
                <w:sz w:val="23"/>
              </w:rPr>
            </w:pPr>
            <w:r>
              <w:rPr>
                <w:rFonts w:eastAsia="Corbel" w:cs="Corbel" w:ascii="Corbel" w:hAnsi="Corbel"/>
                <w:b/>
                <w:sz w:val="23"/>
              </w:rPr>
              <w:t>Western Australia Total</w:t>
            </w:r>
          </w:p>
        </w:tc>
        <w:tc>
          <w:tcPr>
            <w:tcW w:w="1540" w:type="dxa"/>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$2,717,575</w:t>
            </w:r>
          </w:p>
        </w:tc>
        <w:tc>
          <w:tcPr>
            <w:tcW w:w="1540" w:type="dxa"/>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$2,717,575</w:t>
            </w:r>
          </w:p>
        </w:tc>
        <w:tc>
          <w:tcPr>
            <w:tcW w:w="1560" w:type="dxa"/>
            <w:gridSpan w:val="2"/>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$5,435,150</w:t>
            </w:r>
          </w:p>
        </w:tc>
      </w:tr>
      <w:tr>
        <w:trPr>
          <w:trHeight w:val="9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8"/>
              </w:rPr>
            </w:pPr>
            <w:r>
              <w:rPr>
                <w:rFonts w:eastAsia="Times New Roman" w:cs="Times New Roman" w:ascii="Times New Roman" w:hAnsi="Times New Roman"/>
                <w:b/>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37" w:hRule="atLeast"/>
        </w:trPr>
        <w:tc>
          <w:tcPr>
            <w:tcW w:w="5060" w:type="dxa"/>
            <w:tcBorders>
              <w:left w:val="single" w:sz="8" w:space="0" w:color="000000"/>
              <w:right w:val="single" w:sz="8" w:space="0" w:color="C0C0C0"/>
            </w:tcBorders>
          </w:tcPr>
          <w:p>
            <w:pPr>
              <w:pStyle w:val="Normal"/>
              <w:spacing w:lineRule="atLeast" w:line="0"/>
              <w:ind w:left="120" w:right="0"/>
              <w:rPr>
                <w:rFonts w:ascii="Corbel" w:hAnsi="Corbel" w:eastAsia="Corbel" w:cs="Corbel"/>
                <w:b/>
                <w:sz w:val="23"/>
              </w:rPr>
            </w:pPr>
            <w:r>
              <w:rPr>
                <w:rFonts w:eastAsia="Corbel" w:cs="Corbel" w:ascii="Corbel" w:hAnsi="Corbel"/>
                <w:b/>
                <w:sz w:val="23"/>
              </w:rPr>
              <w:t>South Australia</w:t>
            </w:r>
          </w:p>
        </w:tc>
        <w:tc>
          <w:tcPr>
            <w:tcW w:w="1540" w:type="dxa"/>
            <w:tcBorders>
              <w:right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righ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8" w:hRule="atLeast"/>
        </w:trPr>
        <w:tc>
          <w:tcPr>
            <w:tcW w:w="5060" w:type="dxa"/>
            <w:tcBorders>
              <w:left w:val="single" w:sz="8" w:space="0" w:color="000000"/>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Northern Community Legal Service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$578,835</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$578,835</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$1,157,670</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Riverland Community Legal Service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$442,924</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$442,924</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$885,848</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South East Community Legal Service</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$482,212</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$482,212</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$964,424</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Southern Community Justice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$620,279</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$620,279</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$1,240,558</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Welfare Rights Centre (SA)</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$338,956</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$338,956</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$677,912</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Women's Legal Service (SA)</w:t>
            </w:r>
          </w:p>
        </w:tc>
        <w:tc>
          <w:tcPr>
            <w:tcW w:w="15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$725,251</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$725,251</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$1,450,502</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3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b/>
                <w:sz w:val="23"/>
              </w:rPr>
            </w:pPr>
            <w:r>
              <w:rPr>
                <w:rFonts w:eastAsia="Corbel" w:cs="Corbel" w:ascii="Corbel" w:hAnsi="Corbel"/>
                <w:b/>
                <w:sz w:val="23"/>
              </w:rPr>
              <w:t>South Australia Total</w:t>
            </w:r>
          </w:p>
        </w:tc>
        <w:tc>
          <w:tcPr>
            <w:tcW w:w="1540" w:type="dxa"/>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$3,188,457</w:t>
            </w:r>
          </w:p>
        </w:tc>
        <w:tc>
          <w:tcPr>
            <w:tcW w:w="1540" w:type="dxa"/>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$3,188,457</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37" w:type="dxa"/>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$6,376,914</w:t>
            </w:r>
          </w:p>
        </w:tc>
      </w:tr>
      <w:tr>
        <w:trPr>
          <w:trHeight w:val="7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22" w:hRule="atLeast"/>
        </w:trPr>
        <w:tc>
          <w:tcPr>
            <w:tcW w:w="5060" w:type="dxa"/>
            <w:tcBorders>
              <w:left w:val="single" w:sz="8" w:space="0" w:color="000000"/>
              <w:right w:val="single" w:sz="8" w:space="0" w:color="C0C0C0"/>
            </w:tcBorders>
          </w:tcPr>
          <w:p>
            <w:pPr>
              <w:pStyle w:val="Normal"/>
              <w:spacing w:lineRule="atLeast" w:line="0"/>
              <w:ind w:left="120" w:right="0"/>
              <w:rPr>
                <w:rFonts w:ascii="Corbel" w:hAnsi="Corbel" w:eastAsia="Corbel" w:cs="Corbel"/>
                <w:b/>
                <w:sz w:val="23"/>
              </w:rPr>
            </w:pPr>
            <w:r>
              <w:rPr>
                <w:rFonts w:eastAsia="Corbel" w:cs="Corbel" w:ascii="Corbel" w:hAnsi="Corbel"/>
                <w:b/>
                <w:sz w:val="23"/>
              </w:rPr>
              <w:t>Tasmania</w:t>
            </w:r>
          </w:p>
        </w:tc>
        <w:tc>
          <w:tcPr>
            <w:tcW w:w="1540" w:type="dxa"/>
            <w:tcBorders>
              <w:right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righ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3" w:hRule="atLeast"/>
        </w:trPr>
        <w:tc>
          <w:tcPr>
            <w:tcW w:w="5060" w:type="dxa"/>
            <w:tcBorders>
              <w:left w:val="single" w:sz="8" w:space="0" w:color="000000"/>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North West Community Legal Centre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$209,148</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$209,148</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$418,296</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Women's Legal Service (Tas)</w:t>
            </w:r>
          </w:p>
        </w:tc>
        <w:tc>
          <w:tcPr>
            <w:tcW w:w="15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$387,353</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$387,353</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$774,706</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4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b/>
                <w:sz w:val="23"/>
              </w:rPr>
            </w:pPr>
            <w:r>
              <w:rPr>
                <w:rFonts w:eastAsia="Corbel" w:cs="Corbel" w:ascii="Corbel" w:hAnsi="Corbel"/>
                <w:b/>
                <w:sz w:val="23"/>
              </w:rPr>
              <w:t>Tasmania Total</w:t>
            </w:r>
          </w:p>
        </w:tc>
        <w:tc>
          <w:tcPr>
            <w:tcW w:w="1540" w:type="dxa"/>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$596,501</w:t>
            </w:r>
          </w:p>
        </w:tc>
        <w:tc>
          <w:tcPr>
            <w:tcW w:w="1540" w:type="dxa"/>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$596,501</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37" w:type="dxa"/>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$1,193,002</w:t>
            </w:r>
          </w:p>
        </w:tc>
      </w:tr>
      <w:tr>
        <w:trPr>
          <w:trHeight w:val="10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80" w:hRule="atLeast"/>
        </w:trPr>
        <w:tc>
          <w:tcPr>
            <w:tcW w:w="5060" w:type="dxa"/>
            <w:tcBorders>
              <w:left w:val="single" w:sz="8" w:space="0" w:color="000000"/>
              <w:bottom w:val="single" w:sz="8" w:space="0" w:color="C0C0C0"/>
              <w:right w:val="single" w:sz="8" w:space="0" w:color="C0C0C0"/>
            </w:tcBorders>
          </w:tcPr>
          <w:p>
            <w:pPr>
              <w:pStyle w:val="Normal"/>
              <w:spacing w:lineRule="atLeast" w:line="0"/>
              <w:ind w:left="120" w:right="0"/>
              <w:rPr>
                <w:rFonts w:ascii="Corbel" w:hAnsi="Corbel" w:eastAsia="Corbel" w:cs="Corbel"/>
                <w:b/>
                <w:sz w:val="23"/>
              </w:rPr>
            </w:pPr>
            <w:r>
              <w:rPr>
                <w:rFonts w:eastAsia="Corbel" w:cs="Corbel" w:ascii="Corbel" w:hAnsi="Corbel"/>
                <w:b/>
                <w:sz w:val="23"/>
              </w:rPr>
              <w:t>Australian Capital Territory</w:t>
            </w:r>
          </w:p>
        </w:tc>
        <w:tc>
          <w:tcPr>
            <w:tcW w:w="15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bottom w:val="single" w:sz="8" w:space="0" w:color="C0C0C0"/>
              <w:righ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tcBorders>
              <w:bottom w:val="single" w:sz="8" w:space="0" w:color="C0C0C0"/>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5060" w:type="dxa"/>
            <w:tcBorders>
              <w:top w:val="single" w:sz="8" w:space="0" w:color="000000"/>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Canberra Community Law</w:t>
            </w:r>
          </w:p>
        </w:tc>
        <w:tc>
          <w:tcPr>
            <w:tcW w:w="1540" w:type="dxa"/>
            <w:tcBorders>
              <w:top w:val="single" w:sz="8" w:space="0" w:color="000000"/>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$473,647</w:t>
            </w:r>
          </w:p>
        </w:tc>
        <w:tc>
          <w:tcPr>
            <w:tcW w:w="1540" w:type="dxa"/>
            <w:tcBorders>
              <w:top w:val="single" w:sz="8" w:space="0" w:color="000000"/>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$473,647</w:t>
            </w:r>
          </w:p>
        </w:tc>
        <w:tc>
          <w:tcPr>
            <w:tcW w:w="1560" w:type="dxa"/>
            <w:gridSpan w:val="2"/>
            <w:tcBorders>
              <w:top w:val="single" w:sz="8" w:space="0" w:color="000000"/>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$947,294</w:t>
            </w:r>
          </w:p>
        </w:tc>
      </w:tr>
      <w:tr>
        <w:trPr>
          <w:trHeight w:val="6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560"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Women's Legal Centre (ACT &amp; Region)</w:t>
            </w:r>
          </w:p>
        </w:tc>
        <w:tc>
          <w:tcPr>
            <w:tcW w:w="15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$396,170</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$396,170</w:t>
            </w:r>
          </w:p>
        </w:tc>
        <w:tc>
          <w:tcPr>
            <w:tcW w:w="1560" w:type="dxa"/>
            <w:gridSpan w:val="2"/>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$792,340</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7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b/>
                <w:sz w:val="23"/>
              </w:rPr>
            </w:pPr>
            <w:r>
              <w:rPr>
                <w:rFonts w:eastAsia="Corbel" w:cs="Corbel" w:ascii="Corbel" w:hAnsi="Corbel"/>
                <w:b/>
                <w:sz w:val="23"/>
              </w:rPr>
              <w:t>Australian Capital Territory Total</w:t>
            </w:r>
          </w:p>
        </w:tc>
        <w:tc>
          <w:tcPr>
            <w:tcW w:w="1540" w:type="dxa"/>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$869,817</w:t>
            </w:r>
          </w:p>
        </w:tc>
        <w:tc>
          <w:tcPr>
            <w:tcW w:w="1540" w:type="dxa"/>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$869,817</w:t>
            </w:r>
          </w:p>
        </w:tc>
        <w:tc>
          <w:tcPr>
            <w:tcW w:w="1560" w:type="dxa"/>
            <w:gridSpan w:val="2"/>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$1,739,634</w:t>
            </w:r>
          </w:p>
        </w:tc>
      </w:tr>
      <w:tr>
        <w:trPr>
          <w:trHeight w:val="11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302" w:hRule="atLeast"/>
        </w:trPr>
        <w:tc>
          <w:tcPr>
            <w:tcW w:w="5060" w:type="dxa"/>
            <w:tcBorders>
              <w:left w:val="single" w:sz="8" w:space="0" w:color="000000"/>
              <w:right w:val="single" w:sz="8" w:space="0" w:color="C0C0C0"/>
            </w:tcBorders>
          </w:tcPr>
          <w:p>
            <w:pPr>
              <w:pStyle w:val="Normal"/>
              <w:spacing w:lineRule="atLeast" w:line="0"/>
              <w:ind w:left="120" w:right="0"/>
              <w:rPr>
                <w:rFonts w:ascii="Corbel" w:hAnsi="Corbel" w:eastAsia="Corbel" w:cs="Corbel"/>
                <w:b/>
                <w:sz w:val="23"/>
              </w:rPr>
            </w:pPr>
            <w:r>
              <w:rPr>
                <w:rFonts w:eastAsia="Corbel" w:cs="Corbel" w:ascii="Corbel" w:hAnsi="Corbel"/>
                <w:b/>
                <w:sz w:val="23"/>
              </w:rPr>
              <w:t>Northern Territory</w:t>
            </w:r>
          </w:p>
        </w:tc>
        <w:tc>
          <w:tcPr>
            <w:tcW w:w="1540" w:type="dxa"/>
            <w:tcBorders>
              <w:right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40" w:type="dxa"/>
            <w:tcBorders>
              <w:right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tcBorders>
              <w:righ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3" w:hRule="atLeast"/>
        </w:trPr>
        <w:tc>
          <w:tcPr>
            <w:tcW w:w="5060" w:type="dxa"/>
            <w:tcBorders>
              <w:left w:val="single" w:sz="8" w:space="0" w:color="000000"/>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17"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Central Australian Women's Legal Service</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$382,016</w:t>
            </w:r>
          </w:p>
        </w:tc>
        <w:tc>
          <w:tcPr>
            <w:tcW w:w="1540" w:type="dxa"/>
            <w:tcBorders>
              <w:right w:val="single" w:sz="8" w:space="0" w:color="000000"/>
            </w:tcBorders>
          </w:tcPr>
          <w:p>
            <w:pPr>
              <w:pStyle w:val="Normal"/>
              <w:spacing w:lineRule="atLeast" w:line="0"/>
              <w:jc w:val="right"/>
              <w:rPr>
                <w:rFonts w:ascii="Corbel" w:hAnsi="Corbel" w:eastAsia="Corbel" w:cs="Corbel"/>
                <w:sz w:val="23"/>
              </w:rPr>
            </w:pPr>
            <w:r>
              <w:rPr>
                <w:rFonts w:eastAsia="Corbel" w:cs="Corbel" w:ascii="Corbel" w:hAnsi="Corbel"/>
                <w:sz w:val="23"/>
              </w:rPr>
              <w:t>$382,016</w:t>
            </w:r>
          </w:p>
        </w:tc>
        <w:tc>
          <w:tcPr>
            <w:tcW w:w="1560" w:type="dxa"/>
            <w:gridSpan w:val="2"/>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$764,032</w:t>
            </w:r>
          </w:p>
        </w:tc>
      </w:tr>
      <w:tr>
        <w:trPr>
          <w:trHeight w:val="8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60"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30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sz w:val="23"/>
              </w:rPr>
            </w:pPr>
            <w:r>
              <w:rPr>
                <w:rFonts w:eastAsia="Corbel" w:cs="Corbel" w:ascii="Corbel" w:hAnsi="Corbel"/>
                <w:sz w:val="23"/>
              </w:rPr>
              <w:t>Darwin Community Legal Service</w:t>
            </w:r>
          </w:p>
        </w:tc>
        <w:tc>
          <w:tcPr>
            <w:tcW w:w="1540" w:type="dxa"/>
            <w:tcBorders>
              <w:right w:val="single" w:sz="8" w:space="0" w:color="000000"/>
            </w:tcBorders>
          </w:tcPr>
          <w:p>
            <w:pPr>
              <w:pStyle w:val="Normal"/>
              <w:spacing w:lineRule="atLeast" w:line="0"/>
              <w:ind w:right="28"/>
              <w:jc w:val="right"/>
              <w:rPr>
                <w:rFonts w:ascii="Corbel" w:hAnsi="Corbel" w:eastAsia="Corbel" w:cs="Corbel"/>
                <w:sz w:val="23"/>
              </w:rPr>
            </w:pPr>
            <w:r>
              <w:rPr>
                <w:rFonts w:eastAsia="Corbel" w:cs="Corbel" w:ascii="Corbel" w:hAnsi="Corbel"/>
                <w:sz w:val="23"/>
              </w:rPr>
              <w:t>$677,099</w:t>
            </w:r>
          </w:p>
        </w:tc>
        <w:tc>
          <w:tcPr>
            <w:tcW w:w="1540" w:type="dxa"/>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$677,099</w:t>
            </w:r>
          </w:p>
        </w:tc>
        <w:tc>
          <w:tcPr>
            <w:tcW w:w="1560" w:type="dxa"/>
            <w:gridSpan w:val="2"/>
            <w:tcBorders>
              <w:right w:val="single" w:sz="8" w:space="0" w:color="000000"/>
            </w:tcBorders>
          </w:tcPr>
          <w:p>
            <w:pPr>
              <w:pStyle w:val="Normal"/>
              <w:spacing w:lineRule="atLeast" w:line="0"/>
              <w:ind w:right="8"/>
              <w:jc w:val="right"/>
              <w:rPr>
                <w:rFonts w:ascii="Corbel" w:hAnsi="Corbel" w:eastAsia="Corbel" w:cs="Corbel"/>
                <w:sz w:val="23"/>
              </w:rPr>
            </w:pPr>
            <w:r>
              <w:rPr>
                <w:rFonts w:eastAsia="Corbel" w:cs="Corbel" w:ascii="Corbel" w:hAnsi="Corbel"/>
                <w:sz w:val="23"/>
              </w:rPr>
              <w:t>$1,354,198</w:t>
            </w:r>
          </w:p>
        </w:tc>
      </w:tr>
      <w:tr>
        <w:trPr>
          <w:trHeight w:val="9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6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b/>
                <w:sz w:val="23"/>
              </w:rPr>
            </w:pPr>
            <w:r>
              <w:rPr>
                <w:rFonts w:eastAsia="Corbel" w:cs="Corbel" w:ascii="Corbel" w:hAnsi="Corbel"/>
                <w:b/>
                <w:sz w:val="23"/>
              </w:rPr>
              <w:t>Northern Territory Total</w:t>
            </w:r>
          </w:p>
        </w:tc>
        <w:tc>
          <w:tcPr>
            <w:tcW w:w="1540" w:type="dxa"/>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$1,059,115</w:t>
            </w:r>
          </w:p>
        </w:tc>
        <w:tc>
          <w:tcPr>
            <w:tcW w:w="1540" w:type="dxa"/>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$1,059,115</w:t>
            </w:r>
          </w:p>
        </w:tc>
        <w:tc>
          <w:tcPr>
            <w:tcW w:w="1560" w:type="dxa"/>
            <w:gridSpan w:val="2"/>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$2,118,230</w:t>
            </w:r>
          </w:p>
        </w:tc>
      </w:tr>
      <w:tr>
        <w:trPr>
          <w:trHeight w:val="128"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560" w:type="dxa"/>
            <w:gridSpan w:val="2"/>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305" w:hRule="atLeast"/>
        </w:trPr>
        <w:tc>
          <w:tcPr>
            <w:tcW w:w="50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2" w:hRule="atLeast"/>
        </w:trPr>
        <w:tc>
          <w:tcPr>
            <w:tcW w:w="5060" w:type="dxa"/>
            <w:tcBorders>
              <w:left w:val="single" w:sz="8" w:space="0" w:color="000000"/>
              <w:right w:val="single" w:sz="8" w:space="0" w:color="000000"/>
            </w:tcBorders>
          </w:tcPr>
          <w:p>
            <w:pPr>
              <w:pStyle w:val="Normal"/>
              <w:spacing w:lineRule="atLeast" w:line="0"/>
              <w:ind w:left="120" w:right="0"/>
              <w:rPr>
                <w:rFonts w:ascii="Corbel" w:hAnsi="Corbel" w:eastAsia="Corbel" w:cs="Corbel"/>
                <w:b/>
                <w:sz w:val="23"/>
              </w:rPr>
            </w:pPr>
            <w:r>
              <w:rPr>
                <w:rFonts w:eastAsia="Corbel" w:cs="Corbel" w:ascii="Corbel" w:hAnsi="Corbel"/>
                <w:b/>
                <w:sz w:val="23"/>
              </w:rPr>
              <w:t>Overall Total</w:t>
            </w:r>
          </w:p>
        </w:tc>
        <w:tc>
          <w:tcPr>
            <w:tcW w:w="1540" w:type="dxa"/>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$18,799,432</w:t>
            </w:r>
          </w:p>
        </w:tc>
        <w:tc>
          <w:tcPr>
            <w:tcW w:w="1540" w:type="dxa"/>
            <w:tcBorders>
              <w:right w:val="single" w:sz="8" w:space="0" w:color="000000"/>
            </w:tcBorders>
          </w:tcPr>
          <w:p>
            <w:pPr>
              <w:pStyle w:val="Normal"/>
              <w:spacing w:lineRule="atLeast" w:line="0"/>
              <w:ind w:right="28"/>
              <w:jc w:val="right"/>
              <w:rPr>
                <w:rFonts w:ascii="Corbel" w:hAnsi="Corbel" w:eastAsia="Corbel" w:cs="Corbel"/>
                <w:b/>
                <w:sz w:val="23"/>
              </w:rPr>
            </w:pPr>
            <w:r>
              <w:rPr>
                <w:rFonts w:eastAsia="Corbel" w:cs="Corbel" w:ascii="Corbel" w:hAnsi="Corbel"/>
                <w:b/>
                <w:sz w:val="23"/>
              </w:rPr>
              <w:t>$18,799,432</w:t>
            </w:r>
          </w:p>
        </w:tc>
        <w:tc>
          <w:tcPr>
            <w:tcW w:w="23"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537" w:type="dxa"/>
            <w:tcBorders>
              <w:right w:val="single" w:sz="8" w:space="0" w:color="000000"/>
            </w:tcBorders>
          </w:tcPr>
          <w:p>
            <w:pPr>
              <w:pStyle w:val="Normal"/>
              <w:spacing w:lineRule="atLeast" w:line="0"/>
              <w:ind w:right="48"/>
              <w:jc w:val="right"/>
              <w:rPr>
                <w:rFonts w:ascii="Corbel" w:hAnsi="Corbel" w:eastAsia="Corbel" w:cs="Corbel"/>
                <w:b/>
                <w:sz w:val="23"/>
              </w:rPr>
            </w:pPr>
            <w:r>
              <w:rPr>
                <w:rFonts w:eastAsia="Corbel" w:cs="Corbel" w:ascii="Corbel" w:hAnsi="Corbel"/>
                <w:b/>
                <w:sz w:val="23"/>
              </w:rPr>
              <w:t>$37,598,864</w:t>
            </w:r>
          </w:p>
        </w:tc>
      </w:tr>
      <w:tr>
        <w:trPr>
          <w:trHeight w:val="113" w:hRule="atLeast"/>
        </w:trPr>
        <w:tc>
          <w:tcPr>
            <w:tcW w:w="5060" w:type="dxa"/>
            <w:tcBorders>
              <w:left w:val="single" w:sz="8" w:space="0" w:color="000000"/>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40"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37" w:type="dxa"/>
            <w:tcBorders>
              <w:bottom w:val="single" w:sz="8" w:space="0" w:color="000000"/>
              <w:righ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right"/>
        <w:rPr>
          <w:rFonts w:ascii="Times New Roman" w:hAnsi="Times New Roman" w:eastAsia="Times New Roman" w:cs="Times New Roman"/>
          <w:color w:val="3C4A67"/>
          <w:sz w:val="18"/>
        </w:rPr>
      </w:pPr>
      <w:r>
        <w:rPr>
          <w:rFonts w:eastAsia="Times New Roman" w:cs="Times New Roman" w:ascii="Times New Roman" w:hAnsi="Times New Roman"/>
          <w:color w:val="3C4A67"/>
          <w:sz w:val="18"/>
        </w:rPr>
        <w:t>Page C-3</w:t>
      </w:r>
    </w:p>
    <w:sectPr>
      <w:type w:val="nextPage"/>
      <w:pgSz w:w="11906" w:h="16838"/>
      <w:pgMar w:left="940" w:right="710" w:gutter="0" w:header="0" w:top="895" w:footer="0" w:bottom="15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Consolas">
    <w:charset w:val="00"/>
    <w:family w:val="auto"/>
    <w:pitch w:val="default"/>
  </w:font>
  <w:font w:name="Wingdings">
    <w:charset w:val="02"/>
    <w:family w:val="auto"/>
    <w:pitch w:val="variable"/>
  </w:font>
  <w:font w:name="Corbel">
    <w:charset w:val="00"/>
    <w:family w:val="auto"/>
    <w:pitch w:val="variable"/>
  </w:font>
  <w:font w:name="Book Antiqua">
    <w:charset w:val="00"/>
    <w:family w:val="roman"/>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left"/>
      <w:pPr>
        <w:tabs>
          <w:tab w:val="num" w:pos="0"/>
        </w:tabs>
        <w:ind w:left="0" w:hanging="0"/>
      </w:pPr>
      <w:rPr>
        <w:rFonts w:ascii="Wingdings" w:hAnsi="Wingdings" w:cs="Wingdings" w:hint="default"/>
      </w:rPr>
    </w:lvl>
    <w:lvl w:ilvl="1">
      <w:start w:val="1"/>
      <w:numFmt w:val="bullet"/>
      <w:lvlText w:val="l"/>
      <w:lvlJc w:val="left"/>
      <w:pPr>
        <w:tabs>
          <w:tab w:val="num" w:pos="0"/>
        </w:tabs>
        <w:ind w:left="0" w:hanging="0"/>
      </w:pPr>
      <w:rPr>
        <w:rFonts w:ascii="Wingdings" w:hAnsi="Wingdings" w:cs="Wingdings"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
    <w:lvl w:ilvl="0">
      <w:start w:val="1"/>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
    <w:lvl w:ilvl="0">
      <w:start w:val="6"/>
      <w:numFmt w:val="decimal"/>
      <w:lvlText w:val="%1."/>
      <w:lvlJc w:val="left"/>
      <w:pPr>
        <w:tabs>
          <w:tab w:val="num" w:pos="0"/>
        </w:tabs>
        <w:ind w:left="0" w:hanging="0"/>
      </w:pPr>
    </w:lvl>
  </w:abstractNum>
  <w:abstractNum w:abstractNumId="4">
    <w:lvl w:ilvl="0">
      <w:start w:val="7"/>
      <w:numFmt w:val="decimal"/>
      <w:lvlText w:val="%1."/>
      <w:lvlJc w:val="left"/>
      <w:pPr>
        <w:tabs>
          <w:tab w:val="num" w:pos="0"/>
        </w:tabs>
        <w:ind w:left="0" w:hanging="0"/>
      </w:pPr>
    </w:lvl>
  </w:abstractNum>
  <w:abstractNum w:abstractNumId="5">
    <w:lvl w:ilvl="0">
      <w:start w:val="8"/>
      <w:numFmt w:val="decimal"/>
      <w:lvlText w:val="%1."/>
      <w:lvlJc w:val="left"/>
      <w:pPr>
        <w:tabs>
          <w:tab w:val="num" w:pos="0"/>
        </w:tabs>
        <w:ind w:left="0" w:hanging="0"/>
      </w:pPr>
    </w:lvl>
  </w:abstractNum>
  <w:abstractNum w:abstractNumId="6">
    <w:lvl w:ilvl="0">
      <w:start w:val="9"/>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7">
    <w:lvl w:ilvl="0">
      <w:start w:val="10"/>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8">
    <w:lvl w:ilvl="0">
      <w:start w:val="11"/>
      <w:numFmt w:val="decimal"/>
      <w:lvlText w:val="%1."/>
      <w:lvlJc w:val="left"/>
      <w:pPr>
        <w:tabs>
          <w:tab w:val="num" w:pos="0"/>
        </w:tabs>
        <w:ind w:left="0" w:hanging="0"/>
      </w:pPr>
    </w:lvl>
  </w:abstractNum>
  <w:abstractNum w:abstractNumId="9">
    <w:lvl w:ilvl="0">
      <w:start w:val="12"/>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0">
    <w:lvl w:ilvl="0">
      <w:start w:val="14"/>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1">
    <w:lvl w:ilvl="0">
      <w:start w:val="8"/>
      <w:numFmt w:val="lowerLetter"/>
      <w:lvlText w:val="(%1)"/>
      <w:lvlJc w:val="left"/>
      <w:pPr>
        <w:tabs>
          <w:tab w:val="num" w:pos="0"/>
        </w:tabs>
        <w:ind w:left="0" w:hanging="0"/>
      </w:pPr>
    </w:lvl>
  </w:abstractNum>
  <w:abstractNum w:abstractNumId="12">
    <w:lvl w:ilvl="0">
      <w:start w:val="15"/>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3">
    <w:lvl w:ilvl="0">
      <w:start w:val="17"/>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4">
    <w:lvl w:ilvl="0">
      <w:start w:val="1"/>
      <w:numFmt w:val="decimal"/>
      <w:lvlText w:val="%1"/>
      <w:lvlJc w:val="left"/>
      <w:pPr>
        <w:tabs>
          <w:tab w:val="num" w:pos="0"/>
        </w:tabs>
        <w:ind w:left="0" w:hanging="0"/>
      </w:pPr>
    </w:lvl>
  </w:abstractNum>
  <w:abstractNum w:abstractNumId="15">
    <w:lvl w:ilvl="0">
      <w:start w:val="4"/>
      <w:numFmt w:val="lowerLetter"/>
      <w:lvlText w:val="(%1)"/>
      <w:lvlJc w:val="left"/>
      <w:pPr>
        <w:tabs>
          <w:tab w:val="num" w:pos="0"/>
        </w:tabs>
        <w:ind w:left="0" w:hanging="0"/>
      </w:pPr>
    </w:lvl>
  </w:abstractNum>
  <w:abstractNum w:abstractNumId="16">
    <w:lvl w:ilvl="0">
      <w:start w:val="18"/>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7">
    <w:lvl w:ilvl="0">
      <w:start w:val="19"/>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18">
    <w:lvl w:ilvl="0">
      <w:start w:val="6"/>
      <w:numFmt w:val="lowerLetter"/>
      <w:lvlText w:val="(%1)"/>
      <w:lvlJc w:val="left"/>
      <w:pPr>
        <w:tabs>
          <w:tab w:val="num" w:pos="0"/>
        </w:tabs>
        <w:ind w:left="0" w:hanging="0"/>
      </w:pPr>
    </w:lvl>
  </w:abstractNum>
  <w:abstractNum w:abstractNumId="19">
    <w:lvl w:ilvl="0">
      <w:start w:val="20"/>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0">
    <w:lvl w:ilvl="0">
      <w:start w:val="23"/>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1">
    <w:lvl w:ilvl="0">
      <w:start w:val="25"/>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2">
    <w:lvl w:ilvl="0">
      <w:start w:val="2"/>
      <w:numFmt w:val="decimal"/>
      <w:lvlText w:val="%1"/>
      <w:lvlJc w:val="left"/>
      <w:pPr>
        <w:tabs>
          <w:tab w:val="num" w:pos="0"/>
        </w:tabs>
        <w:ind w:left="0" w:hanging="0"/>
      </w:pPr>
    </w:lvl>
  </w:abstractNum>
  <w:abstractNum w:abstractNumId="23">
    <w:lvl w:ilvl="0">
      <w:start w:val="29"/>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4">
    <w:lvl w:ilvl="0">
      <w:start w:val="31"/>
      <w:numFmt w:val="decimal"/>
      <w:lvlText w:val="%1."/>
      <w:lvlJc w:val="left"/>
      <w:pPr>
        <w:tabs>
          <w:tab w:val="num" w:pos="0"/>
        </w:tabs>
        <w:ind w:left="0" w:hanging="0"/>
      </w:pPr>
    </w:lvl>
  </w:abstractNum>
  <w:abstractNum w:abstractNumId="25">
    <w:lvl w:ilvl="0">
      <w:start w:val="33"/>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6">
    <w:lvl w:ilvl="0">
      <w:start w:val="38"/>
      <w:numFmt w:val="decimal"/>
      <w:lvlText w:val="%1."/>
      <w:lvlJc w:val="left"/>
      <w:pPr>
        <w:tabs>
          <w:tab w:val="num" w:pos="0"/>
        </w:tabs>
        <w:ind w:left="0" w:hanging="0"/>
      </w:pPr>
    </w:lvl>
  </w:abstractNum>
  <w:abstractNum w:abstractNumId="27">
    <w:lvl w:ilvl="0">
      <w:start w:val="39"/>
      <w:numFmt w:val="decimal"/>
      <w:lvlText w:val="%1."/>
      <w:lvlJc w:val="left"/>
      <w:pPr>
        <w:tabs>
          <w:tab w:val="num" w:pos="0"/>
        </w:tabs>
        <w:ind w:left="0" w:hanging="0"/>
      </w:pPr>
    </w:lvl>
  </w:abstractNum>
  <w:abstractNum w:abstractNumId="28">
    <w:lvl w:ilvl="0">
      <w:start w:val="40"/>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29">
    <w:lvl w:ilvl="0">
      <w:start w:val="43"/>
      <w:numFmt w:val="decimal"/>
      <w:lvlText w:val="%1."/>
      <w:lvlJc w:val="left"/>
      <w:pPr>
        <w:tabs>
          <w:tab w:val="num" w:pos="0"/>
        </w:tabs>
        <w:ind w:left="0" w:hanging="0"/>
      </w:pPr>
    </w:lvl>
  </w:abstractNum>
  <w:abstractNum w:abstractNumId="30">
    <w:lvl w:ilvl="0">
      <w:start w:val="45"/>
      <w:numFmt w:val="decimal"/>
      <w:lvlText w:val="%1."/>
      <w:lvlJc w:val="left"/>
      <w:pPr>
        <w:tabs>
          <w:tab w:val="num" w:pos="0"/>
        </w:tabs>
        <w:ind w:left="0" w:hanging="0"/>
      </w:pPr>
    </w:lvl>
  </w:abstractNum>
  <w:abstractNum w:abstractNumId="31">
    <w:lvl w:ilvl="0">
      <w:start w:val="48"/>
      <w:numFmt w:val="decimal"/>
      <w:lvlText w:val="%1."/>
      <w:lvlJc w:val="left"/>
      <w:pPr>
        <w:tabs>
          <w:tab w:val="num" w:pos="0"/>
        </w:tabs>
        <w:ind w:left="0" w:hanging="0"/>
      </w:pPr>
    </w:lvl>
  </w:abstractNum>
  <w:abstractNum w:abstractNumId="32">
    <w:lvl w:ilvl="0">
      <w:start w:val="51"/>
      <w:numFmt w:val="decimal"/>
      <w:lvlText w:val="%1."/>
      <w:lvlJc w:val="left"/>
      <w:pPr>
        <w:tabs>
          <w:tab w:val="num" w:pos="0"/>
        </w:tabs>
        <w:ind w:left="0" w:hanging="0"/>
      </w:pPr>
    </w:lvl>
    <w:lvl w:ilvl="1">
      <w:start w:val="1"/>
      <w:numFmt w:val="lowerLetter"/>
      <w:lvlText w:val="(%2)"/>
      <w:lvlJc w:val="left"/>
      <w:pPr>
        <w:tabs>
          <w:tab w:val="num" w:pos="0"/>
        </w:tabs>
        <w:ind w:left="0" w:hanging="0"/>
      </w:pPr>
    </w:lvl>
    <w:lvl w:ilvl="2">
      <w:start w:val="1"/>
      <w:numFmt w:val="lowerRoman"/>
      <w:lvlText w:val="(%3)"/>
      <w:lvlJc w:val="left"/>
      <w:pPr>
        <w:tabs>
          <w:tab w:val="num" w:pos="0"/>
        </w:tabs>
        <w:ind w:left="0" w:hanging="0"/>
      </w:pPr>
    </w:lvl>
    <w:lvl w:ilvl="3">
      <w:start w:val="1"/>
      <w:numFmt w:val="decimal"/>
      <w:lvlText w:val="%4"/>
      <w:lvlJc w:val="left"/>
      <w:pPr>
        <w:tabs>
          <w:tab w:val="num" w:pos="0"/>
        </w:tabs>
        <w:ind w:left="0" w:hanging="0"/>
      </w:p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3">
    <w:lvl w:ilvl="0">
      <w:start w:val="1"/>
      <w:numFmt w:val="lowerLetter"/>
      <w:lvlText w:val="(%1)"/>
      <w:lvlJc w:val="left"/>
      <w:pPr>
        <w:tabs>
          <w:tab w:val="num" w:pos="0"/>
        </w:tabs>
        <w:ind w:left="0" w:hanging="0"/>
      </w:pPr>
    </w:lvl>
  </w:abstractNum>
  <w:abstractNum w:abstractNumId="34">
    <w:lvl w:ilvl="0">
      <w:start w:val="1"/>
      <w:numFmt w:val="lowerLetter"/>
      <w:lvlText w:val="(%1)"/>
      <w:lvlJc w:val="left"/>
      <w:pPr>
        <w:tabs>
          <w:tab w:val="num" w:pos="0"/>
        </w:tabs>
        <w:ind w:left="0" w:hanging="0"/>
      </w:pPr>
    </w:lvl>
  </w:abstractNum>
  <w:abstractNum w:abstractNumId="35">
    <w:lvl w:ilvl="0">
      <w:start w:val="1"/>
      <w:numFmt w:val="lowerLetter"/>
      <w:lvlText w:val="(%1)"/>
      <w:lvlJc w:val="left"/>
      <w:pPr>
        <w:tabs>
          <w:tab w:val="num" w:pos="0"/>
        </w:tabs>
        <w:ind w:left="0" w:hanging="0"/>
      </w:pPr>
    </w:lvl>
  </w:abstractNum>
  <w:abstractNum w:abstractNumId="36">
    <w:lvl w:ilvl="0">
      <w:start w:val="1"/>
      <w:numFmt w:val="lowerLetter"/>
      <w:lvlText w:val="(%1)"/>
      <w:lvlJc w:val="left"/>
      <w:pPr>
        <w:tabs>
          <w:tab w:val="num" w:pos="0"/>
        </w:tabs>
        <w:ind w:left="0" w:hanging="0"/>
      </w:pPr>
    </w:lvl>
  </w:abstractNum>
  <w:abstractNum w:abstractNumId="37">
    <w:lvl w:ilvl="0">
      <w:start w:val="1"/>
      <w:numFmt w:val="lowerLetter"/>
      <w:lvlText w:val="(%1)"/>
      <w:lvlJc w:val="left"/>
      <w:pPr>
        <w:tabs>
          <w:tab w:val="num" w:pos="0"/>
        </w:tabs>
        <w:ind w:left="0" w:hanging="0"/>
      </w:pPr>
    </w:lvl>
  </w:abstractNum>
  <w:abstractNum w:abstractNumId="38">
    <w:lvl w:ilvl="0">
      <w:start w:val="1"/>
      <w:numFmt w:val="lowerLetter"/>
      <w:lvlText w:val="(%1)"/>
      <w:lvlJc w:val="left"/>
      <w:pPr>
        <w:tabs>
          <w:tab w:val="num" w:pos="0"/>
        </w:tabs>
        <w:ind w:left="0" w:hanging="0"/>
      </w:pPr>
    </w:lvl>
  </w:abstractNum>
  <w:abstractNum w:abstractNumId="39">
    <w:lvl w:ilvl="0">
      <w:start w:val="1"/>
      <w:numFmt w:val="lowerLetter"/>
      <w:lvlText w:val="(%1)"/>
      <w:lvlJc w:val="left"/>
      <w:pPr>
        <w:tabs>
          <w:tab w:val="num" w:pos="0"/>
        </w:tabs>
        <w:ind w:left="0" w:hanging="0"/>
      </w:pPr>
    </w:lvl>
  </w:abstractNum>
  <w:abstractNum w:abstractNumId="40">
    <w:lvl w:ilvl="0">
      <w:start w:val="1"/>
      <w:numFmt w:val="lowerLetter"/>
      <w:lvlText w:val="(%1)"/>
      <w:lvlJc w:val="left"/>
      <w:pPr>
        <w:tabs>
          <w:tab w:val="num" w:pos="0"/>
        </w:tabs>
        <w:ind w:left="0" w:hanging="0"/>
      </w:pPr>
    </w:lvl>
  </w:abstractNum>
  <w:abstractNum w:abstractNumId="41">
    <w:lvl w:ilvl="0">
      <w:start w:val="4"/>
      <w:numFmt w:val="lowerLetter"/>
      <w:lvlText w:val="(%1)"/>
      <w:lvlJc w:val="left"/>
      <w:pPr>
        <w:tabs>
          <w:tab w:val="num" w:pos="0"/>
        </w:tabs>
        <w:ind w:left="0" w:hanging="0"/>
      </w:pPr>
    </w:lvl>
  </w:abstractNum>
  <w:abstractNum w:abstractNumId="42">
    <w:lvl w:ilvl="0">
      <w:start w:val="1"/>
      <w:numFmt w:val="lowerLetter"/>
      <w:lvlText w:val="(%1)"/>
      <w:lvlJc w:val="left"/>
      <w:pPr>
        <w:tabs>
          <w:tab w:val="num" w:pos="0"/>
        </w:tabs>
        <w:ind w:left="0" w:hanging="0"/>
      </w:pPr>
    </w:lvl>
  </w:abstractNum>
  <w:abstractNum w:abstractNumId="4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