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9800" w:leader="none"/>
        </w:tabs>
        <w:spacing w:lineRule="atLeast" w:line="0"/>
        <w:rPr>
          <w:rFonts w:ascii="Arial" w:hAnsi="Arial" w:eastAsia="Arial" w:cs="Arial"/>
          <w:b/>
          <w:i/>
          <w:i/>
          <w:color w:val="B75400"/>
          <w:sz w:val="15"/>
        </w:rPr>
      </w:pPr>
      <w:hyperlink r:id="rId2">
        <w:bookmarkStart w:id="0" w:name="page1"/>
        <w:bookmarkEnd w:id="0"/>
        <w:r>
          <w:rPr>
            <w:rStyle w:val="Hyperlink"/>
            <w:rFonts w:eastAsia="Arial" w:cs="Arial" w:ascii="Arial" w:hAnsi="Arial"/>
            <w:color w:val="B75400"/>
            <w:sz w:val="16"/>
          </w:rPr>
          <w:t xml:space="preserve">View metadata, citation and similar papers at </w:t>
        </w:r>
        <w:r>
          <w:rPr>
            <w:rStyle w:val="Hyperlink"/>
            <w:rFonts w:eastAsia="Arial" w:cs="Arial" w:ascii="Arial" w:hAnsi="Arial"/>
            <w:color w:val="B75400"/>
            <w:sz w:val="16"/>
            <w:u w:val="single"/>
          </w:rPr>
          <w:t>core.ac.uk</w:t>
        </w:r>
      </w:hyperlink>
      <w:r>
        <w:rPr>
          <w:rFonts w:eastAsia="Arial" w:cs="Arial" w:ascii="Arial" w:hAnsi="Arial"/>
          <w:color w:val="B75400"/>
          <w:sz w:val="16"/>
        </w:rPr>
        <w:tab/>
      </w:r>
      <w:hyperlink r:id="rId3">
        <w:r>
          <w:rPr>
            <w:rStyle w:val="Hyperlink"/>
            <w:rFonts w:eastAsia="Arial" w:cs="Arial" w:ascii="Arial" w:hAnsi="Arial"/>
            <w:i/>
            <w:color w:val="B75400"/>
            <w:sz w:val="11"/>
          </w:rPr>
          <w:t xml:space="preserve">brought to you by </w:t>
        </w:r>
        <w:r>
          <w:rPr>
            <w:rFonts w:eastAsia="Arial" w:cs="Arial" w:ascii="Arial" w:hAnsi="Arial"/>
            <w:i/>
            <w:color w:val="B75400"/>
            <w:sz w:val="11"/>
          </w:rPr>
          <w:drawing>
            <wp:inline distT="0" distB="0" distL="0" distR="0">
              <wp:extent cx="114300" cy="152400"/>
              <wp:effectExtent l="0" t="0" r="0" b="0"/>
              <wp:docPr id="1"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 title=""/>
                      <pic:cNvPicPr>
                        <a:picLocks noChangeAspect="1" noChangeArrowheads="1"/>
                      </pic:cNvPicPr>
                    </pic:nvPicPr>
                    <pic:blipFill>
                      <a:blip r:embed="rId4"/>
                      <a:srcRect l="-157" t="-118" r="-157" b="-118"/>
                      <a:stretch>
                        <a:fillRect/>
                      </a:stretch>
                    </pic:blipFill>
                    <pic:spPr bwMode="auto">
                      <a:xfrm>
                        <a:off x="0" y="0"/>
                        <a:ext cx="114300" cy="152400"/>
                      </a:xfrm>
                      <a:prstGeom prst="rect">
                        <a:avLst/>
                      </a:prstGeom>
                    </pic:spPr>
                  </pic:pic>
                </a:graphicData>
              </a:graphic>
            </wp:inline>
          </w:drawing>
        </w:r>
      </w:hyperlink>
      <w:hyperlink r:id="rId5">
        <w:r>
          <w:rPr>
            <w:rStyle w:val="Hyperlink"/>
            <w:rFonts w:eastAsia="Arial" w:cs="Arial" w:ascii="Arial" w:hAnsi="Arial"/>
            <w:b/>
            <w:i/>
            <w:color w:val="B75400"/>
            <w:sz w:val="15"/>
          </w:rPr>
          <w:t>CORE</w:t>
        </w:r>
      </w:hyperlink>
    </w:p>
    <w:p>
      <w:pPr>
        <w:pStyle w:val="Normal"/>
        <w:spacing w:lineRule="exact" w:line="20"/>
        <w:rPr>
          <w:rFonts w:ascii="Arial" w:hAnsi="Arial" w:eastAsia="Arial" w:cs="Arial"/>
          <w:b/>
          <w:i/>
          <w:i/>
          <w:color w:val="B75400"/>
          <w:sz w:val="16"/>
        </w:rPr>
      </w:pPr>
      <w:r>
        <w:rPr>
          <w:rFonts w:eastAsia="Arial" w:cs="Arial" w:ascii="Arial" w:hAnsi="Arial"/>
          <w:b/>
          <w:i/>
          <w:color w:val="B75400"/>
          <w:sz w:val="16"/>
        </w:rPr>
        <mc:AlternateContent>
          <mc:Choice Requires="wps">
            <w:drawing>
              <wp:anchor behindDoc="1" distT="0" distB="0" distL="114935" distR="114935" simplePos="0" locked="0" layoutInCell="1" allowOverlap="1" relativeHeight="3">
                <wp:simplePos x="0" y="0"/>
                <wp:positionH relativeFrom="column">
                  <wp:posOffset>-152400</wp:posOffset>
                </wp:positionH>
                <wp:positionV relativeFrom="paragraph">
                  <wp:posOffset>40005</wp:posOffset>
                </wp:positionV>
                <wp:extent cx="7559675" cy="138430"/>
                <wp:effectExtent l="5715" t="5080" r="4445" b="5080"/>
                <wp:wrapNone/>
                <wp:docPr id="2" name=""/>
                <a:graphic xmlns:a="http://schemas.openxmlformats.org/drawingml/2006/main">
                  <a:graphicData uri="http://schemas.microsoft.com/office/word/2010/wordprocessingShape">
                    <wps:wsp>
                      <wps:cNvSpPr/>
                      <wps:spPr>
                        <a:xfrm>
                          <a:off x="0" y="0"/>
                          <a:ext cx="7559640" cy="138600"/>
                        </a:xfrm>
                        <a:prstGeom prst="rect">
                          <a:avLst/>
                        </a:prstGeom>
                        <a:solidFill>
                          <a:srgbClr val="b75400"/>
                        </a:solidFill>
                        <a:ln w="9360">
                          <a:solidFill>
                            <a:srgbClr val="ffffff"/>
                          </a:solidFill>
                          <a:miter/>
                        </a:ln>
                      </wps:spPr>
                      <wps:style>
                        <a:lnRef idx="0"/>
                        <a:fillRef idx="0"/>
                        <a:effectRef idx="0"/>
                        <a:fontRef idx="minor"/>
                      </wps:style>
                      <wps:bodyPr/>
                    </wps:wsp>
                  </a:graphicData>
                </a:graphic>
              </wp:anchor>
            </w:drawing>
          </mc:Choice>
          <mc:Fallback>
            <w:pict>
              <v:rect id="shape_0" fillcolor="#b75400" stroked="t" o:allowincell="f" style="position:absolute;margin-left:-12pt;margin-top:3.15pt;width:595.2pt;height:10.85pt;mso-wrap-style:none;v-text-anchor:middle">
                <v:fill o:detectmouseclick="t" type="solid" color2="#48abff"/>
                <v:stroke color="white" weight="9360" joinstyle="miter" endcap="flat"/>
                <w10:wrap type="none"/>
              </v:rect>
            </w:pict>
          </mc:Fallback>
        </mc:AlternateContent>
      </w:r>
    </w:p>
    <w:p>
      <w:pPr>
        <w:pStyle w:val="Normal"/>
        <w:spacing w:lineRule="exact" w:line="83"/>
        <w:rPr>
          <w:rFonts w:ascii="Arial" w:hAnsi="Arial" w:eastAsia="Arial" w:cs="Arial"/>
          <w:color w:val="B75400"/>
          <w:sz w:val="16"/>
        </w:rPr>
      </w:pPr>
      <w:r>
        <w:rPr>
          <w:rFonts w:eastAsia="Arial" w:cs="Arial" w:ascii="Arial" w:hAnsi="Arial"/>
          <w:color w:val="B75400"/>
          <w:sz w:val="16"/>
        </w:rPr>
      </w:r>
    </w:p>
    <w:p>
      <w:pPr>
        <w:pStyle w:val="Normal"/>
        <w:spacing w:lineRule="atLeast" w:line="0"/>
        <w:jc w:val="end"/>
        <w:rPr/>
      </w:pPr>
      <w:hyperlink r:id="rId6">
        <w:r>
          <w:rPr>
            <w:rStyle w:val="Hyperlink"/>
            <w:rFonts w:eastAsia="Arial" w:cs="Arial" w:ascii="Arial" w:hAnsi="Arial"/>
            <w:i/>
            <w:color w:val="FFFFFF"/>
            <w:sz w:val="12"/>
          </w:rPr>
          <w:t>provided by</w:t>
        </w:r>
        <w:r>
          <w:rPr>
            <w:rStyle w:val="Hyperlink"/>
            <w:rFonts w:eastAsia="Arial" w:cs="Arial" w:ascii="Arial" w:hAnsi="Arial"/>
            <w:color w:val="FFFFFF"/>
            <w:sz w:val="12"/>
          </w:rPr>
          <w:t xml:space="preserve"> Hiroshima University Institutional Repository</w:t>
        </w:r>
      </w:hyperlink>
    </w:p>
    <w:tbl>
      <w:tblPr>
        <w:tblW w:w="10140" w:type="dxa"/>
        <w:jc w:val="start"/>
        <w:tblInd w:w="640" w:type="dxa"/>
        <w:tblLayout w:type="fixed"/>
        <w:tblCellMar>
          <w:top w:w="0" w:type="dxa"/>
          <w:start w:w="0" w:type="dxa"/>
          <w:bottom w:w="0" w:type="dxa"/>
          <w:end w:w="0" w:type="dxa"/>
        </w:tblCellMar>
      </w:tblPr>
      <w:tblGrid>
        <w:gridCol w:w="3880"/>
        <w:gridCol w:w="6260"/>
      </w:tblGrid>
      <w:tr>
        <w:trPr>
          <w:trHeight w:val="43" w:hRule="atLeast"/>
        </w:trPr>
        <w:tc>
          <w:tcPr>
            <w:tcW w:w="10140" w:type="dxa"/>
            <w:gridSpan w:val="2"/>
            <w:tcBorders/>
          </w:tcPr>
          <w:p>
            <w:pPr>
              <w:pStyle w:val="Normal"/>
              <w:spacing w:lineRule="exact" w:line="43"/>
              <w:rPr/>
            </w:pPr>
            <w:r>
              <w:rPr>
                <w:rFonts w:eastAsia="Arial" w:cs="Arial" w:ascii="Arial" w:hAnsi="Arial"/>
                <w:sz w:val="4"/>
              </w:rPr>
              <w:t>Journal of Urban and Regional StudiesEconomicContemporaryandSocialIndiaImplications1(2):1–7and(2014)Sustainability of Call Center Jobs in India</w:t>
            </w:r>
          </w:p>
        </w:tc>
      </w:tr>
      <w:tr>
        <w:trPr>
          <w:trHeight w:val="158" w:hRule="atLeast"/>
        </w:trPr>
        <w:tc>
          <w:tcPr>
            <w:tcW w:w="3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60" w:type="dxa"/>
            <w:tcBorders/>
          </w:tcPr>
          <w:p>
            <w:pPr>
              <w:pStyle w:val="Normal"/>
              <w:spacing w:lineRule="atLeast" w:line="0"/>
              <w:ind w:start="3333" w:end="0"/>
              <w:jc w:val="center"/>
              <w:rPr>
                <w:rFonts w:ascii="Arial" w:hAnsi="Arial" w:eastAsia="Arial" w:cs="Arial"/>
                <w:w w:val="73"/>
                <w:sz w:val="13"/>
              </w:rPr>
            </w:pPr>
            <w:r>
              <w:rPr>
                <w:rFonts w:eastAsia="Arial" w:cs="Arial" w:ascii="Arial" w:hAnsi="Arial"/>
                <w:w w:val="73"/>
                <w:sz w:val="13"/>
              </w:rPr>
              <w:t>The Center for Contemporary India Studies, Hiroshima University</w:t>
            </w:r>
          </w:p>
        </w:tc>
      </w:tr>
      <w:tr>
        <w:trPr>
          <w:trHeight w:val="167" w:hRule="atLeast"/>
        </w:trPr>
        <w:tc>
          <w:tcPr>
            <w:tcW w:w="3880" w:type="dxa"/>
            <w:vMerge w:val="restart"/>
            <w:tcBorders/>
          </w:tcPr>
          <w:p>
            <w:pPr>
              <w:pStyle w:val="Normal"/>
              <w:spacing w:lineRule="atLeast" w:line="0"/>
              <w:rPr>
                <w:rFonts w:ascii="Arial" w:hAnsi="Arial" w:eastAsia="Arial" w:cs="Arial"/>
                <w:b/>
                <w:sz w:val="16"/>
              </w:rPr>
            </w:pPr>
            <w:r>
              <w:rPr>
                <w:rFonts w:eastAsia="Arial" w:cs="Arial" w:ascii="Arial" w:hAnsi="Arial"/>
                <w:b/>
                <w:sz w:val="16"/>
              </w:rPr>
              <w:t>Article</w:t>
            </w:r>
          </w:p>
        </w:tc>
        <w:tc>
          <w:tcPr>
            <w:tcW w:w="6260" w:type="dxa"/>
            <w:tcBorders/>
          </w:tcPr>
          <w:p>
            <w:pPr>
              <w:pStyle w:val="Normal"/>
              <w:spacing w:lineRule="atLeast" w:line="0"/>
              <w:ind w:start="3333" w:end="0"/>
              <w:jc w:val="center"/>
              <w:rPr>
                <w:rFonts w:ascii="Arial" w:hAnsi="Arial" w:eastAsia="Arial" w:cs="Arial"/>
                <w:w w:val="97"/>
                <w:sz w:val="14"/>
              </w:rPr>
            </w:pPr>
            <w:r>
              <w:rPr>
                <w:rFonts w:eastAsia="Arial" w:cs="Arial" w:ascii="Arial" w:hAnsi="Arial"/>
                <w:w w:val="97"/>
                <w:sz w:val="14"/>
              </w:rPr>
              <w:t>http://home.hiroshima-u.ac.jp/hindas/index.html</w:t>
            </w:r>
          </w:p>
        </w:tc>
      </w:tr>
      <w:tr>
        <w:trPr>
          <w:trHeight w:val="83" w:hRule="atLeast"/>
        </w:trPr>
        <w:tc>
          <w:tcPr>
            <w:tcW w:w="3880" w:type="dxa"/>
            <w:vMerge w:val="continue"/>
            <w:tcBorders/>
          </w:tcPr>
          <w:p>
            <w:pPr>
              <w:pStyle w:val="Normal"/>
              <w:snapToGrid w:val="false"/>
              <w:spacing w:lineRule="atLeast" w:line="0"/>
              <w:rPr>
                <w:rFonts w:ascii="Times New Roman" w:hAnsi="Times New Roman" w:eastAsia="Times New Roman" w:cs="Times New Roman"/>
                <w:w w:val="97"/>
                <w:sz w:val="7"/>
              </w:rPr>
            </w:pPr>
            <w:r>
              <w:rPr>
                <w:rFonts w:eastAsia="Times New Roman" w:cs="Times New Roman" w:ascii="Times New Roman" w:hAnsi="Times New Roman"/>
                <w:w w:val="97"/>
                <w:sz w:val="7"/>
              </w:rPr>
            </w:r>
          </w:p>
        </w:tc>
        <w:tc>
          <w:tcPr>
            <w:tcW w:w="6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0"/>
        <w:rPr>
          <w:rFonts w:ascii="Arial" w:hAnsi="Arial" w:eastAsia="Arial" w:cs="Arial"/>
          <w:color w:val="B75400"/>
          <w:sz w:val="16"/>
        </w:rPr>
      </w:pPr>
      <w:r>
        <w:rPr>
          <w:rFonts w:eastAsia="Arial" w:cs="Arial" w:ascii="Arial" w:hAnsi="Arial"/>
          <w:color w:val="B75400"/>
          <w:sz w:val="16"/>
        </w:rPr>
      </w:r>
    </w:p>
    <w:p>
      <w:pPr>
        <w:pStyle w:val="Normal"/>
        <w:spacing w:lineRule="exact" w:line="386"/>
        <w:rPr>
          <w:rFonts w:ascii="Arial" w:hAnsi="Arial" w:eastAsia="Arial" w:cs="Arial"/>
          <w:color w:val="B75400"/>
          <w:sz w:val="16"/>
        </w:rPr>
      </w:pPr>
      <w:r>
        <w:rPr>
          <w:rFonts w:eastAsia="Arial" w:cs="Arial" w:ascii="Arial" w:hAnsi="Arial"/>
          <w:color w:val="B75400"/>
          <w:sz w:val="16"/>
        </w:rPr>
      </w:r>
    </w:p>
    <w:p>
      <w:pPr>
        <w:pStyle w:val="Normal"/>
        <w:spacing w:lineRule="atLeast" w:line="0"/>
        <w:ind w:end="20"/>
        <w:jc w:val="center"/>
        <w:rPr>
          <w:rFonts w:ascii="Arial" w:hAnsi="Arial" w:eastAsia="Arial" w:cs="Arial"/>
          <w:b/>
          <w:sz w:val="44"/>
        </w:rPr>
      </w:pPr>
      <w:r>
        <w:rPr>
          <w:rFonts w:eastAsia="Arial" w:cs="Arial" w:ascii="Arial" w:hAnsi="Arial"/>
          <w:b/>
          <w:sz w:val="44"/>
        </w:rPr>
        <w:t>Economic and Social Implications and</w:t>
      </w:r>
    </w:p>
    <w:p>
      <w:pPr>
        <w:pStyle w:val="Normal"/>
        <w:spacing w:lineRule="atLeast" w:line="0"/>
        <w:ind w:end="20"/>
        <w:jc w:val="center"/>
        <w:rPr>
          <w:rFonts w:ascii="Arial" w:hAnsi="Arial" w:eastAsia="Arial" w:cs="Arial"/>
          <w:b/>
          <w:sz w:val="44"/>
        </w:rPr>
      </w:pPr>
      <w:r>
        <w:rPr>
          <w:rFonts w:eastAsia="Arial" w:cs="Arial" w:ascii="Arial" w:hAnsi="Arial"/>
          <w:b/>
          <w:sz w:val="44"/>
        </w:rPr>
        <w:t>Sustainability of Call Center Jobs in India</w:t>
      </w:r>
    </w:p>
    <w:p>
      <w:pPr>
        <w:pStyle w:val="Normal"/>
        <w:spacing w:lineRule="exact" w:line="234"/>
        <w:rPr>
          <w:rFonts w:ascii="Arial" w:hAnsi="Arial" w:eastAsia="Arial" w:cs="Arial"/>
          <w:b/>
          <w:color w:val="B75400"/>
          <w:sz w:val="16"/>
        </w:rPr>
      </w:pPr>
      <w:r>
        <w:rPr>
          <w:rFonts w:eastAsia="Arial" w:cs="Arial" w:ascii="Arial" w:hAnsi="Arial"/>
          <w:b/>
          <w:color w:val="B75400"/>
          <w:sz w:val="16"/>
        </w:rPr>
      </w:r>
    </w:p>
    <w:p>
      <w:pPr>
        <w:pStyle w:val="Normal"/>
        <w:spacing w:lineRule="atLeast" w:line="0"/>
        <w:ind w:start="3140" w:end="0"/>
        <w:rPr>
          <w:rFonts w:ascii="Arial" w:hAnsi="Arial" w:eastAsia="Arial" w:cs="Arial"/>
          <w:b/>
          <w:sz w:val="28"/>
        </w:rPr>
      </w:pPr>
      <w:r>
        <w:rPr>
          <w:rFonts w:eastAsia="Arial" w:cs="Arial" w:ascii="Arial" w:hAnsi="Arial"/>
          <w:b/>
          <w:sz w:val="28"/>
        </w:rPr>
        <w:t>Mohd ISHTIYAQUE* and Ranjana A GERA**</w:t>
      </w:r>
    </w:p>
    <w:p>
      <w:pPr>
        <w:pStyle w:val="Normal"/>
        <w:spacing w:lineRule="exact" w:line="175"/>
        <w:rPr>
          <w:rFonts w:ascii="Arial" w:hAnsi="Arial" w:eastAsia="Arial" w:cs="Arial"/>
          <w:b/>
          <w:color w:val="B75400"/>
          <w:sz w:val="16"/>
        </w:rPr>
      </w:pPr>
      <w:r>
        <w:rPr>
          <w:rFonts w:eastAsia="Arial" w:cs="Arial" w:ascii="Arial" w:hAnsi="Arial"/>
          <w:b/>
          <w:color w:val="B75400"/>
          <w:sz w:val="16"/>
        </w:rPr>
      </w:r>
    </w:p>
    <w:p>
      <w:pPr>
        <w:pStyle w:val="Normal"/>
        <w:spacing w:lineRule="atLeast" w:line="0"/>
        <w:ind w:start="1240" w:end="0"/>
        <w:rPr>
          <w:rFonts w:ascii="Arial" w:hAnsi="Arial" w:eastAsia="Arial" w:cs="Arial"/>
          <w:sz w:val="18"/>
        </w:rPr>
      </w:pPr>
      <w:r>
        <w:rPr>
          <w:rFonts w:eastAsia="Arial" w:cs="Arial" w:ascii="Arial" w:hAnsi="Arial"/>
          <w:sz w:val="18"/>
        </w:rPr>
        <w:t>*Vice-Chancellor, Magadh University; Bodhgaya, Bihar, India.</w:t>
      </w:r>
    </w:p>
    <w:p>
      <w:pPr>
        <w:pStyle w:val="Normal"/>
        <w:spacing w:lineRule="auto" w:line="230"/>
        <w:ind w:start="1240" w:end="0"/>
        <w:rPr>
          <w:rFonts w:ascii="Arial" w:hAnsi="Arial" w:eastAsia="Arial" w:cs="Arial"/>
          <w:sz w:val="18"/>
        </w:rPr>
      </w:pPr>
      <w:r>
        <w:rPr>
          <w:rFonts w:eastAsia="Arial" w:cs="Arial" w:ascii="Arial" w:hAnsi="Arial"/>
          <w:sz w:val="18"/>
        </w:rPr>
        <w:t>**Associate Professor, Kamala Nehru College, University of Delhi; Delhi.</w:t>
      </w:r>
    </w:p>
    <w:p>
      <w:pPr>
        <w:pStyle w:val="Normal"/>
        <w:spacing w:lineRule="exact" w:line="1"/>
        <w:rPr>
          <w:rFonts w:ascii="Arial" w:hAnsi="Arial" w:eastAsia="Arial" w:cs="Arial"/>
          <w:color w:val="B75400"/>
          <w:sz w:val="16"/>
        </w:rPr>
      </w:pPr>
      <w:r>
        <w:rPr>
          <w:rFonts w:eastAsia="Arial" w:cs="Arial" w:ascii="Arial" w:hAnsi="Arial"/>
          <w:color w:val="B75400"/>
          <w:sz w:val="16"/>
        </w:rPr>
      </w:r>
    </w:p>
    <w:p>
      <w:pPr>
        <w:pStyle w:val="Normal"/>
        <w:spacing w:lineRule="exact" w:line="207"/>
        <w:ind w:start="1240" w:end="0"/>
        <w:rPr>
          <w:rFonts w:ascii="Arial" w:hAnsi="Arial" w:eastAsia="Arial" w:cs="Arial"/>
          <w:sz w:val="18"/>
        </w:rPr>
      </w:pPr>
      <w:r>
        <w:rPr>
          <w:rFonts w:eastAsia="Arial" w:cs="Arial" w:ascii="Arial" w:hAnsi="Arial"/>
          <w:sz w:val="18"/>
        </w:rPr>
        <w:t>E-mail: mishtiaak@gmail.com*, ranjanagera1@redi mail.com**</w:t>
      </w:r>
    </w:p>
    <w:p>
      <w:pPr>
        <w:pStyle w:val="Normal"/>
        <w:spacing w:lineRule="exact" w:line="283"/>
        <w:rPr>
          <w:rFonts w:ascii="Arial" w:hAnsi="Arial" w:eastAsia="Arial" w:cs="Arial"/>
          <w:color w:val="B75400"/>
          <w:sz w:val="16"/>
        </w:rPr>
      </w:pPr>
      <w:r>
        <w:rPr>
          <w:rFonts w:eastAsia="Arial" w:cs="Arial" w:ascii="Arial" w:hAnsi="Arial"/>
          <w:color w:val="B75400"/>
          <w:sz w:val="16"/>
        </w:rPr>
      </w:r>
    </w:p>
    <w:p>
      <w:pPr>
        <w:pStyle w:val="Normal"/>
        <w:spacing w:lineRule="exact" w:line="222"/>
        <w:ind w:start="1240" w:end="1240"/>
        <w:jc w:val="both"/>
        <w:rPr/>
      </w:pPr>
      <w:r>
        <w:rPr>
          <w:rFonts w:eastAsia="Arial" w:cs="Arial" w:ascii="Arial" w:hAnsi="Arial"/>
          <w:b/>
          <w:sz w:val="18"/>
        </w:rPr>
        <w:t>Abstract</w:t>
      </w:r>
      <w:r>
        <w:rPr>
          <w:rFonts w:eastAsia="Times New Roman" w:cs="Times New Roman" w:ascii="Times New Roman" w:hAnsi="Times New Roman"/>
          <w:sz w:val="18"/>
        </w:rPr>
        <w:t xml:space="preserve"> India is an important Information Technology Enabled Services (ITES) destination and undisputed leader in the world with respect to Call Center industry. Since call center forms an important constituent of ITES, the paper presents a brief account of ITES in the rst part while a detailed analysis of economic and social implications and sustainability of call center jobs have been discussed in the latter part. In spite of the he y salary and other service bene ts in the call center jobs, there exists high rate of attrition in call center industry. e study aims to understand why the call centers jobs are not sustainable and what may be the probable reasons for it. e paper is based on the perception of call center employees. For this purpose, the data was generated through a eld survey which was carried out in call centers located in the National Capital Region of Delhi. e study reveals that the monotonous and stressful nature of work, disruption in social and family life and lack of career growth may be held major factors for low sustainability in call center jobs in India.</w:t>
      </w:r>
    </w:p>
    <w:p>
      <w:pPr>
        <w:pStyle w:val="Normal"/>
        <w:spacing w:lineRule="exact" w:line="64"/>
        <w:rPr>
          <w:rFonts w:ascii="Arial" w:hAnsi="Arial" w:eastAsia="Arial" w:cs="Arial"/>
          <w:color w:val="B75400"/>
          <w:sz w:val="16"/>
        </w:rPr>
      </w:pPr>
      <w:r>
        <w:rPr>
          <w:rFonts w:eastAsia="Arial" w:cs="Arial" w:ascii="Arial" w:hAnsi="Arial"/>
          <w:color w:val="B75400"/>
          <w:sz w:val="16"/>
        </w:rPr>
      </w:r>
    </w:p>
    <w:p>
      <w:pPr>
        <w:pStyle w:val="Normal"/>
        <w:spacing w:lineRule="auto" w:line="292"/>
        <w:ind w:start="1240" w:end="1240"/>
        <w:jc w:val="both"/>
        <w:rPr/>
      </w:pPr>
      <w:r>
        <w:rPr>
          <w:rFonts w:eastAsia="Arial" w:cs="Arial" w:ascii="Arial" w:hAnsi="Arial"/>
          <w:b/>
          <w:sz w:val="18"/>
        </w:rPr>
        <w:t>Key words</w:t>
      </w:r>
      <w:r>
        <w:rPr>
          <w:rFonts w:eastAsia="Times New Roman" w:cs="Times New Roman" w:ascii="Times New Roman" w:hAnsi="Times New Roman"/>
          <w:sz w:val="18"/>
        </w:rPr>
        <w:t xml:space="preserve"> business process outsourcing industry, information technology enabled services industry, call centers, post-fordism, sustainability of call center jobs</w:t>
      </w:r>
    </w:p>
    <w:p>
      <w:pPr>
        <w:sectPr>
          <w:type w:val="nextPage"/>
          <w:pgSz w:w="11906" w:h="16838"/>
          <w:pgMar w:left="240" w:right="226" w:gutter="0" w:header="0" w:top="10" w:footer="0" w:bottom="62"/>
          <w:pgNumType w:fmt="decimal"/>
          <w:formProt w:val="false"/>
          <w:textDirection w:val="lrTb"/>
          <w:docGrid w:type="default" w:linePitch="360" w:charSpace="0"/>
        </w:sectPr>
      </w:pPr>
    </w:p>
    <w:p>
      <w:pPr>
        <w:pStyle w:val="Normal"/>
        <w:spacing w:lineRule="exact" w:line="200"/>
        <w:rPr>
          <w:rFonts w:ascii="Arial" w:hAnsi="Arial" w:eastAsia="Arial" w:cs="Arial"/>
          <w:color w:val="B75400"/>
          <w:sz w:val="16"/>
        </w:rPr>
      </w:pPr>
      <w:r>
        <w:rPr>
          <w:rFonts w:eastAsia="Arial" w:cs="Arial" w:ascii="Arial" w:hAnsi="Arial"/>
          <w:color w:val="B75400"/>
          <w:sz w:val="16"/>
        </w:rPr>
      </w:r>
    </w:p>
    <w:p>
      <w:pPr>
        <w:pStyle w:val="Normal"/>
        <w:spacing w:lineRule="exact" w:line="326"/>
        <w:rPr>
          <w:rFonts w:ascii="Arial" w:hAnsi="Arial" w:eastAsia="Arial" w:cs="Arial"/>
          <w:color w:val="B75400"/>
          <w:sz w:val="16"/>
        </w:rPr>
      </w:pPr>
      <w:r>
        <w:rPr>
          <w:rFonts w:eastAsia="Arial" w:cs="Arial" w:ascii="Arial" w:hAnsi="Arial"/>
          <w:color w:val="B75400"/>
          <w:sz w:val="16"/>
        </w:rPr>
      </w:r>
    </w:p>
    <w:p>
      <w:pPr>
        <w:pStyle w:val="Normal"/>
        <w:spacing w:lineRule="atLeast" w:line="0"/>
        <w:ind w:start="640" w:end="0"/>
        <w:rPr>
          <w:rFonts w:ascii="Arial" w:hAnsi="Arial" w:eastAsia="Arial" w:cs="Arial"/>
          <w:b/>
          <w:sz w:val="24"/>
        </w:rPr>
      </w:pPr>
      <w:r>
        <w:rPr>
          <w:rFonts w:eastAsia="Arial" w:cs="Arial" w:ascii="Arial" w:hAnsi="Arial"/>
          <w:b/>
          <w:sz w:val="24"/>
        </w:rPr>
        <w:t>Introduction</w:t>
      </w:r>
    </w:p>
    <w:p>
      <w:pPr>
        <w:pStyle w:val="Normal"/>
        <w:spacing w:lineRule="exact" w:line="304"/>
        <w:rPr>
          <w:rFonts w:ascii="Arial" w:hAnsi="Arial" w:eastAsia="Arial" w:cs="Arial"/>
          <w:b/>
          <w:color w:val="B75400"/>
          <w:sz w:val="16"/>
        </w:rPr>
      </w:pPr>
      <w:r>
        <w:rPr>
          <w:rFonts w:eastAsia="Arial" w:cs="Arial" w:ascii="Arial" w:hAnsi="Arial"/>
          <w:b/>
          <w:color w:val="B75400"/>
          <w:sz w:val="16"/>
        </w:rPr>
      </w:r>
    </w:p>
    <w:p>
      <w:pPr>
        <w:pStyle w:val="Normal"/>
        <w:spacing w:lineRule="exact" w:line="289"/>
        <w:ind w:firstLine="210" w:start="640" w:end="0"/>
        <w:jc w:val="both"/>
        <w:rPr>
          <w:rFonts w:ascii="Times New Roman" w:hAnsi="Times New Roman" w:eastAsia="Times New Roman" w:cs="Times New Roman"/>
          <w:sz w:val="21"/>
        </w:rPr>
      </w:pPr>
      <w:r>
        <w:rPr>
          <w:rFonts w:eastAsia="Times New Roman" w:cs="Times New Roman" w:ascii="Times New Roman" w:hAnsi="Times New Roman"/>
          <w:sz w:val="21"/>
        </w:rPr>
        <w:t>Information Technology Enabled Services (ITES) com-monly known as Business Process Outsourcing (BPO) Industry refers to the outsourcing of business services through telecommunication technology and internet. It is a fast growing global industry and many organizations or companies outsource services to ITES providers in other countries. Both the outsourcing company and the service providing country are bene ted through this arrangement as the former saves a substantial amount of money while the latter creates a large number of jobs for its unem-ployed people. is boosts the economic progress of the country providing ITES services. When one country out-sources the business processing to another country, it is referred to as cross-border or o shore outsourcing. us the international trade in business services has given rise to ITES industry.</w:t>
      </w:r>
    </w:p>
    <w:p>
      <w:pPr>
        <w:pStyle w:val="Normal"/>
        <w:spacing w:lineRule="exact" w:line="20"/>
        <w:rPr>
          <w:rFonts w:ascii="Arial" w:hAnsi="Arial" w:eastAsia="Arial" w:cs="Arial"/>
          <w:color w:val="B75400"/>
          <w:sz w:val="16"/>
        </w:rPr>
      </w:pPr>
      <w:r>
        <w:rPr>
          <w:rFonts w:eastAsia="Arial" w:cs="Arial" w:ascii="Arial" w:hAnsi="Arial"/>
          <w:color w:val="B75400"/>
          <w:sz w:val="16"/>
        </w:rPr>
      </w:r>
    </w:p>
    <w:p>
      <w:pPr>
        <w:pStyle w:val="Normal"/>
        <w:spacing w:lineRule="exact" w:line="289"/>
        <w:ind w:firstLine="434" w:start="640" w:end="0"/>
        <w:jc w:val="both"/>
        <w:rPr/>
      </w:pPr>
      <w:r>
        <w:rPr>
          <w:rFonts w:eastAsia="Times New Roman" w:cs="Times New Roman" w:ascii="Times New Roman" w:hAnsi="Times New Roman"/>
        </w:rPr>
        <w:t>e emergence of ITES industry in developing coun-tries may be explained in the framework of post-fordism,</w:t>
      </w:r>
      <w:r>
        <w:rPr>
          <w:rFonts w:eastAsia="Times New Roman" w:cs="Times New Roman" w:ascii="Times New Roman" w:hAnsi="Times New Roman"/>
          <w:sz w:val="24"/>
          <w:vertAlign w:val="superscript"/>
        </w:rPr>
        <w:t>1</w:t>
      </w:r>
      <w:r>
        <w:rPr>
          <w:rFonts w:eastAsia="Times New Roman" w:cs="Times New Roman" w:ascii="Times New Roman" w:hAnsi="Times New Roman"/>
        </w:rPr>
        <w:t xml:space="preserve"> the socio-economic paradigm of post 1970s (Amin, 1994). It involves a vertically disintegrated production chain which today transcends national borders and allows the use of resources including human resources available anywhere in the world. e change in organization of pro-duction activities associated with post-fordism has also been related to a division of type of work or labor at global scale, termed as “new international division of labor,” where the developed countries outsource the standardized</w:t>
      </w:r>
    </w:p>
    <w:p>
      <w:pPr>
        <w:pStyle w:val="Normal"/>
        <w:spacing w:lineRule="exact" w:line="200"/>
        <w:rPr>
          <w:rFonts w:ascii="Arial" w:hAnsi="Arial" w:eastAsia="Arial" w:cs="Arial"/>
          <w:color w:val="B75400"/>
          <w:sz w:val="16"/>
        </w:rPr>
      </w:pPr>
      <w:r>
        <w:br w:type="column"/>
      </w:r>
      <w:r>
        <w:rPr>
          <w:rFonts w:eastAsia="Arial" w:cs="Arial" w:ascii="Arial" w:hAnsi="Arial"/>
          <w:color w:val="B75400"/>
          <w:sz w:val="16"/>
        </w:rPr>
      </w:r>
    </w:p>
    <w:p>
      <w:pPr>
        <w:pStyle w:val="Normal"/>
        <w:spacing w:lineRule="exact" w:line="328"/>
        <w:rPr>
          <w:rFonts w:ascii="Arial" w:hAnsi="Arial" w:eastAsia="Arial" w:cs="Arial"/>
          <w:color w:val="B75400"/>
          <w:sz w:val="16"/>
        </w:rPr>
      </w:pPr>
      <w:r>
        <w:rPr>
          <w:rFonts w:eastAsia="Arial" w:cs="Arial" w:ascii="Arial" w:hAnsi="Arial"/>
          <w:color w:val="B75400"/>
          <w:sz w:val="16"/>
        </w:rPr>
      </w:r>
    </w:p>
    <w:p>
      <w:pPr>
        <w:pStyle w:val="Normal"/>
        <w:spacing w:lineRule="exact" w:line="289"/>
        <w:ind w:end="640"/>
        <w:jc w:val="both"/>
        <w:rPr/>
      </w:pPr>
      <w:r>
        <w:rPr>
          <w:rFonts w:eastAsia="Times New Roman" w:cs="Times New Roman" w:ascii="Times New Roman" w:hAnsi="Times New Roman"/>
          <w:sz w:val="21"/>
        </w:rPr>
        <w:t>business activities such as manufacturing assembly, rou-tine data entry or call center work to developing countries (Wright, 2002). In post-fordist arrangements, the labor is not employed but is contracted, in order to adjust to the competitive needs of the employer (Webster, 2002). Fur-ther, a dualistic model of labor force prevails where mana-gerial sta forms the core sta and the rest are peripheral workers who are exible and replaceable. ere is no lifetime employment and no job security, especially for the latter. e ITES industry in India provides such employ-ment opportunities to Indian workforce. Bhagwati (2007) noted that in a highly globalize economy there is no job security, especially where there is a lapse in skill building. Further, ITES companies appear to have adopted a revolv-ing door policy in which the fresh recruits are retained for a few years and then are replaced before they become too expensive (Upadhya and Vasavi, 2006). Ramesh in his study (2004) maintained that employment in BPO was a host of insecurities and vulnerabilities. Further, ‘sweat shop’ scenario of export processing zone (Kiely, 2005) is now replicated in the call centers in India where the ser-vices are provided for the developed countries by a cost e ective labor force.</w:t>
      </w:r>
    </w:p>
    <w:p>
      <w:pPr>
        <w:pStyle w:val="Normal"/>
        <w:spacing w:lineRule="exact" w:line="28"/>
        <w:rPr>
          <w:rFonts w:ascii="Arial" w:hAnsi="Arial" w:eastAsia="Arial" w:cs="Arial"/>
          <w:color w:val="B75400"/>
          <w:sz w:val="16"/>
        </w:rPr>
      </w:pPr>
      <w:r>
        <w:rPr>
          <w:rFonts w:eastAsia="Arial" w:cs="Arial" w:ascii="Arial" w:hAnsi="Arial"/>
          <w:color w:val="B75400"/>
          <w:sz w:val="16"/>
        </w:rPr>
      </w:r>
    </w:p>
    <w:p>
      <w:pPr>
        <w:pStyle w:val="Normal"/>
        <w:spacing w:lineRule="exact" w:line="288"/>
        <w:ind w:firstLine="210" w:end="640"/>
        <w:jc w:val="both"/>
        <w:rPr/>
      </w:pPr>
      <w:r>
        <w:rPr>
          <w:rFonts w:eastAsia="Times New Roman" w:cs="Times New Roman" w:ascii="Times New Roman" w:hAnsi="Times New Roman"/>
          <w:sz w:val="21"/>
        </w:rPr>
        <w:t>India has emerged as the most important ITES destina-tions in the world and according to National Association of So ware and Services Companies (NASSCOM), it provided 37% of total o shored business processing ser-vices in 2006–07 (NASSCOM-Everest, 2008). is has been possible due to the concerted e orts on the part of</w:t>
      </w:r>
    </w:p>
    <w:p>
      <w:pPr>
        <w:sectPr>
          <w:type w:val="continuous"/>
          <w:pgSz w:w="11906" w:h="16838"/>
          <w:pgMar w:left="240" w:right="226" w:gutter="0" w:header="0" w:top="10" w:footer="0" w:bottom="62"/>
          <w:cols w:num="2" w:space="400" w:equalWidth="true" w:sep="false"/>
          <w:formProt w:val="false"/>
          <w:textDirection w:val="lrTb"/>
          <w:docGrid w:type="default" w:linePitch="360" w:charSpace="0"/>
        </w:sectPr>
      </w:pPr>
    </w:p>
    <w:p>
      <w:pPr>
        <w:pStyle w:val="Normal"/>
        <w:spacing w:lineRule="exact" w:line="370"/>
        <w:rPr>
          <w:rFonts w:ascii="Arial" w:hAnsi="Arial" w:eastAsia="Arial" w:cs="Arial"/>
          <w:color w:val="B75400"/>
          <w:sz w:val="16"/>
        </w:rPr>
      </w:pPr>
      <w:r>
        <w:rPr>
          <w:rFonts w:eastAsia="Arial" w:cs="Arial" w:ascii="Arial" w:hAnsi="Arial"/>
          <w:color w:val="B75400"/>
          <w:sz w:val="16"/>
        </w:rPr>
      </w:r>
    </w:p>
    <w:p>
      <w:pPr>
        <w:pStyle w:val="Normal"/>
        <w:spacing w:lineRule="atLeast" w:line="0"/>
        <w:jc w:val="center"/>
        <w:rPr/>
      </w:pPr>
      <w:r>
        <w:rPr>
          <w:rFonts w:eastAsia="Arial" w:cs="Arial" w:ascii="Arial" w:hAnsi="Arial"/>
          <w:sz w:val="13"/>
        </w:rPr>
        <w:t>© 2014 The Center for Contemporary—1 India— Studies, Hiroshima University</w:t>
      </w:r>
    </w:p>
    <w:p>
      <w:pPr>
        <w:sectPr>
          <w:type w:val="continuous"/>
          <w:pgSz w:w="11906" w:h="16838"/>
          <w:pgMar w:left="240" w:right="226" w:gutter="0" w:header="0" w:top="10" w:footer="0" w:bottom="62"/>
          <w:formProt w:val="false"/>
          <w:textDirection w:val="lrTb"/>
          <w:docGrid w:type="default" w:linePitch="360" w:charSpace="0"/>
        </w:sectPr>
      </w:pPr>
    </w:p>
    <w:p>
      <w:pPr>
        <w:pStyle w:val="Normal"/>
        <w:spacing w:lineRule="atLeast" w:line="0"/>
        <w:ind w:end="20"/>
        <w:jc w:val="center"/>
        <w:rPr>
          <w:rFonts w:ascii="Arial" w:hAnsi="Arial" w:eastAsia="Arial" w:cs="Arial"/>
          <w:sz w:val="13"/>
        </w:rPr>
      </w:pPr>
      <w:bookmarkStart w:id="1" w:name="page2"/>
      <w:bookmarkEnd w:id="1"/>
      <w:r>
        <w:rPr>
          <w:rFonts w:eastAsia="Arial" w:cs="Arial" w:ascii="Arial" w:hAnsi="Arial"/>
          <w:sz w:val="13"/>
        </w:rPr>
        <w:t>ISHTIYAQUE M and GERA R</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jc w:val="both"/>
        <w:rPr/>
      </w:pPr>
      <w:r>
        <w:rPr>
          <w:rFonts w:eastAsia="Times New Roman" w:cs="Times New Roman" w:ascii="Times New Roman" w:hAnsi="Times New Roman"/>
          <w:sz w:val="21"/>
        </w:rPr>
        <w:t>the government, emergence of so ware parks and above all the English speaking capability of its educated works force. Based on lower wages and other operational costs, India provides cost e ective business processing services mainly to developed countries (especially the United States and the United Kingdom). e ITES industry cre-ates job opportunity with a handsome salary and pro-motes modern youth culture in India. A large segment of English speaking youths mostly belonging to the middle and upper middle class of Indian urban society came forward and joined the jobs in this sector for the said rea-sons. According to NASSCOM, in 2007-08, about seven hundred thousand people were employed in ITES, and in 2012, ITES industry provided employment to 2.8 mil-lion people directly and to 8.9 million people indirectly. e total export revenue generated was US$ 10.9 billion during 2007–2008 and the annual growth rate was about 30%. e growth rate, however, slowed to 17.4% in 2008– 09 in wake of economic recession that plagued the world economy.</w:t>
      </w:r>
    </w:p>
    <w:p>
      <w:pPr>
        <w:pStyle w:val="Normal"/>
        <w:spacing w:lineRule="exact" w:line="2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210" w:end="0"/>
        <w:jc w:val="both"/>
        <w:rPr/>
      </w:pPr>
      <w:r>
        <w:rPr>
          <w:rFonts w:eastAsia="Times New Roman" w:cs="Times New Roman" w:ascii="Times New Roman" w:hAnsi="Times New Roman"/>
        </w:rPr>
        <w:t>Despite providing plentiful job opportunities and con-tributing immensely to the country’s GDP and export, ITES industry is plagued with high rate of attrition. e attrition rates in the industry range between 25 and 40 percent (NASSCOM, 2005). Such a high rate of attrition may be attributed to the unconventional working hours and over work, depression, mental stress, health and social life (Sridhar, 2013). Besides, there is a constant threat of loss of job either due to termination or closing down of the company itself (Ramesh, 2004; Bhagwati, 2007).</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firstLine="210" w:end="0"/>
        <w:jc w:val="both"/>
        <w:rPr>
          <w:rFonts w:ascii="Times New Roman" w:hAnsi="Times New Roman" w:eastAsia="Times New Roman" w:cs="Times New Roman"/>
        </w:rPr>
      </w:pPr>
      <w:r>
        <w:rPr>
          <w:rFonts w:eastAsia="Times New Roman" w:cs="Times New Roman" w:ascii="Times New Roman" w:hAnsi="Times New Roman"/>
        </w:rPr>
        <w:t>A variety of services provided through the ITES includ-ing call center, medical transcription, bio-tech research, data processing, insurance claim, accounting, credit card processing, etc. Call center, among many others, is consid-ered an important component of ITES industry.</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ind w:firstLine="434" w:end="0"/>
        <w:jc w:val="both"/>
        <w:rPr>
          <w:rFonts w:ascii="Times New Roman" w:hAnsi="Times New Roman" w:eastAsia="Times New Roman" w:cs="Times New Roman"/>
          <w:sz w:val="21"/>
        </w:rPr>
      </w:pPr>
      <w:r>
        <w:rPr>
          <w:rFonts w:eastAsia="Times New Roman" w:cs="Times New Roman" w:ascii="Times New Roman" w:hAnsi="Times New Roman"/>
          <w:sz w:val="21"/>
        </w:rPr>
        <w:t>e present study has made a modest attempt to under-stand the economic and social implications of call center jobs and their sustainability in India.</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jc w:val="both"/>
        <w:rPr>
          <w:rFonts w:ascii="Times New Roman" w:hAnsi="Times New Roman" w:eastAsia="Times New Roman" w:cs="Times New Roman"/>
          <w:sz w:val="21"/>
        </w:rPr>
      </w:pPr>
      <w:r>
        <w:rPr>
          <w:rFonts w:eastAsia="Times New Roman" w:cs="Times New Roman" w:ascii="Times New Roman" w:hAnsi="Times New Roman"/>
          <w:sz w:val="21"/>
        </w:rPr>
        <w:t>structure of the call centers. Out of the total employees, 97 (39.6%) were migrants from various parts of the country, while 148 (60.4%) were natives of the NCR. About three-fourth (75.1%) of them were below the age of 25 years and the remaining 24.9 per cent were above this age group. e female employees had 31.8 per cent representation in the sample. e study included employees belonging to major religious groups of India with Hindu being in majority. Almost 15 per cent were undergraduates and 61 per cent had non-professional graduate degrees. ere were only 24 per cent with post graduate and professional degrees. Most of them hailed from educated middle class families of urban India.</w:t>
      </w:r>
    </w:p>
    <w:p>
      <w:pPr>
        <w:pStyle w:val="Normal"/>
        <w:spacing w:lineRule="exact" w:line="1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8"/>
        <w:ind w:firstLine="434" w:end="0"/>
        <w:jc w:val="both"/>
        <w:rPr/>
      </w:pPr>
      <w:r>
        <w:rPr>
          <w:rFonts w:eastAsia="Times New Roman" w:cs="Times New Roman" w:ascii="Times New Roman" w:hAnsi="Times New Roman"/>
          <w:sz w:val="21"/>
        </w:rPr>
        <w:t xml:space="preserve">e employees’ responses were collected on the two major heads: </w:t>
      </w:r>
      <w:r>
        <w:rPr>
          <w:rFonts w:eastAsia="Times New Roman" w:cs="Times New Roman" w:ascii="Times New Roman" w:hAnsi="Times New Roman"/>
          <w:i/>
          <w:sz w:val="21"/>
        </w:rPr>
        <w:t>Economic Implications</w:t>
      </w:r>
      <w:r>
        <w:rPr>
          <w:rFonts w:eastAsia="Times New Roman" w:cs="Times New Roman" w:ascii="Times New Roman" w:hAnsi="Times New Roman"/>
          <w:sz w:val="21"/>
        </w:rPr>
        <w:t xml:space="preserve"> and </w:t>
      </w:r>
      <w:r>
        <w:rPr>
          <w:rFonts w:eastAsia="Times New Roman" w:cs="Times New Roman" w:ascii="Times New Roman" w:hAnsi="Times New Roman"/>
          <w:i/>
          <w:sz w:val="21"/>
        </w:rPr>
        <w:t>Social Implica-tions</w:t>
      </w:r>
      <w:r>
        <w:rPr>
          <w:rFonts w:eastAsia="Times New Roman" w:cs="Times New Roman" w:ascii="Times New Roman" w:hAnsi="Times New Roman"/>
          <w:sz w:val="21"/>
        </w:rPr>
        <w:t xml:space="preserve"> of call center jobs. e nature of employment, nature</w:t>
      </w:r>
      <w:r>
        <w:rPr>
          <w:rFonts w:eastAsia="Times New Roman" w:cs="Times New Roman" w:ascii="Times New Roman" w:hAnsi="Times New Roman"/>
          <w:i/>
          <w:sz w:val="21"/>
        </w:rPr>
        <w:t xml:space="preserve"> </w:t>
      </w:r>
      <w:r>
        <w:rPr>
          <w:rFonts w:eastAsia="Times New Roman" w:cs="Times New Roman" w:ascii="Times New Roman" w:hAnsi="Times New Roman"/>
          <w:sz w:val="21"/>
        </w:rPr>
        <w:t>of work, skill enhancement was studied under Economic Implications while Social Implications included psycho-logical pressures</w:t>
      </w:r>
      <w:r>
        <w:rPr>
          <w:rFonts w:eastAsia="Times New Roman" w:cs="Times New Roman" w:ascii="Times New Roman" w:hAnsi="Times New Roman"/>
          <w:i/>
          <w:sz w:val="21"/>
        </w:rPr>
        <w:t>,</w:t>
      </w:r>
      <w:r>
        <w:rPr>
          <w:rFonts w:eastAsia="Times New Roman" w:cs="Times New Roman" w:ascii="Times New Roman" w:hAnsi="Times New Roman"/>
          <w:sz w:val="21"/>
        </w:rPr>
        <w:t xml:space="preserve"> health and social rami cation.</w:t>
      </w:r>
    </w:p>
    <w:p>
      <w:pPr>
        <w:pStyle w:val="Normal"/>
        <w:spacing w:lineRule="exact" w:line="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0"/>
        <w:ind w:firstLine="434" w:end="0"/>
        <w:jc w:val="both"/>
        <w:rPr/>
      </w:pPr>
      <w:r>
        <w:rPr>
          <w:rFonts w:eastAsia="Times New Roman" w:cs="Times New Roman" w:ascii="Times New Roman" w:hAnsi="Times New Roman"/>
        </w:rPr>
        <w:t xml:space="preserve">e response for various propositions related to employee’s perception of call center jobs (as listed in table 1 and 2) was recorded on a ve point </w:t>
      </w:r>
      <w:r>
        <w:rPr>
          <w:rFonts w:eastAsia="Times New Roman" w:cs="Times New Roman" w:ascii="Times New Roman" w:hAnsi="Times New Roman"/>
          <w:i/>
        </w:rPr>
        <w:t>Likert scale</w:t>
      </w:r>
      <w:r>
        <w:rPr>
          <w:rFonts w:eastAsia="Times New Roman" w:cs="Times New Roman" w:ascii="Times New Roman" w:hAnsi="Times New Roman"/>
        </w:rPr>
        <w:t xml:space="preserve"> (strongly agree, agree, doesn’t matter, disagree and strongly dis-agree)</w:t>
      </w:r>
      <w:r>
        <w:rPr>
          <w:rFonts w:eastAsia="Times New Roman" w:cs="Times New Roman" w:ascii="Times New Roman" w:hAnsi="Times New Roman"/>
          <w:i/>
        </w:rPr>
        <w:t>.</w:t>
      </w:r>
      <w:r>
        <w:rPr>
          <w:rFonts w:eastAsia="Times New Roman" w:cs="Times New Roman" w:ascii="Times New Roman" w:hAnsi="Times New Roman"/>
        </w:rPr>
        <w:t xml:space="preserve"> e responses for positive and negative proposi-tions were given scores in opposite manner, so that, higher the score on a ve point scale, more positive is the percep-tion. e data thus obtained was analyzed using Statistical Package for Social Sciences (SPPS). Statistical techniques used include mean, standard deviation, One-way analysis of variance (ANOVA),</w:t>
      </w:r>
      <w:r>
        <w:rPr>
          <w:rFonts w:eastAsia="Times New Roman" w:cs="Times New Roman" w:ascii="Times New Roman" w:hAnsi="Times New Roman"/>
          <w:sz w:val="24"/>
          <w:vertAlign w:val="superscript"/>
        </w:rPr>
        <w:t>2</w:t>
      </w:r>
      <w:r>
        <w:rPr>
          <w:rFonts w:eastAsia="Times New Roman" w:cs="Times New Roman" w:ascii="Times New Roman" w:hAnsi="Times New Roman"/>
        </w:rPr>
        <w:t xml:space="preserve"> Duncan’s multiple range test,</w:t>
      </w:r>
      <w:r>
        <w:rPr>
          <w:rFonts w:eastAsia="Times New Roman" w:cs="Times New Roman" w:ascii="Times New Roman" w:hAnsi="Times New Roman"/>
          <w:sz w:val="24"/>
          <w:vertAlign w:val="superscript"/>
        </w:rPr>
        <w:t>3</w:t>
      </w:r>
      <w:r>
        <w:rPr>
          <w:rFonts w:eastAsia="Times New Roman" w:cs="Times New Roman" w:ascii="Times New Roman" w:hAnsi="Times New Roman"/>
        </w:rPr>
        <w:t xml:space="preserve"> Stu-dents’ </w:t>
      </w:r>
      <w:r>
        <w:rPr>
          <w:rFonts w:eastAsia="Times New Roman" w:cs="Times New Roman" w:ascii="Times New Roman" w:hAnsi="Times New Roman"/>
          <w:i/>
        </w:rPr>
        <w:t>t</w:t>
      </w:r>
      <w:r>
        <w:rPr>
          <w:rFonts w:eastAsia="Times New Roman" w:cs="Times New Roman" w:ascii="Times New Roman" w:hAnsi="Times New Roman"/>
        </w:rPr>
        <w:t xml:space="preserve"> test</w:t>
      </w:r>
      <w:r>
        <w:rPr>
          <w:rFonts w:eastAsia="Times New Roman" w:cs="Times New Roman" w:ascii="Times New Roman" w:hAnsi="Times New Roman"/>
          <w:sz w:val="24"/>
          <w:vertAlign w:val="superscript"/>
        </w:rPr>
        <w:t>4</w:t>
      </w:r>
      <w:r>
        <w:rPr>
          <w:rFonts w:eastAsia="Times New Roman" w:cs="Times New Roman" w:ascii="Times New Roman" w:hAnsi="Times New Roman"/>
        </w:rPr>
        <w:t xml:space="preserve"> and Discriminant function analysis.</w:t>
      </w:r>
      <w:r>
        <w:rPr>
          <w:rFonts w:eastAsia="Times New Roman" w:cs="Times New Roman" w:ascii="Times New Roman" w:hAnsi="Times New Roman"/>
          <w:sz w:val="24"/>
          <w:vertAlign w:val="superscript"/>
        </w:rPr>
        <w:t>5</w:t>
      </w:r>
    </w:p>
    <w:p>
      <w:pPr>
        <w:pStyle w:val="Normal"/>
        <w:spacing w:lineRule="exact" w:line="1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89"/>
        <w:ind w:firstLine="434" w:end="0"/>
        <w:jc w:val="both"/>
        <w:rPr/>
      </w:pPr>
      <w:r>
        <w:rPr>
          <w:rFonts w:eastAsia="Times New Roman" w:cs="Times New Roman" w:ascii="Times New Roman" w:hAnsi="Times New Roman"/>
          <w:sz w:val="21"/>
        </w:rPr>
        <w:t xml:space="preserve">e analysis has been carried out at two levels - at </w:t>
      </w:r>
      <w:r>
        <w:rPr>
          <w:rFonts w:eastAsia="Times New Roman" w:cs="Times New Roman" w:ascii="Times New Roman" w:hAnsi="Times New Roman"/>
          <w:i/>
          <w:sz w:val="21"/>
        </w:rPr>
        <w:t>aggregate level</w:t>
      </w:r>
      <w:r>
        <w:rPr>
          <w:rFonts w:eastAsia="Times New Roman" w:cs="Times New Roman" w:ascii="Times New Roman" w:hAnsi="Times New Roman"/>
          <w:sz w:val="21"/>
        </w:rPr>
        <w:t xml:space="preserve"> the perception of employees have been</w:t>
      </w:r>
      <w:r>
        <w:rPr>
          <w:rFonts w:eastAsia="Times New Roman" w:cs="Times New Roman" w:ascii="Times New Roman" w:hAnsi="Times New Roman"/>
          <w:i/>
          <w:sz w:val="21"/>
        </w:rPr>
        <w:t xml:space="preserve"> </w:t>
      </w:r>
      <w:r>
        <w:rPr>
          <w:rFonts w:eastAsia="Times New Roman" w:cs="Times New Roman" w:ascii="Times New Roman" w:hAnsi="Times New Roman"/>
          <w:sz w:val="21"/>
        </w:rPr>
        <w:t xml:space="preserve">studied as a single group while at </w:t>
      </w:r>
      <w:r>
        <w:rPr>
          <w:rFonts w:eastAsia="Times New Roman" w:cs="Times New Roman" w:ascii="Times New Roman" w:hAnsi="Times New Roman"/>
          <w:i/>
          <w:sz w:val="21"/>
        </w:rPr>
        <w:t>disaggregate level</w:t>
      </w:r>
      <w:r>
        <w:rPr>
          <w:rFonts w:eastAsia="Times New Roman" w:cs="Times New Roman" w:ascii="Times New Roman" w:hAnsi="Times New Roman"/>
          <w:sz w:val="21"/>
        </w:rPr>
        <w:t xml:space="preserve"> an attempt has been made to see if the perception di ers among various groups of employees based on the gender, education, migration status and occupational status/des-ignation.</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b/>
          <w:sz w:val="24"/>
        </w:rPr>
      </w:pPr>
      <w:r>
        <w:rPr>
          <w:rFonts w:eastAsia="Arial" w:cs="Arial" w:ascii="Arial" w:hAnsi="Arial"/>
          <w:b/>
          <w:sz w:val="24"/>
        </w:rPr>
        <w:t>Data Collection and Methodology</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9"/>
        <w:ind w:firstLine="434" w:end="0"/>
        <w:jc w:val="both"/>
        <w:rPr/>
      </w:pPr>
      <w:r>
        <w:rPr>
          <w:rFonts w:eastAsia="Times New Roman" w:cs="Times New Roman" w:ascii="Times New Roman" w:hAnsi="Times New Roman"/>
        </w:rPr>
        <w:t>e present study is based on primary data collected from 23 o shore call centers in the National Capital Region (NCR) of Delhi during the years 2006–2007. A well structured questionnaire was prepared to register the response of 245 employees. e respondents included cus-tomer care executives (80.8%) while the others were man-agerial sta including team leaders, assistant managers, quality analysts, and trainers (19.2%). e composition of the sample was in accordance with the organizational</w:t>
      </w:r>
    </w:p>
    <w:p>
      <w:pPr>
        <w:pStyle w:val="Normal"/>
        <w:spacing w:lineRule="exact" w:line="29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Economic Implications</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9"/>
        <w:ind w:firstLine="434" w:end="0"/>
        <w:jc w:val="both"/>
        <w:rPr>
          <w:rFonts w:ascii="Times New Roman" w:hAnsi="Times New Roman" w:eastAsia="Times New Roman" w:cs="Times New Roman"/>
        </w:rPr>
      </w:pPr>
      <w:r>
        <w:rPr>
          <w:rFonts w:eastAsia="Times New Roman" w:cs="Times New Roman" w:ascii="Times New Roman" w:hAnsi="Times New Roman"/>
        </w:rPr>
        <w:t>e call centers o er lucrative entry level salaries to their employees. e study reveals that about 59.2 per cent of employees started with a monthly salary between Rs 8,000 and Rs.10,000 and 32.2 percent between Rs. 10,000 and Rs. 12,000. For the rest, the entry level salary was more than Rs. 12,000. e employees also enjoy many non-cash incentives including transport, free or subsidized food in the o ce, medical reimbursement, and company sponsored insurance facilities. erefore overwhelming</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2</w:t>
        <w:tab/>
        <w:t>—</w:t>
      </w:r>
    </w:p>
    <w:p>
      <w:pPr>
        <w:sectPr>
          <w:type w:val="continuous"/>
          <w:pgSz w:w="11906" w:h="16838"/>
          <w:pgMar w:left="880" w:right="866" w:gutter="0" w:header="0" w:top="561" w:footer="0" w:bottom="28"/>
          <w:formProt w:val="false"/>
          <w:textDirection w:val="lrTb"/>
          <w:docGrid w:type="default" w:linePitch="360" w:charSpace="0"/>
        </w:sectPr>
      </w:pPr>
    </w:p>
    <w:p>
      <w:pPr>
        <w:pStyle w:val="Normal"/>
        <w:spacing w:lineRule="atLeast" w:line="0"/>
        <w:ind w:end="20"/>
        <w:jc w:val="center"/>
        <w:rPr>
          <w:rFonts w:ascii="Arial" w:hAnsi="Arial" w:eastAsia="Arial" w:cs="Arial"/>
          <w:sz w:val="14"/>
        </w:rPr>
      </w:pPr>
      <w:bookmarkStart w:id="2" w:name="page3"/>
      <w:bookmarkEnd w:id="2"/>
      <w:r>
        <w:rPr>
          <w:rFonts w:eastAsia="Arial" w:cs="Arial" w:ascii="Arial" w:hAnsi="Arial"/>
          <w:sz w:val="14"/>
        </w:rPr>
        <w:t>Economic and Social Implications and Sustainability of Call Center Jobs in India</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9"/>
        <w:jc w:val="both"/>
        <w:rPr/>
      </w:pPr>
      <w:r>
        <w:rPr>
          <w:rFonts w:eastAsia="Times New Roman" w:cs="Times New Roman" w:ascii="Times New Roman" w:hAnsi="Times New Roman"/>
        </w:rPr>
        <w:t>majority of them considered call center jobs as a de nite advantage. Only a few of them did not nd their salaries to be high enough especially when weighed against the amount of work they were doing. While some employees considered call center employment as a step towards a bright career, others considered it as a complete cul-de-sac in one’s career. Such contradictory views emerged because career opportunities were limited only for a few, while there was no de nite career path for majority of them.</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ind w:firstLine="434" w:end="0"/>
        <w:jc w:val="both"/>
        <w:rPr>
          <w:rFonts w:ascii="Times New Roman" w:hAnsi="Times New Roman" w:eastAsia="Times New Roman" w:cs="Times New Roman"/>
        </w:rPr>
      </w:pPr>
      <w:r>
        <w:rPr>
          <w:rFonts w:eastAsia="Times New Roman" w:cs="Times New Roman" w:ascii="Times New Roman" w:hAnsi="Times New Roman"/>
        </w:rPr>
        <w:t>e results of various propositions shown in Table 1 reveal that the mean score for higher salary and fast increase in salary were 4.14 and 3.90 respectively, meaning thereby the call center jobs are high salaried and also there is fast increase in salary. e reason for both the incentives was to attract and retain the employees. It was observed that the salary increase in this industry was 17.9% which none of the Indian industries could match ( e Economic Times, June 28, 2006). On the other hand, the employees hold di erent views regarding the career opportunities o ered by this sector. is can be observed from the lower mean score (3.15) and a higher standard deviation (1.17) which signi cantly indicate that the perception of career growth opportunities is less positive and more variable than the perception of the salary (Table 1).</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ind w:firstLine="434" w:end="0"/>
        <w:jc w:val="both"/>
        <w:rPr>
          <w:rFonts w:ascii="Times New Roman" w:hAnsi="Times New Roman" w:eastAsia="Times New Roman" w:cs="Times New Roman"/>
          <w:sz w:val="21"/>
        </w:rPr>
      </w:pPr>
      <w:r>
        <w:rPr>
          <w:rFonts w:eastAsia="Times New Roman" w:cs="Times New Roman" w:ascii="Times New Roman" w:hAnsi="Times New Roman"/>
          <w:sz w:val="21"/>
        </w:rPr>
        <w:t>e mean scores for the loss of jobs due to closing down of company and termination of jobs were 3.28 and 2.76 respectively. Since call centers in India use contrac-</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0" w:leader="none"/>
        </w:tabs>
        <w:spacing w:lineRule="atLeast" w:line="0"/>
        <w:ind w:start="360" w:end="0"/>
        <w:rPr/>
      </w:pPr>
      <w:r>
        <w:rPr>
          <w:rFonts w:eastAsia="Arial" w:cs="Arial" w:ascii="Arial" w:hAnsi="Arial"/>
          <w:b/>
          <w:sz w:val="19"/>
        </w:rPr>
        <w:t>Table 1.</w:t>
      </w:r>
      <w:r>
        <w:rPr>
          <w:rFonts w:eastAsia="Times New Roman" w:cs="Times New Roman" w:ascii="Times New Roman" w:hAnsi="Times New Roman"/>
        </w:rPr>
        <w:tab/>
      </w:r>
      <w:r>
        <w:rPr>
          <w:rFonts w:eastAsia="Arial" w:cs="Arial" w:ascii="Arial" w:hAnsi="Arial"/>
          <w:sz w:val="17"/>
        </w:rPr>
        <w:t>Economic Implications of Call Centre Jobs</w:t>
      </w:r>
    </w:p>
    <w:p>
      <w:pPr>
        <w:pStyle w:val="Normal"/>
        <w:spacing w:lineRule="exact" w:line="69"/>
        <w:rPr>
          <w:rFonts w:ascii="Times New Roman" w:hAnsi="Times New Roman" w:eastAsia="Times New Roman" w:cs="Times New Roman"/>
          <w:sz w:val="17"/>
        </w:rPr>
      </w:pPr>
      <w:r>
        <w:rPr>
          <w:rFonts w:eastAsia="Times New Roman" w:cs="Times New Roman" w:ascii="Times New Roman" w:hAnsi="Times New Roman"/>
          <w:sz w:val="17"/>
        </w:rPr>
      </w:r>
    </w:p>
    <w:tbl>
      <w:tblPr>
        <w:tblW w:w="4900" w:type="dxa"/>
        <w:jc w:val="start"/>
        <w:tblInd w:w="0" w:type="dxa"/>
        <w:tblLayout w:type="fixed"/>
        <w:tblCellMar>
          <w:top w:w="0" w:type="dxa"/>
          <w:start w:w="0" w:type="dxa"/>
          <w:bottom w:w="0" w:type="dxa"/>
          <w:end w:w="0" w:type="dxa"/>
        </w:tblCellMar>
      </w:tblPr>
      <w:tblGrid>
        <w:gridCol w:w="3040"/>
        <w:gridCol w:w="920"/>
        <w:gridCol w:w="940"/>
      </w:tblGrid>
      <w:tr>
        <w:trPr>
          <w:trHeight w:val="241" w:hRule="atLeast"/>
        </w:trPr>
        <w:tc>
          <w:tcPr>
            <w:tcW w:w="304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60" w:type="dxa"/>
            <w:gridSpan w:val="2"/>
            <w:tcBorders>
              <w:top w:val="single" w:sz="8" w:space="0" w:color="000000"/>
              <w:end w:val="single" w:sz="8" w:space="0" w:color="000000"/>
            </w:tcBorders>
          </w:tcPr>
          <w:p>
            <w:pPr>
              <w:pStyle w:val="Normal"/>
              <w:spacing w:lineRule="atLeast" w:line="0"/>
              <w:jc w:val="center"/>
              <w:rPr>
                <w:rFonts w:ascii="Arial" w:hAnsi="Arial" w:eastAsia="Arial" w:cs="Arial"/>
                <w:w w:val="88"/>
                <w:sz w:val="16"/>
              </w:rPr>
            </w:pPr>
            <w:r>
              <w:rPr>
                <w:rFonts w:eastAsia="Arial" w:cs="Arial" w:ascii="Arial" w:hAnsi="Arial"/>
                <w:w w:val="88"/>
                <w:sz w:val="16"/>
              </w:rPr>
              <w:t>Employees response on</w:t>
            </w:r>
          </w:p>
        </w:tc>
      </w:tr>
      <w:tr>
        <w:trPr>
          <w:trHeight w:val="200" w:hRule="atLeast"/>
        </w:trPr>
        <w:tc>
          <w:tcPr>
            <w:tcW w:w="3040" w:type="dxa"/>
            <w:vMerge w:val="restart"/>
            <w:tcBorders>
              <w:start w:val="single" w:sz="8" w:space="0" w:color="000000"/>
              <w:end w:val="single" w:sz="8" w:space="0" w:color="000000"/>
            </w:tcBorders>
          </w:tcPr>
          <w:p>
            <w:pPr>
              <w:pStyle w:val="Normal"/>
              <w:spacing w:lineRule="atLeast" w:line="0"/>
              <w:ind w:start="1120" w:end="0"/>
              <w:rPr>
                <w:rFonts w:ascii="Arial" w:hAnsi="Arial" w:eastAsia="Arial" w:cs="Arial"/>
                <w:sz w:val="16"/>
              </w:rPr>
            </w:pPr>
            <w:r>
              <w:rPr>
                <w:rFonts w:eastAsia="Arial" w:cs="Arial" w:ascii="Arial" w:hAnsi="Arial"/>
                <w:sz w:val="16"/>
              </w:rPr>
              <w:t>Propositions</w:t>
            </w:r>
          </w:p>
        </w:tc>
        <w:tc>
          <w:tcPr>
            <w:tcW w:w="1860" w:type="dxa"/>
            <w:gridSpan w:val="2"/>
            <w:tcBorders>
              <w:end w:val="single" w:sz="8" w:space="0" w:color="000000"/>
            </w:tcBorders>
          </w:tcPr>
          <w:p>
            <w:pPr>
              <w:pStyle w:val="Normal"/>
              <w:spacing w:lineRule="atLeast" w:line="0"/>
              <w:jc w:val="center"/>
              <w:rPr>
                <w:rFonts w:ascii="Arial" w:hAnsi="Arial" w:eastAsia="Arial" w:cs="Arial"/>
                <w:w w:val="86"/>
                <w:sz w:val="16"/>
              </w:rPr>
            </w:pPr>
            <w:r>
              <w:rPr>
                <w:rFonts w:eastAsia="Arial" w:cs="Arial" w:ascii="Arial" w:hAnsi="Arial"/>
                <w:w w:val="86"/>
                <w:sz w:val="16"/>
              </w:rPr>
              <w:t>Likert scale</w:t>
            </w:r>
          </w:p>
        </w:tc>
      </w:tr>
      <w:tr>
        <w:trPr>
          <w:trHeight w:val="57" w:hRule="atLeast"/>
        </w:trPr>
        <w:tc>
          <w:tcPr>
            <w:tcW w:w="30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6"/>
                <w:sz w:val="4"/>
              </w:rPr>
            </w:pPr>
            <w:r>
              <w:rPr>
                <w:rFonts w:eastAsia="Times New Roman" w:cs="Times New Roman" w:ascii="Times New Roman" w:hAnsi="Times New Roman"/>
                <w:w w:val="86"/>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7" w:hRule="atLeast"/>
        </w:trPr>
        <w:tc>
          <w:tcPr>
            <w:tcW w:w="30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Mean</w:t>
            </w:r>
          </w:p>
        </w:tc>
        <w:tc>
          <w:tcPr>
            <w:tcW w:w="940" w:type="dxa"/>
            <w:tcBorders>
              <w:end w:val="single" w:sz="8" w:space="0" w:color="000000"/>
            </w:tcBorders>
          </w:tcPr>
          <w:p>
            <w:pPr>
              <w:pStyle w:val="Normal"/>
              <w:spacing w:lineRule="atLeast" w:line="0"/>
              <w:jc w:val="center"/>
              <w:rPr>
                <w:rFonts w:ascii="Arial" w:hAnsi="Arial" w:eastAsia="Arial" w:cs="Arial"/>
                <w:w w:val="80"/>
                <w:sz w:val="16"/>
              </w:rPr>
            </w:pPr>
            <w:r>
              <w:rPr>
                <w:rFonts w:eastAsia="Arial" w:cs="Arial" w:ascii="Arial" w:hAnsi="Arial"/>
                <w:w w:val="80"/>
                <w:sz w:val="16"/>
              </w:rPr>
              <w:t>SD</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0"/>
                <w:sz w:val="5"/>
              </w:rPr>
            </w:pPr>
            <w:r>
              <w:rPr>
                <w:rFonts w:eastAsia="Times New Roman" w:cs="Times New Roman" w:ascii="Times New Roman" w:hAnsi="Times New Roman"/>
                <w:w w:val="80"/>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80" w:end="0"/>
              <w:rPr>
                <w:rFonts w:ascii="Arial" w:hAnsi="Arial" w:eastAsia="Arial" w:cs="Arial"/>
                <w:i/>
                <w:i/>
                <w:sz w:val="16"/>
              </w:rPr>
            </w:pPr>
            <w:r>
              <w:rPr>
                <w:rFonts w:eastAsia="Arial" w:cs="Arial" w:ascii="Arial" w:hAnsi="Arial"/>
                <w:i/>
                <w:sz w:val="16"/>
              </w:rPr>
              <w:t>Nature of employment</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Higher salary than other jobs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4.14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0.84</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Fast increase in Salary</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3.90</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0.89</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Good career growth opportunities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3.15</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1.17</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Chance to work in foreign country</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3.22</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0.99</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Threat of termination</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2.76</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1.20</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w w:val="94"/>
                <w:sz w:val="16"/>
              </w:rPr>
            </w:pPr>
            <w:r>
              <w:rPr>
                <w:rFonts w:eastAsia="Arial" w:cs="Arial" w:ascii="Arial" w:hAnsi="Arial"/>
                <w:w w:val="94"/>
                <w:sz w:val="16"/>
              </w:rPr>
              <w:t>Loss of job due to company closing down</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3.28</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1.18</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80" w:end="0"/>
              <w:rPr>
                <w:rFonts w:ascii="Arial" w:hAnsi="Arial" w:eastAsia="Arial" w:cs="Arial"/>
                <w:i/>
                <w:i/>
                <w:sz w:val="16"/>
              </w:rPr>
            </w:pPr>
            <w:r>
              <w:rPr>
                <w:rFonts w:eastAsia="Arial" w:cs="Arial" w:ascii="Arial" w:hAnsi="Arial"/>
                <w:i/>
                <w:sz w:val="16"/>
              </w:rPr>
              <w:t>Nature of work</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Pressure of work is high</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2.05</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0.88</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Work is stressful</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2.14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0.96</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Work is repetitive and monotonous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1.97</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0.89</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80" w:end="0"/>
              <w:rPr>
                <w:rFonts w:ascii="Arial" w:hAnsi="Arial" w:eastAsia="Arial" w:cs="Arial"/>
                <w:i/>
                <w:i/>
                <w:sz w:val="16"/>
              </w:rPr>
            </w:pPr>
            <w:r>
              <w:rPr>
                <w:rFonts w:eastAsia="Arial" w:cs="Arial" w:ascii="Arial" w:hAnsi="Arial"/>
                <w:i/>
                <w:sz w:val="16"/>
              </w:rPr>
              <w:t>Skill enhancement opportunities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exact" w:line="184"/>
              <w:ind w:start="240" w:end="0"/>
              <w:rPr>
                <w:rFonts w:ascii="Arial" w:hAnsi="Arial" w:eastAsia="Arial" w:cs="Arial"/>
                <w:sz w:val="16"/>
              </w:rPr>
            </w:pPr>
            <w:r>
              <w:rPr>
                <w:rFonts w:eastAsia="Arial" w:cs="Arial" w:ascii="Arial" w:hAnsi="Arial"/>
                <w:sz w:val="16"/>
              </w:rPr>
              <w:t>Process speci c skills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4.11</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0.89</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Language and communication skills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4.24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0.92</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Interpersonal skills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4.13</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0.92</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exact" w:line="184"/>
              <w:ind w:start="240" w:end="0"/>
              <w:rPr>
                <w:rFonts w:ascii="Arial" w:hAnsi="Arial" w:eastAsia="Arial" w:cs="Arial"/>
                <w:sz w:val="16"/>
              </w:rPr>
            </w:pPr>
            <w:r>
              <w:rPr>
                <w:rFonts w:eastAsia="Arial" w:cs="Arial" w:ascii="Arial" w:hAnsi="Arial"/>
                <w:sz w:val="16"/>
              </w:rPr>
              <w:t>Con dence level</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4.25</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0.79</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4" w:hRule="atLeast"/>
        </w:trPr>
        <w:tc>
          <w:tcPr>
            <w:tcW w:w="3040" w:type="dxa"/>
            <w:tcBorders/>
          </w:tcPr>
          <w:p>
            <w:pPr>
              <w:pStyle w:val="Normal"/>
              <w:spacing w:lineRule="atLeast" w:line="0"/>
              <w:ind w:start="160" w:end="0"/>
              <w:rPr/>
            </w:pPr>
            <w:r>
              <w:rPr>
                <w:rFonts w:eastAsia="Arial" w:cs="Arial" w:ascii="Arial" w:hAnsi="Arial"/>
                <w:sz w:val="16"/>
              </w:rPr>
              <w:t>Note: SD</w:t>
            </w:r>
            <w:r>
              <w:rPr>
                <w:rFonts w:eastAsia="Times New Roman" w:cs="Times New Roman" w:ascii="Times New Roman" w:hAnsi="Times New Roman"/>
                <w:sz w:val="16"/>
              </w:rPr>
              <w:t>=</w:t>
            </w:r>
            <w:r>
              <w:rPr>
                <w:rFonts w:eastAsia="Arial" w:cs="Arial" w:ascii="Arial" w:hAnsi="Arial"/>
                <w:sz w:val="16"/>
              </w:rPr>
              <w:t>Standard deviation of scores</w:t>
            </w:r>
          </w:p>
        </w:tc>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
            <wp:simplePos x="0" y="0"/>
            <wp:positionH relativeFrom="column">
              <wp:posOffset>-2540</wp:posOffset>
            </wp:positionH>
            <wp:positionV relativeFrom="paragraph">
              <wp:posOffset>-3759835</wp:posOffset>
            </wp:positionV>
            <wp:extent cx="3098800" cy="51308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7"/>
                    <a:srcRect l="-6" t="-35" r="-6" b="-35"/>
                    <a:stretch>
                      <a:fillRect/>
                    </a:stretch>
                  </pic:blipFill>
                  <pic:spPr bwMode="auto">
                    <a:xfrm>
                      <a:off x="0" y="0"/>
                      <a:ext cx="3098800" cy="5130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jc w:val="both"/>
        <w:rPr>
          <w:rFonts w:ascii="Times New Roman" w:hAnsi="Times New Roman" w:eastAsia="Times New Roman" w:cs="Times New Roman"/>
          <w:sz w:val="21"/>
        </w:rPr>
      </w:pPr>
      <w:r>
        <w:rPr>
          <w:rFonts w:eastAsia="Times New Roman" w:cs="Times New Roman" w:ascii="Times New Roman" w:hAnsi="Times New Roman"/>
          <w:sz w:val="21"/>
        </w:rPr>
        <w:t>tual labor and do not employ them permanently, there is a constant threat to the employees for termination from the jobs. e low mean score con rmed this proposition while the closing down of company did not matter much to them as there is ample opportunity to get employment in other ITES companies.</w:t>
      </w:r>
    </w:p>
    <w:p>
      <w:pPr>
        <w:pStyle w:val="Normal"/>
        <w:spacing w:lineRule="exact" w:line="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210" w:end="0"/>
        <w:jc w:val="both"/>
        <w:rPr/>
      </w:pPr>
      <w:r>
        <w:rPr>
          <w:rFonts w:eastAsia="Times New Roman" w:cs="Times New Roman" w:ascii="Times New Roman" w:hAnsi="Times New Roman"/>
          <w:sz w:val="21"/>
        </w:rPr>
        <w:t>To keep the cost low, the work pressure per person is maintained high. It was estimated that a customer care executive may have to attend 120–180 calls a day (Kulkarni, 2005). e results of the eld study con rm the propositions of high work pressure, stressful and highly repetitive and monotonous. is can be seen from the mean scores 2.05, 2.14, 1.97 for all these propositions respectively, indicating an overall negative perception of employees about the nature of work in the call center. As this kind of work does not o er an intellectual growth a section of the employees was found not much satis ed.</w:t>
      </w:r>
    </w:p>
    <w:p>
      <w:pPr>
        <w:pStyle w:val="Normal"/>
        <w:spacing w:lineRule="exact" w:line="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210" w:end="0"/>
        <w:jc w:val="both"/>
        <w:rPr>
          <w:rFonts w:ascii="Times New Roman" w:hAnsi="Times New Roman" w:eastAsia="Times New Roman" w:cs="Times New Roman"/>
          <w:sz w:val="21"/>
        </w:rPr>
      </w:pPr>
      <w:r>
        <w:rPr>
          <w:rFonts w:eastAsia="Times New Roman" w:cs="Times New Roman" w:ascii="Times New Roman" w:hAnsi="Times New Roman"/>
          <w:sz w:val="21"/>
        </w:rPr>
        <w:t>It is to be noted that all the four propositions (i.e., pro-cess speci c skill, language and communication skill, inter personal skill, con dential level) under skill enhancement indicated high level of satisfaction as the mean scores for them range from 4.11 to 4.25 (Table 1). e higher scores of these propositions con rmed that most of the employees believed that there exists opportunity for skill enhancement in call center jobs.</w:t>
      </w:r>
    </w:p>
    <w:p>
      <w:pPr>
        <w:pStyle w:val="Normal"/>
        <w:spacing w:lineRule="exact" w:line="3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b/>
          <w:sz w:val="24"/>
        </w:rPr>
      </w:pPr>
      <w:r>
        <w:rPr>
          <w:rFonts w:eastAsia="Arial" w:cs="Arial" w:ascii="Arial" w:hAnsi="Arial"/>
          <w:b/>
          <w:sz w:val="24"/>
        </w:rPr>
        <w:t>Social Implications</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3"/>
        <w:ind w:firstLine="210" w:end="0"/>
        <w:jc w:val="both"/>
        <w:rPr>
          <w:rFonts w:ascii="Times New Roman" w:hAnsi="Times New Roman" w:eastAsia="Times New Roman" w:cs="Times New Roman"/>
        </w:rPr>
      </w:pPr>
      <w:r>
        <w:rPr>
          <w:rFonts w:eastAsia="Times New Roman" w:cs="Times New Roman" w:ascii="Times New Roman" w:hAnsi="Times New Roman"/>
        </w:rPr>
        <w:t>A number of social implications are associated with call center jobs in general and particularly with the Indian context as these jobs are not considered prestigious. To understand various dimensions social implications have been studied under psychological pressure, health prob-lems, and social rami cations. Altogether 15 variables were selected for testing. Except two of them (i.e. using alias and depressive state of mind), none of the variables mean score was found above 3. It shows that call center employees have negative perception of most of the social concern in the call center jobs. It is to be noted that the call center employees may have to adopt foreign names (alias), thus some of them might su er from psychological pressure for losing their identity. e results of the pres-ent study did not fully con rm this apprehension as the mean score for this proposition was 3.33 with the stan-dard deviation of 1.08. e rude behavior of the custom-ers is another psychological pressure on the employees. Although more than one-fourth of the employees agreed with this proposition, majority of them preferred to ignore it and consider it a part of their job. us mean score 2.94 with standard deviation 1.08 only not partially con rm</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3</w:t>
        <w:tab/>
        <w:t>—</w:t>
      </w:r>
    </w:p>
    <w:p>
      <w:pPr>
        <w:sectPr>
          <w:type w:val="continuous"/>
          <w:pgSz w:w="11906" w:h="16838"/>
          <w:pgMar w:left="880" w:right="866" w:gutter="0" w:header="0" w:top="561" w:footer="0" w:bottom="28"/>
          <w:formProt w:val="false"/>
          <w:textDirection w:val="lrTb"/>
          <w:docGrid w:type="default" w:linePitch="360" w:charSpace="0"/>
        </w:sectPr>
      </w:pPr>
    </w:p>
    <w:p>
      <w:pPr>
        <w:pStyle w:val="Normal"/>
        <w:spacing w:lineRule="atLeast" w:line="0"/>
        <w:ind w:end="20"/>
        <w:jc w:val="center"/>
        <w:rPr>
          <w:rFonts w:ascii="Arial" w:hAnsi="Arial" w:eastAsia="Arial" w:cs="Arial"/>
          <w:sz w:val="13"/>
        </w:rPr>
      </w:pPr>
      <w:bookmarkStart w:id="3" w:name="page4"/>
      <w:bookmarkEnd w:id="3"/>
      <w:r>
        <w:rPr>
          <w:rFonts w:eastAsia="Arial" w:cs="Arial" w:ascii="Arial" w:hAnsi="Arial"/>
          <w:sz w:val="13"/>
        </w:rPr>
        <w:t>ISHTIYAQUE M and GERA R</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this proposition.</w:t>
      </w:r>
    </w:p>
    <w:p>
      <w:pPr>
        <w:pStyle w:val="Normal"/>
        <w:spacing w:lineRule="exact" w:line="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0"/>
        <w:ind w:firstLine="434" w:end="0"/>
        <w:jc w:val="both"/>
        <w:rPr/>
      </w:pPr>
      <w:r>
        <w:rPr>
          <w:rFonts w:eastAsia="Times New Roman" w:cs="Times New Roman" w:ascii="Times New Roman" w:hAnsi="Times New Roman"/>
        </w:rPr>
        <w:t>e call center employees might face depression due to the pressure of work, rude behavior of the customer, isolation from the society, and the worry about their future career. e mean score (3.0) and standard deviation (1.18) revealed that there were a signi cant variations in the employees’ responses. Working at night, sitting in the same posture for long hours, continuously looking at com-puter screen, talking and typing are a ecting the health of the employees. ey o en complain of backaches, chronic fatigue and sleep disorders. Other signi cant e ect on health concerns are on eyesight, ear infection, digestive disorders, and sleep disorders. As shown in Table 2, the proposition of working at night being against the body clock has a low mean score of 2.01. Further, the lack of exercise, which is a result of sedentary nature of work and odd schedules leaving no time for physical exercise, leads to health problems. e mean score for this proposition is also low (2.19). e Table 2 shows that among speci c health problems, except ear infection (with 2.98 mean score) the remaining propositions had scored equal to or less than 2.38 indicating that despite the variation of responses as shown by relatively high values of standard deviations, employees had an overall negative perception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340" w:leader="none"/>
        </w:tabs>
        <w:spacing w:lineRule="atLeast" w:line="0"/>
        <w:ind w:start="520" w:end="0"/>
        <w:rPr/>
      </w:pPr>
      <w:r>
        <w:rPr>
          <w:rFonts w:eastAsia="Arial" w:cs="Arial" w:ascii="Arial" w:hAnsi="Arial"/>
          <w:b/>
          <w:sz w:val="19"/>
        </w:rPr>
        <w:t>Table 2.</w:t>
      </w:r>
      <w:r>
        <w:rPr>
          <w:rFonts w:eastAsia="Times New Roman" w:cs="Times New Roman" w:ascii="Times New Roman" w:hAnsi="Times New Roman"/>
        </w:rPr>
        <w:tab/>
      </w:r>
      <w:r>
        <w:rPr>
          <w:rFonts w:eastAsia="Arial" w:cs="Arial" w:ascii="Arial" w:hAnsi="Arial"/>
          <w:sz w:val="17"/>
        </w:rPr>
        <w:t>Social Implications of Call Centre Jobs</w:t>
      </w:r>
    </w:p>
    <w:p>
      <w:pPr>
        <w:pStyle w:val="Normal"/>
        <w:spacing w:lineRule="exact" w:line="69"/>
        <w:rPr>
          <w:rFonts w:ascii="Times New Roman" w:hAnsi="Times New Roman" w:eastAsia="Times New Roman" w:cs="Times New Roman"/>
          <w:sz w:val="17"/>
        </w:rPr>
      </w:pPr>
      <w:r>
        <w:rPr>
          <w:rFonts w:eastAsia="Times New Roman" w:cs="Times New Roman" w:ascii="Times New Roman" w:hAnsi="Times New Roman"/>
          <w:sz w:val="17"/>
        </w:rPr>
      </w:r>
    </w:p>
    <w:tbl>
      <w:tblPr>
        <w:tblW w:w="4900" w:type="dxa"/>
        <w:jc w:val="start"/>
        <w:tblInd w:w="0" w:type="dxa"/>
        <w:tblLayout w:type="fixed"/>
        <w:tblCellMar>
          <w:top w:w="0" w:type="dxa"/>
          <w:start w:w="0" w:type="dxa"/>
          <w:bottom w:w="0" w:type="dxa"/>
          <w:end w:w="0" w:type="dxa"/>
        </w:tblCellMar>
      </w:tblPr>
      <w:tblGrid>
        <w:gridCol w:w="3040"/>
        <w:gridCol w:w="920"/>
        <w:gridCol w:w="940"/>
      </w:tblGrid>
      <w:tr>
        <w:trPr>
          <w:trHeight w:val="241" w:hRule="atLeast"/>
        </w:trPr>
        <w:tc>
          <w:tcPr>
            <w:tcW w:w="304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60" w:type="dxa"/>
            <w:gridSpan w:val="2"/>
            <w:tcBorders>
              <w:top w:val="single" w:sz="8" w:space="0" w:color="000000"/>
              <w:end w:val="single" w:sz="8" w:space="0" w:color="000000"/>
            </w:tcBorders>
          </w:tcPr>
          <w:p>
            <w:pPr>
              <w:pStyle w:val="Normal"/>
              <w:spacing w:lineRule="atLeast" w:line="0"/>
              <w:jc w:val="center"/>
              <w:rPr>
                <w:rFonts w:ascii="Arial" w:hAnsi="Arial" w:eastAsia="Arial" w:cs="Arial"/>
                <w:w w:val="88"/>
                <w:sz w:val="16"/>
              </w:rPr>
            </w:pPr>
            <w:r>
              <w:rPr>
                <w:rFonts w:eastAsia="Arial" w:cs="Arial" w:ascii="Arial" w:hAnsi="Arial"/>
                <w:w w:val="88"/>
                <w:sz w:val="16"/>
              </w:rPr>
              <w:t>Employees response on</w:t>
            </w:r>
          </w:p>
        </w:tc>
      </w:tr>
      <w:tr>
        <w:trPr>
          <w:trHeight w:val="200" w:hRule="atLeast"/>
        </w:trPr>
        <w:tc>
          <w:tcPr>
            <w:tcW w:w="3040" w:type="dxa"/>
            <w:vMerge w:val="restart"/>
            <w:tcBorders>
              <w:start w:val="single" w:sz="8" w:space="0" w:color="000000"/>
              <w:end w:val="single" w:sz="8" w:space="0" w:color="000000"/>
            </w:tcBorders>
          </w:tcPr>
          <w:p>
            <w:pPr>
              <w:pStyle w:val="Normal"/>
              <w:spacing w:lineRule="atLeast" w:line="0"/>
              <w:ind w:start="1120" w:end="0"/>
              <w:rPr>
                <w:rFonts w:ascii="Arial" w:hAnsi="Arial" w:eastAsia="Arial" w:cs="Arial"/>
                <w:sz w:val="16"/>
              </w:rPr>
            </w:pPr>
            <w:r>
              <w:rPr>
                <w:rFonts w:eastAsia="Arial" w:cs="Arial" w:ascii="Arial" w:hAnsi="Arial"/>
                <w:sz w:val="16"/>
              </w:rPr>
              <w:t>Propositions</w:t>
            </w:r>
          </w:p>
        </w:tc>
        <w:tc>
          <w:tcPr>
            <w:tcW w:w="1860" w:type="dxa"/>
            <w:gridSpan w:val="2"/>
            <w:tcBorders>
              <w:end w:val="single" w:sz="8" w:space="0" w:color="000000"/>
            </w:tcBorders>
          </w:tcPr>
          <w:p>
            <w:pPr>
              <w:pStyle w:val="Normal"/>
              <w:spacing w:lineRule="atLeast" w:line="0"/>
              <w:jc w:val="center"/>
              <w:rPr>
                <w:rFonts w:ascii="Arial" w:hAnsi="Arial" w:eastAsia="Arial" w:cs="Arial"/>
                <w:w w:val="86"/>
                <w:sz w:val="16"/>
              </w:rPr>
            </w:pPr>
            <w:r>
              <w:rPr>
                <w:rFonts w:eastAsia="Arial" w:cs="Arial" w:ascii="Arial" w:hAnsi="Arial"/>
                <w:w w:val="86"/>
                <w:sz w:val="16"/>
              </w:rPr>
              <w:t>Likert scale</w:t>
            </w:r>
          </w:p>
        </w:tc>
      </w:tr>
      <w:tr>
        <w:trPr>
          <w:trHeight w:val="57" w:hRule="atLeast"/>
        </w:trPr>
        <w:tc>
          <w:tcPr>
            <w:tcW w:w="30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6"/>
                <w:sz w:val="4"/>
              </w:rPr>
            </w:pPr>
            <w:r>
              <w:rPr>
                <w:rFonts w:eastAsia="Times New Roman" w:cs="Times New Roman" w:ascii="Times New Roman" w:hAnsi="Times New Roman"/>
                <w:w w:val="86"/>
                <w:sz w:val="4"/>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27" w:hRule="atLeast"/>
        </w:trPr>
        <w:tc>
          <w:tcPr>
            <w:tcW w:w="30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Mean</w:t>
            </w:r>
          </w:p>
        </w:tc>
        <w:tc>
          <w:tcPr>
            <w:tcW w:w="940" w:type="dxa"/>
            <w:tcBorders>
              <w:end w:val="single" w:sz="8" w:space="0" w:color="000000"/>
            </w:tcBorders>
          </w:tcPr>
          <w:p>
            <w:pPr>
              <w:pStyle w:val="Normal"/>
              <w:spacing w:lineRule="atLeast" w:line="0"/>
              <w:jc w:val="center"/>
              <w:rPr>
                <w:rFonts w:ascii="Arial" w:hAnsi="Arial" w:eastAsia="Arial" w:cs="Arial"/>
                <w:w w:val="80"/>
                <w:sz w:val="16"/>
              </w:rPr>
            </w:pPr>
            <w:r>
              <w:rPr>
                <w:rFonts w:eastAsia="Arial" w:cs="Arial" w:ascii="Arial" w:hAnsi="Arial"/>
                <w:w w:val="80"/>
                <w:sz w:val="16"/>
              </w:rPr>
              <w:t>SD</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0"/>
                <w:sz w:val="5"/>
              </w:rPr>
            </w:pPr>
            <w:r>
              <w:rPr>
                <w:rFonts w:eastAsia="Times New Roman" w:cs="Times New Roman" w:ascii="Times New Roman" w:hAnsi="Times New Roman"/>
                <w:w w:val="80"/>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80" w:end="0"/>
              <w:rPr>
                <w:rFonts w:ascii="Arial" w:hAnsi="Arial" w:eastAsia="Arial" w:cs="Arial"/>
                <w:i/>
                <w:i/>
                <w:sz w:val="16"/>
              </w:rPr>
            </w:pPr>
            <w:r>
              <w:rPr>
                <w:rFonts w:eastAsia="Arial" w:cs="Arial" w:ascii="Arial" w:hAnsi="Arial"/>
                <w:i/>
                <w:sz w:val="16"/>
              </w:rPr>
              <w:t>Psychological Pressures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pPr>
            <w:r>
              <w:rPr>
                <w:rFonts w:eastAsia="Arial" w:cs="Arial" w:ascii="Arial" w:hAnsi="Arial"/>
                <w:w w:val="90"/>
                <w:sz w:val="16"/>
              </w:rPr>
              <w:t>Using an ‘alias’ means losing one’s identity</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3.33</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1.08</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Rude behavior of customers brings the</w:t>
            </w:r>
          </w:p>
        </w:tc>
        <w:tc>
          <w:tcPr>
            <w:tcW w:w="920" w:type="dxa"/>
            <w:vMerge w:val="restart"/>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2.94</w:t>
            </w:r>
          </w:p>
        </w:tc>
        <w:tc>
          <w:tcPr>
            <w:tcW w:w="940" w:type="dxa"/>
            <w:vMerge w:val="restart"/>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1.08</w:t>
            </w:r>
          </w:p>
        </w:tc>
      </w:tr>
      <w:tr>
        <w:trPr>
          <w:trHeight w:val="100" w:hRule="atLeast"/>
        </w:trPr>
        <w:tc>
          <w:tcPr>
            <w:tcW w:w="3040" w:type="dxa"/>
            <w:vMerge w:val="restart"/>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morale down</w:t>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0" w:hRule="atLeast"/>
        </w:trPr>
        <w:tc>
          <w:tcPr>
            <w:tcW w:w="30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Depressive state of mind</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3.00</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1.18</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80" w:end="0"/>
              <w:rPr>
                <w:rFonts w:ascii="Arial" w:hAnsi="Arial" w:eastAsia="Arial" w:cs="Arial"/>
                <w:i/>
                <w:i/>
                <w:sz w:val="16"/>
              </w:rPr>
            </w:pPr>
            <w:r>
              <w:rPr>
                <w:rFonts w:eastAsia="Arial" w:cs="Arial" w:ascii="Arial" w:hAnsi="Arial"/>
                <w:i/>
                <w:sz w:val="16"/>
              </w:rPr>
              <w:t>Occupational health</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w w:val="93"/>
                <w:sz w:val="16"/>
              </w:rPr>
            </w:pPr>
            <w:r>
              <w:rPr>
                <w:rFonts w:eastAsia="Arial" w:cs="Arial" w:ascii="Arial" w:hAnsi="Arial"/>
                <w:w w:val="93"/>
                <w:sz w:val="16"/>
              </w:rPr>
              <w:t>Working at night is against the body clock</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2.01</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0.96</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w w:val="93"/>
                <w:sz w:val="16"/>
              </w:rPr>
            </w:pPr>
            <w:r>
              <w:rPr>
                <w:rFonts w:eastAsia="Arial" w:cs="Arial" w:ascii="Arial" w:hAnsi="Arial"/>
                <w:w w:val="93"/>
                <w:sz w:val="16"/>
              </w:rPr>
              <w:t>Lack of exercise leads to health problems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2.19</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1.06</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Chronic fatigue</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2.38</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1.10</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exact" w:line="184"/>
              <w:ind w:start="240" w:end="0"/>
              <w:rPr>
                <w:rFonts w:ascii="Arial" w:hAnsi="Arial" w:eastAsia="Arial" w:cs="Arial"/>
                <w:sz w:val="16"/>
              </w:rPr>
            </w:pPr>
            <w:r>
              <w:rPr>
                <w:rFonts w:eastAsia="Arial" w:cs="Arial" w:ascii="Arial" w:hAnsi="Arial"/>
                <w:sz w:val="16"/>
              </w:rPr>
              <w:t>E ect on eyesight</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2.27</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1.12</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Ear infection</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2.98</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1.21</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Backache</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2.16</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1.17</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Digestive disorders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2.34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1.19</w:t>
            </w:r>
          </w:p>
        </w:tc>
      </w:tr>
      <w:tr>
        <w:trPr>
          <w:trHeight w:val="62"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Sleep disorders</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2.44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1.31</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exact" w:line="184"/>
              <w:ind w:start="80" w:end="0"/>
              <w:rPr>
                <w:rFonts w:ascii="Arial" w:hAnsi="Arial" w:eastAsia="Arial" w:cs="Arial"/>
                <w:i/>
                <w:i/>
                <w:sz w:val="16"/>
              </w:rPr>
            </w:pPr>
            <w:r>
              <w:rPr>
                <w:rFonts w:eastAsia="Arial" w:cs="Arial" w:ascii="Arial" w:hAnsi="Arial"/>
                <w:i/>
                <w:sz w:val="16"/>
              </w:rPr>
              <w:t>Social rami cations</w:t>
            </w:r>
          </w:p>
        </w:tc>
        <w:tc>
          <w:tcPr>
            <w:tcW w:w="92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Imposition of western culture</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2.51</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1.10</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Disruption of social life</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2.20</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0.99</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Disruption of family life</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2.24</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1.06</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3" w:hRule="atLeast"/>
        </w:trPr>
        <w:tc>
          <w:tcPr>
            <w:tcW w:w="3040" w:type="dxa"/>
            <w:tcBorders>
              <w:start w:val="single" w:sz="8" w:space="0" w:color="000000"/>
              <w:end w:val="single" w:sz="8" w:space="0" w:color="000000"/>
            </w:tcBorders>
          </w:tcPr>
          <w:p>
            <w:pPr>
              <w:pStyle w:val="Normal"/>
              <w:spacing w:lineRule="atLeast" w:line="0"/>
              <w:ind w:start="240" w:end="0"/>
              <w:rPr>
                <w:rFonts w:ascii="Arial" w:hAnsi="Arial" w:eastAsia="Arial" w:cs="Arial"/>
                <w:sz w:val="16"/>
              </w:rPr>
            </w:pPr>
            <w:r>
              <w:rPr>
                <w:rFonts w:eastAsia="Arial" w:cs="Arial" w:ascii="Arial" w:hAnsi="Arial"/>
                <w:sz w:val="16"/>
              </w:rPr>
              <w:t>Low social esteem</w:t>
            </w:r>
          </w:p>
        </w:tc>
        <w:tc>
          <w:tcPr>
            <w:tcW w:w="920" w:type="dxa"/>
            <w:tcBorders>
              <w:end w:val="single" w:sz="8" w:space="0" w:color="000000"/>
            </w:tcBorders>
          </w:tcPr>
          <w:p>
            <w:pPr>
              <w:pStyle w:val="Normal"/>
              <w:spacing w:lineRule="atLeast" w:line="0"/>
              <w:jc w:val="center"/>
              <w:rPr>
                <w:rFonts w:ascii="Arial" w:hAnsi="Arial" w:eastAsia="Arial" w:cs="Arial"/>
                <w:w w:val="89"/>
                <w:sz w:val="16"/>
              </w:rPr>
            </w:pPr>
            <w:r>
              <w:rPr>
                <w:rFonts w:eastAsia="Arial" w:cs="Arial" w:ascii="Arial" w:hAnsi="Arial"/>
                <w:w w:val="89"/>
                <w:sz w:val="16"/>
              </w:rPr>
              <w:t>2.20</w:t>
            </w:r>
          </w:p>
        </w:tc>
        <w:tc>
          <w:tcPr>
            <w:tcW w:w="940" w:type="dxa"/>
            <w:tcBorders>
              <w:end w:val="single" w:sz="8" w:space="0" w:color="000000"/>
            </w:tcBorders>
          </w:tcPr>
          <w:p>
            <w:pPr>
              <w:pStyle w:val="Normal"/>
              <w:spacing w:lineRule="atLeast" w:line="0"/>
              <w:jc w:val="center"/>
              <w:rPr>
                <w:rFonts w:ascii="Arial" w:hAnsi="Arial" w:eastAsia="Arial" w:cs="Arial"/>
                <w:w w:val="83"/>
                <w:sz w:val="16"/>
              </w:rPr>
            </w:pPr>
            <w:r>
              <w:rPr>
                <w:rFonts w:eastAsia="Arial" w:cs="Arial" w:ascii="Arial" w:hAnsi="Arial"/>
                <w:w w:val="83"/>
                <w:sz w:val="16"/>
              </w:rPr>
              <w:t>0.95</w:t>
            </w:r>
          </w:p>
        </w:tc>
      </w:tr>
      <w:tr>
        <w:trPr>
          <w:trHeight w:val="61" w:hRule="atLeast"/>
        </w:trPr>
        <w:tc>
          <w:tcPr>
            <w:tcW w:w="30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3"/>
                <w:sz w:val="5"/>
              </w:rPr>
            </w:pPr>
            <w:r>
              <w:rPr>
                <w:rFonts w:eastAsia="Times New Roman" w:cs="Times New Roman" w:ascii="Times New Roman" w:hAnsi="Times New Roman"/>
                <w:w w:val="83"/>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4" w:hRule="atLeast"/>
        </w:trPr>
        <w:tc>
          <w:tcPr>
            <w:tcW w:w="3040" w:type="dxa"/>
            <w:tcBorders/>
          </w:tcPr>
          <w:p>
            <w:pPr>
              <w:pStyle w:val="Normal"/>
              <w:spacing w:lineRule="atLeast" w:line="0"/>
              <w:ind w:start="160" w:end="0"/>
              <w:rPr/>
            </w:pPr>
            <w:r>
              <w:rPr>
                <w:rFonts w:eastAsia="Arial" w:cs="Arial" w:ascii="Arial" w:hAnsi="Arial"/>
                <w:sz w:val="16"/>
              </w:rPr>
              <w:t>Note: SD</w:t>
            </w:r>
            <w:r>
              <w:rPr>
                <w:rFonts w:eastAsia="Times New Roman" w:cs="Times New Roman" w:ascii="Times New Roman" w:hAnsi="Times New Roman"/>
                <w:sz w:val="16"/>
              </w:rPr>
              <w:t>=</w:t>
            </w:r>
            <w:r>
              <w:rPr>
                <w:rFonts w:eastAsia="Arial" w:cs="Arial" w:ascii="Arial" w:hAnsi="Arial"/>
                <w:sz w:val="16"/>
              </w:rPr>
              <w:t>Standard deviation of scores</w:t>
            </w:r>
          </w:p>
        </w:tc>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
            <wp:simplePos x="0" y="0"/>
            <wp:positionH relativeFrom="column">
              <wp:posOffset>-2540</wp:posOffset>
            </wp:positionH>
            <wp:positionV relativeFrom="paragraph">
              <wp:posOffset>-4272915</wp:posOffset>
            </wp:positionV>
            <wp:extent cx="3098800" cy="51308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8"/>
                    <a:srcRect l="-6" t="-35" r="-6" b="-35"/>
                    <a:stretch>
                      <a:fillRect/>
                    </a:stretch>
                  </pic:blipFill>
                  <pic:spPr bwMode="auto">
                    <a:xfrm>
                      <a:off x="0" y="0"/>
                      <a:ext cx="3098800" cy="5130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t>about health e ects of call center jobs.</w:t>
      </w:r>
    </w:p>
    <w:p>
      <w:pPr>
        <w:pStyle w:val="Normal"/>
        <w:spacing w:lineRule="exact" w:line="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210" w:end="0"/>
        <w:jc w:val="both"/>
        <w:rPr/>
      </w:pPr>
      <w:r>
        <w:rPr>
          <w:rFonts w:eastAsia="Times New Roman" w:cs="Times New Roman" w:ascii="Times New Roman" w:hAnsi="Times New Roman"/>
          <w:sz w:val="21"/>
        </w:rPr>
        <w:t>It is also important to know how working in call center a ects one’s personal and social life. e employees are vulnerable to behavioral changes and adopt a life style with late night parties as its integral part. is has been referred to as call center subculture by Upadhya and Vasavi (2006). As per the results of the eld survey the mean score for this proposition was 2.51 which con rmed the imposition of western culture.</w:t>
      </w:r>
    </w:p>
    <w:p>
      <w:pPr>
        <w:pStyle w:val="Normal"/>
        <w:spacing w:lineRule="exact" w:line="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434" w:end="0"/>
        <w:jc w:val="both"/>
        <w:rPr>
          <w:rFonts w:ascii="Times New Roman" w:hAnsi="Times New Roman" w:eastAsia="Times New Roman" w:cs="Times New Roman"/>
          <w:sz w:val="21"/>
        </w:rPr>
      </w:pPr>
      <w:r>
        <w:rPr>
          <w:rFonts w:eastAsia="Times New Roman" w:cs="Times New Roman" w:ascii="Times New Roman" w:hAnsi="Times New Roman"/>
          <w:sz w:val="21"/>
        </w:rPr>
        <w:t>e call center employees face social isolation because of unconventional timings of work. ey have to work even on Indian festivals and holidays and are absent from many family or social gatherings. e present study did con rm fully that call center jobs disrupt social and family life as both these propositions scored 2.20 and 2.24 points respectively.</w:t>
      </w:r>
    </w:p>
    <w:p>
      <w:pPr>
        <w:pStyle w:val="Normal"/>
        <w:spacing w:lineRule="exact" w:line="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8"/>
        <w:ind w:firstLine="434" w:end="0"/>
        <w:jc w:val="both"/>
        <w:rPr/>
      </w:pPr>
      <w:r>
        <w:rPr>
          <w:rFonts w:eastAsia="Times New Roman" w:cs="Times New Roman" w:ascii="Times New Roman" w:hAnsi="Times New Roman"/>
          <w:sz w:val="21"/>
        </w:rPr>
        <w:t>e Table 2 also revealed the employees’ agreement with the proposition of low social esteem of call center jobs. It was shown by a low mean score of 2.20 support-ing the prevailing perception with regard to the call center jobs being low prestige venue of employment.</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ind w:firstLine="434" w:end="0"/>
        <w:jc w:val="both"/>
        <w:rPr/>
      </w:pPr>
      <w:r>
        <w:rPr>
          <w:rFonts w:eastAsia="Times New Roman" w:cs="Times New Roman" w:ascii="Times New Roman" w:hAnsi="Times New Roman"/>
        </w:rPr>
        <w:t>e average scores of all propositions related to various economic and social aspects of call center jobs provide an overview of employees’ perception. e mean score of nature of employment (3.44) represent a combination of positive and negative aspects related to this dimension. e lowest mean score is that of the nature of work (2.24) which is perceived by the employees to be repetitive and stressful. e highest mean score for skill enhancement (4.18) reveals that this has been viewed as the positive aspect of working in an international call center. us the present study reveals positive as well negative economic and social implications of call center jobs.</w:t>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end="1060"/>
        <w:rPr>
          <w:rFonts w:ascii="Arial" w:hAnsi="Arial" w:eastAsia="Arial" w:cs="Arial"/>
          <w:b/>
          <w:sz w:val="23"/>
        </w:rPr>
      </w:pPr>
      <w:r>
        <w:rPr>
          <w:rFonts w:eastAsia="Arial" w:cs="Arial" w:ascii="Arial" w:hAnsi="Arial"/>
          <w:b/>
          <w:sz w:val="23"/>
        </w:rPr>
        <w:t>Economic and Social Implications- A Disaggregate Analysis</w:t>
      </w:r>
    </w:p>
    <w:p>
      <w:pPr>
        <w:pStyle w:val="Normal"/>
        <w:spacing w:lineRule="exact" w:line="226"/>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89"/>
        <w:ind w:firstLine="210" w:end="0"/>
        <w:jc w:val="both"/>
        <w:rPr/>
      </w:pPr>
      <w:r>
        <w:rPr>
          <w:rFonts w:eastAsia="Times New Roman" w:cs="Times New Roman" w:ascii="Times New Roman" w:hAnsi="Times New Roman"/>
          <w:sz w:val="21"/>
        </w:rPr>
        <w:t xml:space="preserve">In the present section, an attempt has been made to study whether the perception of economic and social implications of call center jobs di ers according to employees’ gender, education, migration status, salary and occupational status/ designation in the call center. e statistical techniques of ANOVA, Duncan’s mean range test, and Students’ </w:t>
      </w:r>
      <w:r>
        <w:rPr>
          <w:rFonts w:eastAsia="Times New Roman" w:cs="Times New Roman" w:ascii="Times New Roman" w:hAnsi="Times New Roman"/>
          <w:i/>
          <w:sz w:val="21"/>
        </w:rPr>
        <w:t>t</w:t>
      </w:r>
      <w:r>
        <w:rPr>
          <w:rFonts w:eastAsia="Times New Roman" w:cs="Times New Roman" w:ascii="Times New Roman" w:hAnsi="Times New Roman"/>
          <w:sz w:val="21"/>
        </w:rPr>
        <w:t xml:space="preserve"> test were used to study the di erence of the mean score for di erent groups of employees. e </w:t>
      </w:r>
      <w:r>
        <w:rPr>
          <w:rFonts w:eastAsia="Times New Roman" w:cs="Times New Roman" w:ascii="Times New Roman" w:hAnsi="Times New Roman"/>
          <w:i/>
          <w:sz w:val="21"/>
        </w:rPr>
        <w:t>t</w:t>
      </w:r>
      <w:r>
        <w:rPr>
          <w:rFonts w:eastAsia="Times New Roman" w:cs="Times New Roman" w:ascii="Times New Roman" w:hAnsi="Times New Roman"/>
          <w:sz w:val="21"/>
        </w:rPr>
        <w:t xml:space="preserve"> values in table 3 for gender wise di erence in perception revealed that there was no di erence in the perception of male and female employees except in case of nature of work. Generally, women are considered more suitable for call center job as it involves no physical work and</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37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4</w:t>
        <w:tab/>
        <w:t>—</w:t>
      </w:r>
    </w:p>
    <w:p>
      <w:pPr>
        <w:sectPr>
          <w:type w:val="continuous"/>
          <w:pgSz w:w="11906" w:h="16838"/>
          <w:pgMar w:left="880" w:right="866" w:gutter="0" w:header="0" w:top="561" w:footer="0" w:bottom="28"/>
          <w:formProt w:val="false"/>
          <w:textDirection w:val="lrTb"/>
          <w:docGrid w:type="default" w:linePitch="360" w:charSpace="0"/>
        </w:sectPr>
      </w:pPr>
    </w:p>
    <w:p>
      <w:pPr>
        <w:pStyle w:val="Normal"/>
        <w:spacing w:lineRule="atLeast" w:line="0"/>
        <w:ind w:end="20"/>
        <w:jc w:val="center"/>
        <w:rPr>
          <w:rFonts w:ascii="Arial" w:hAnsi="Arial" w:eastAsia="Arial" w:cs="Arial"/>
          <w:sz w:val="16"/>
        </w:rPr>
      </w:pPr>
      <w:bookmarkStart w:id="4" w:name="page5"/>
      <w:bookmarkEnd w:id="4"/>
      <w:r>
        <w:rPr>
          <w:rFonts w:eastAsia="Arial" w:cs="Arial" w:ascii="Arial" w:hAnsi="Arial"/>
          <w:sz w:val="16"/>
        </w:rPr>
        <w:t>Economic and Social Implications and Sustainability of Call Center Jobs in India</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0" w:leader="none"/>
        </w:tabs>
        <w:spacing w:lineRule="atLeast" w:line="0"/>
        <w:ind w:end="20"/>
        <w:jc w:val="center"/>
        <w:rPr/>
      </w:pPr>
      <w:r>
        <w:rPr>
          <w:rFonts w:eastAsia="Arial" w:cs="Arial" w:ascii="Arial" w:hAnsi="Arial"/>
          <w:b/>
          <w:sz w:val="19"/>
        </w:rPr>
        <w:t>Table 3.</w:t>
      </w:r>
      <w:r>
        <w:rPr>
          <w:rFonts w:eastAsia="Times New Roman" w:cs="Times New Roman" w:ascii="Times New Roman" w:hAnsi="Times New Roman"/>
        </w:rPr>
        <w:tab/>
      </w:r>
      <w:r>
        <w:rPr>
          <w:rFonts w:eastAsia="Arial" w:cs="Arial" w:ascii="Arial" w:hAnsi="Arial"/>
          <w:sz w:val="17"/>
        </w:rPr>
        <w:t>Economic and Social implications: A Disaggregate Analysis</w:t>
      </w:r>
    </w:p>
    <w:p>
      <w:pPr>
        <w:pStyle w:val="Normal"/>
        <w:spacing w:lineRule="exact" w:line="69"/>
        <w:rPr>
          <w:rFonts w:ascii="Times New Roman" w:hAnsi="Times New Roman" w:eastAsia="Times New Roman" w:cs="Times New Roman"/>
          <w:sz w:val="17"/>
        </w:rPr>
      </w:pPr>
      <w:r>
        <w:rPr>
          <w:rFonts w:eastAsia="Times New Roman" w:cs="Times New Roman" w:ascii="Times New Roman" w:hAnsi="Times New Roman"/>
          <w:sz w:val="17"/>
        </w:rPr>
      </w:r>
    </w:p>
    <w:tbl>
      <w:tblPr>
        <w:tblW w:w="5940" w:type="dxa"/>
        <w:jc w:val="start"/>
        <w:tblInd w:w="2120" w:type="dxa"/>
        <w:tblLayout w:type="fixed"/>
        <w:tblCellMar>
          <w:top w:w="0" w:type="dxa"/>
          <w:start w:w="0" w:type="dxa"/>
          <w:bottom w:w="0" w:type="dxa"/>
          <w:end w:w="0" w:type="dxa"/>
        </w:tblCellMar>
      </w:tblPr>
      <w:tblGrid>
        <w:gridCol w:w="1700"/>
        <w:gridCol w:w="800"/>
        <w:gridCol w:w="840"/>
        <w:gridCol w:w="820"/>
        <w:gridCol w:w="820"/>
        <w:gridCol w:w="40"/>
        <w:gridCol w:w="920"/>
      </w:tblGrid>
      <w:tr>
        <w:trPr>
          <w:trHeight w:val="241" w:hRule="atLeast"/>
        </w:trPr>
        <w:tc>
          <w:tcPr>
            <w:tcW w:w="1700" w:type="dxa"/>
            <w:vMerge w:val="restart"/>
            <w:tcBorders>
              <w:top w:val="single" w:sz="8" w:space="0" w:color="000000"/>
              <w:start w:val="single" w:sz="8" w:space="0" w:color="000000"/>
              <w:end w:val="single" w:sz="8" w:space="0" w:color="000000"/>
            </w:tcBorders>
          </w:tcPr>
          <w:p>
            <w:pPr>
              <w:pStyle w:val="Normal"/>
              <w:spacing w:lineRule="atLeast" w:line="0"/>
              <w:ind w:start="180" w:end="0"/>
              <w:rPr>
                <w:rFonts w:ascii="Arial" w:hAnsi="Arial" w:eastAsia="Arial" w:cs="Arial"/>
                <w:w w:val="99"/>
                <w:sz w:val="16"/>
              </w:rPr>
            </w:pPr>
            <w:r>
              <w:rPr>
                <w:rFonts w:eastAsia="Arial" w:cs="Arial" w:ascii="Arial" w:hAnsi="Arial"/>
                <w:w w:val="99"/>
                <w:sz w:val="16"/>
              </w:rPr>
              <w:t>Economic and Social</w:t>
            </w:r>
          </w:p>
        </w:tc>
        <w:tc>
          <w:tcPr>
            <w:tcW w:w="800" w:type="dxa"/>
            <w:tcBorders>
              <w:top w:val="single" w:sz="8" w:space="0" w:color="000000"/>
            </w:tcBorders>
          </w:tcPr>
          <w:p>
            <w:pPr>
              <w:pStyle w:val="Normal"/>
              <w:snapToGrid w:val="false"/>
              <w:spacing w:lineRule="atLeast" w:line="0"/>
              <w:rPr>
                <w:rFonts w:ascii="Times New Roman" w:hAnsi="Times New Roman" w:eastAsia="Times New Roman" w:cs="Times New Roman"/>
                <w:w w:val="99"/>
                <w:sz w:val="16"/>
              </w:rPr>
            </w:pPr>
            <w:r>
              <w:rPr>
                <w:rFonts w:eastAsia="Times New Roman" w:cs="Times New Roman" w:ascii="Times New Roman" w:hAnsi="Times New Roman"/>
                <w:w w:val="99"/>
                <w:sz w:val="16"/>
              </w:rPr>
            </w:r>
          </w:p>
        </w:tc>
        <w:tc>
          <w:tcPr>
            <w:tcW w:w="2520" w:type="dxa"/>
            <w:gridSpan w:val="4"/>
            <w:tcBorders>
              <w:top w:val="single" w:sz="8" w:space="0" w:color="000000"/>
            </w:tcBorders>
          </w:tcPr>
          <w:p>
            <w:pPr>
              <w:pStyle w:val="Normal"/>
              <w:spacing w:lineRule="exact" w:line="184"/>
              <w:ind w:start="80" w:end="0"/>
              <w:rPr>
                <w:rFonts w:ascii="Arial" w:hAnsi="Arial" w:eastAsia="Arial" w:cs="Arial"/>
                <w:w w:val="90"/>
                <w:sz w:val="16"/>
              </w:rPr>
            </w:pPr>
            <w:r>
              <w:rPr>
                <w:rFonts w:eastAsia="Arial" w:cs="Arial" w:ascii="Arial" w:hAnsi="Arial"/>
                <w:w w:val="90"/>
                <w:sz w:val="16"/>
              </w:rPr>
              <w:t>Di erence in Perception of Employees</w:t>
            </w:r>
          </w:p>
        </w:tc>
        <w:tc>
          <w:tcPr>
            <w:tcW w:w="9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0"/>
                <w:sz w:val="16"/>
              </w:rPr>
            </w:pPr>
            <w:r>
              <w:rPr>
                <w:rFonts w:eastAsia="Times New Roman" w:cs="Times New Roman" w:ascii="Times New Roman" w:hAnsi="Times New Roman"/>
                <w:w w:val="90"/>
                <w:sz w:val="16"/>
              </w:rPr>
            </w:r>
          </w:p>
        </w:tc>
      </w:tr>
      <w:tr>
        <w:trPr>
          <w:trHeight w:val="63" w:hRule="atLeast"/>
        </w:trPr>
        <w:tc>
          <w:tcPr>
            <w:tcW w:w="170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69" w:hRule="atLeast"/>
        </w:trPr>
        <w:tc>
          <w:tcPr>
            <w:tcW w:w="1700" w:type="dxa"/>
            <w:vMerge w:val="continue"/>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0" w:type="dxa"/>
            <w:vMerge w:val="restart"/>
            <w:tcBorders>
              <w:end w:val="single" w:sz="8" w:space="0" w:color="000000"/>
            </w:tcBorders>
          </w:tcPr>
          <w:p>
            <w:pPr>
              <w:pStyle w:val="Normal"/>
              <w:spacing w:lineRule="atLeast" w:line="0"/>
              <w:ind w:end="100"/>
              <w:jc w:val="end"/>
              <w:rPr>
                <w:rFonts w:ascii="Arial" w:hAnsi="Arial" w:eastAsia="Arial" w:cs="Arial"/>
                <w:sz w:val="16"/>
              </w:rPr>
            </w:pPr>
            <w:r>
              <w:rPr>
                <w:rFonts w:eastAsia="Arial" w:cs="Arial" w:ascii="Arial" w:hAnsi="Arial"/>
                <w:sz w:val="16"/>
              </w:rPr>
              <w:t>Gender</w:t>
            </w:r>
          </w:p>
        </w:tc>
        <w:tc>
          <w:tcPr>
            <w:tcW w:w="840" w:type="dxa"/>
            <w:vMerge w:val="restart"/>
            <w:tcBorders>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Education</w:t>
            </w:r>
          </w:p>
        </w:tc>
        <w:tc>
          <w:tcPr>
            <w:tcW w:w="820" w:type="dxa"/>
            <w:vMerge w:val="restart"/>
            <w:tcBorders>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Migration</w:t>
            </w:r>
          </w:p>
        </w:tc>
        <w:tc>
          <w:tcPr>
            <w:tcW w:w="820" w:type="dxa"/>
            <w:vMerge w:val="restart"/>
            <w:tcBorders>
              <w:end w:val="single" w:sz="8" w:space="0" w:color="000000"/>
            </w:tcBorders>
          </w:tcPr>
          <w:p>
            <w:pPr>
              <w:pStyle w:val="Normal"/>
              <w:spacing w:lineRule="atLeast" w:line="0"/>
              <w:ind w:end="160"/>
              <w:jc w:val="end"/>
              <w:rPr>
                <w:rFonts w:ascii="Arial" w:hAnsi="Arial" w:eastAsia="Arial" w:cs="Arial"/>
                <w:sz w:val="16"/>
              </w:rPr>
            </w:pPr>
            <w:r>
              <w:rPr>
                <w:rFonts w:eastAsia="Arial" w:cs="Arial" w:ascii="Arial" w:hAnsi="Arial"/>
                <w:sz w:val="16"/>
              </w:rPr>
              <w:t>Salary</w:t>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20" w:type="dxa"/>
            <w:vMerge w:val="restart"/>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Designation</w:t>
            </w:r>
          </w:p>
        </w:tc>
      </w:tr>
      <w:tr>
        <w:trPr>
          <w:trHeight w:val="152" w:hRule="atLeast"/>
        </w:trPr>
        <w:tc>
          <w:tcPr>
            <w:tcW w:w="1700" w:type="dxa"/>
            <w:vMerge w:val="restart"/>
            <w:tcBorders>
              <w:start w:val="single" w:sz="8" w:space="0" w:color="000000"/>
              <w:end w:val="single" w:sz="8" w:space="0" w:color="000000"/>
            </w:tcBorders>
          </w:tcPr>
          <w:p>
            <w:pPr>
              <w:pStyle w:val="Normal"/>
              <w:spacing w:lineRule="atLeast" w:line="0"/>
              <w:ind w:start="440" w:end="0"/>
              <w:rPr>
                <w:rFonts w:ascii="Arial" w:hAnsi="Arial" w:eastAsia="Arial" w:cs="Arial"/>
                <w:sz w:val="16"/>
              </w:rPr>
            </w:pPr>
            <w:r>
              <w:rPr>
                <w:rFonts w:eastAsia="Arial" w:cs="Arial" w:ascii="Arial" w:hAnsi="Arial"/>
                <w:sz w:val="16"/>
              </w:rPr>
              <w:t>Implications</w:t>
            </w:r>
          </w:p>
        </w:tc>
        <w:tc>
          <w:tcPr>
            <w:tcW w:w="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8" w:hRule="atLeast"/>
        </w:trPr>
        <w:tc>
          <w:tcPr>
            <w:tcW w:w="170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0" w:type="dxa"/>
            <w:vMerge w:val="restart"/>
            <w:tcBorders>
              <w:end w:val="single" w:sz="8" w:space="0" w:color="000000"/>
            </w:tcBorders>
          </w:tcPr>
          <w:p>
            <w:pPr>
              <w:pStyle w:val="Normal"/>
              <w:spacing w:lineRule="atLeast" w:line="0"/>
              <w:ind w:end="80"/>
              <w:jc w:val="end"/>
              <w:rPr>
                <w:rFonts w:ascii="Arial" w:hAnsi="Arial" w:eastAsia="Arial" w:cs="Arial"/>
                <w:sz w:val="16"/>
              </w:rPr>
            </w:pPr>
            <w:r>
              <w:rPr>
                <w:rFonts w:eastAsia="Arial" w:cs="Arial" w:ascii="Arial" w:hAnsi="Arial"/>
                <w:sz w:val="16"/>
              </w:rPr>
              <w:t>(t value)</w:t>
            </w:r>
          </w:p>
        </w:tc>
        <w:tc>
          <w:tcPr>
            <w:tcW w:w="840" w:type="dxa"/>
            <w:vMerge w:val="restart"/>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(F value)</w:t>
            </w:r>
          </w:p>
        </w:tc>
        <w:tc>
          <w:tcPr>
            <w:tcW w:w="820" w:type="dxa"/>
            <w:vMerge w:val="restart"/>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(t value)</w:t>
            </w:r>
          </w:p>
        </w:tc>
        <w:tc>
          <w:tcPr>
            <w:tcW w:w="820" w:type="dxa"/>
            <w:vMerge w:val="restart"/>
            <w:tcBorders>
              <w:end w:val="single" w:sz="8" w:space="0" w:color="000000"/>
            </w:tcBorders>
          </w:tcPr>
          <w:p>
            <w:pPr>
              <w:pStyle w:val="Normal"/>
              <w:spacing w:lineRule="atLeast" w:line="0"/>
              <w:ind w:end="80"/>
              <w:jc w:val="end"/>
              <w:rPr>
                <w:rFonts w:ascii="Arial" w:hAnsi="Arial" w:eastAsia="Arial" w:cs="Arial"/>
                <w:sz w:val="16"/>
              </w:rPr>
            </w:pPr>
            <w:r>
              <w:rPr>
                <w:rFonts w:eastAsia="Arial" w:cs="Arial" w:ascii="Arial" w:hAnsi="Arial"/>
                <w:sz w:val="16"/>
              </w:rPr>
              <w:t>(F value)</w:t>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20" w:type="dxa"/>
            <w:vMerge w:val="restart"/>
            <w:tcBorders>
              <w:end w:val="single" w:sz="8" w:space="0" w:color="000000"/>
            </w:tcBorders>
          </w:tcPr>
          <w:p>
            <w:pPr>
              <w:pStyle w:val="Normal"/>
              <w:spacing w:lineRule="atLeast" w:line="0"/>
              <w:ind w:start="140" w:end="0"/>
              <w:rPr>
                <w:rFonts w:ascii="Arial" w:hAnsi="Arial" w:eastAsia="Arial" w:cs="Arial"/>
                <w:sz w:val="16"/>
              </w:rPr>
            </w:pPr>
            <w:r>
              <w:rPr>
                <w:rFonts w:eastAsia="Arial" w:cs="Arial" w:ascii="Arial" w:hAnsi="Arial"/>
                <w:sz w:val="16"/>
              </w:rPr>
              <w:t>(F value)</w:t>
            </w:r>
          </w:p>
        </w:tc>
      </w:tr>
      <w:tr>
        <w:trPr>
          <w:trHeight w:val="152" w:hRule="atLeast"/>
        </w:trPr>
        <w:tc>
          <w:tcPr>
            <w:tcW w:w="1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Nature of employment</w:t>
            </w:r>
          </w:p>
        </w:tc>
        <w:tc>
          <w:tcPr>
            <w:tcW w:w="800" w:type="dxa"/>
            <w:tcBorders>
              <w:end w:val="single" w:sz="8" w:space="0" w:color="000000"/>
            </w:tcBorders>
          </w:tcPr>
          <w:p>
            <w:pPr>
              <w:pStyle w:val="Normal"/>
              <w:spacing w:lineRule="atLeast" w:line="0"/>
              <w:ind w:end="200"/>
              <w:jc w:val="end"/>
              <w:rPr>
                <w:rFonts w:ascii="Arial" w:hAnsi="Arial" w:eastAsia="Arial" w:cs="Arial"/>
                <w:sz w:val="16"/>
              </w:rPr>
            </w:pPr>
            <w:r>
              <w:rPr>
                <w:rFonts w:eastAsia="Arial" w:cs="Arial" w:ascii="Arial" w:hAnsi="Arial"/>
                <w:sz w:val="16"/>
              </w:rPr>
              <w:t>0.14</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0.12</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0.88</w:t>
            </w:r>
          </w:p>
        </w:tc>
        <w:tc>
          <w:tcPr>
            <w:tcW w:w="820" w:type="dxa"/>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14.50**</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7.67**</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Nature of work</w:t>
            </w:r>
          </w:p>
        </w:tc>
        <w:tc>
          <w:tcPr>
            <w:tcW w:w="800" w:type="dxa"/>
            <w:tcBorders>
              <w:end w:val="single" w:sz="8" w:space="0" w:color="000000"/>
            </w:tcBorders>
          </w:tcPr>
          <w:p>
            <w:pPr>
              <w:pStyle w:val="Normal"/>
              <w:spacing w:lineRule="atLeast" w:line="0"/>
              <w:ind w:end="140"/>
              <w:jc w:val="end"/>
              <w:rPr>
                <w:rFonts w:ascii="Arial" w:hAnsi="Arial" w:eastAsia="Arial" w:cs="Arial"/>
                <w:sz w:val="16"/>
              </w:rPr>
            </w:pPr>
            <w:r>
              <w:rPr>
                <w:rFonts w:eastAsia="Arial" w:cs="Arial" w:ascii="Arial" w:hAnsi="Arial"/>
                <w:sz w:val="16"/>
              </w:rPr>
              <w:t>2.49*</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0.61</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0.57</w:t>
            </w:r>
          </w:p>
        </w:tc>
        <w:tc>
          <w:tcPr>
            <w:tcW w:w="820" w:type="dxa"/>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8.42**</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0.97</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Skill enhancement</w:t>
            </w:r>
          </w:p>
        </w:tc>
        <w:tc>
          <w:tcPr>
            <w:tcW w:w="800" w:type="dxa"/>
            <w:tcBorders>
              <w:end w:val="single" w:sz="8" w:space="0" w:color="000000"/>
            </w:tcBorders>
          </w:tcPr>
          <w:p>
            <w:pPr>
              <w:pStyle w:val="Normal"/>
              <w:spacing w:lineRule="atLeast" w:line="0"/>
              <w:ind w:end="200"/>
              <w:jc w:val="end"/>
              <w:rPr>
                <w:rFonts w:ascii="Arial" w:hAnsi="Arial" w:eastAsia="Arial" w:cs="Arial"/>
                <w:sz w:val="16"/>
              </w:rPr>
            </w:pPr>
            <w:r>
              <w:rPr>
                <w:rFonts w:eastAsia="Arial" w:cs="Arial" w:ascii="Arial" w:hAnsi="Arial"/>
                <w:sz w:val="16"/>
              </w:rPr>
              <w:t>0.23</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7.20**</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1.50</w:t>
            </w:r>
          </w:p>
        </w:tc>
        <w:tc>
          <w:tcPr>
            <w:tcW w:w="820" w:type="dxa"/>
            <w:tcBorders>
              <w:end w:val="single" w:sz="8" w:space="0" w:color="000000"/>
            </w:tcBorders>
          </w:tcPr>
          <w:p>
            <w:pPr>
              <w:pStyle w:val="Normal"/>
              <w:spacing w:lineRule="atLeast" w:line="0"/>
              <w:ind w:end="240"/>
              <w:jc w:val="end"/>
              <w:rPr>
                <w:rFonts w:ascii="Arial" w:hAnsi="Arial" w:eastAsia="Arial" w:cs="Arial"/>
                <w:sz w:val="16"/>
              </w:rPr>
            </w:pPr>
            <w:r>
              <w:rPr>
                <w:rFonts w:eastAsia="Arial" w:cs="Arial" w:ascii="Arial" w:hAnsi="Arial"/>
                <w:sz w:val="16"/>
              </w:rPr>
              <w:t>2.82</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4.04*</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atLeast" w:line="0"/>
              <w:ind w:start="80" w:end="0"/>
              <w:rPr>
                <w:rFonts w:ascii="Arial" w:hAnsi="Arial" w:eastAsia="Arial" w:cs="Arial"/>
                <w:w w:val="90"/>
                <w:sz w:val="16"/>
              </w:rPr>
            </w:pPr>
            <w:r>
              <w:rPr>
                <w:rFonts w:eastAsia="Arial" w:cs="Arial" w:ascii="Arial" w:hAnsi="Arial"/>
                <w:w w:val="90"/>
                <w:sz w:val="16"/>
              </w:rPr>
              <w:t>Psychological Pressures</w:t>
            </w:r>
          </w:p>
        </w:tc>
        <w:tc>
          <w:tcPr>
            <w:tcW w:w="800" w:type="dxa"/>
            <w:tcBorders>
              <w:end w:val="single" w:sz="8" w:space="0" w:color="000000"/>
            </w:tcBorders>
          </w:tcPr>
          <w:p>
            <w:pPr>
              <w:pStyle w:val="Normal"/>
              <w:spacing w:lineRule="atLeast" w:line="0"/>
              <w:ind w:end="200"/>
              <w:jc w:val="end"/>
              <w:rPr>
                <w:rFonts w:ascii="Arial" w:hAnsi="Arial" w:eastAsia="Arial" w:cs="Arial"/>
                <w:sz w:val="16"/>
              </w:rPr>
            </w:pPr>
            <w:r>
              <w:rPr>
                <w:rFonts w:eastAsia="Arial" w:cs="Arial" w:ascii="Arial" w:hAnsi="Arial"/>
                <w:sz w:val="16"/>
              </w:rPr>
              <w:t>1.54</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0.64</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0.43</w:t>
            </w:r>
          </w:p>
        </w:tc>
        <w:tc>
          <w:tcPr>
            <w:tcW w:w="820" w:type="dxa"/>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4.65**</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2.23</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Occupational health</w:t>
            </w:r>
          </w:p>
        </w:tc>
        <w:tc>
          <w:tcPr>
            <w:tcW w:w="800" w:type="dxa"/>
            <w:tcBorders>
              <w:end w:val="single" w:sz="8" w:space="0" w:color="000000"/>
            </w:tcBorders>
          </w:tcPr>
          <w:p>
            <w:pPr>
              <w:pStyle w:val="Normal"/>
              <w:spacing w:lineRule="atLeast" w:line="0"/>
              <w:ind w:end="200"/>
              <w:jc w:val="end"/>
              <w:rPr>
                <w:rFonts w:ascii="Arial" w:hAnsi="Arial" w:eastAsia="Arial" w:cs="Arial"/>
                <w:sz w:val="16"/>
              </w:rPr>
            </w:pPr>
            <w:r>
              <w:rPr>
                <w:rFonts w:eastAsia="Arial" w:cs="Arial" w:ascii="Arial" w:hAnsi="Arial"/>
                <w:sz w:val="16"/>
              </w:rPr>
              <w:t>0.91</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0.81</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0.29</w:t>
            </w:r>
          </w:p>
        </w:tc>
        <w:tc>
          <w:tcPr>
            <w:tcW w:w="820" w:type="dxa"/>
            <w:tcBorders>
              <w:end w:val="single" w:sz="8" w:space="0" w:color="000000"/>
            </w:tcBorders>
          </w:tcPr>
          <w:p>
            <w:pPr>
              <w:pStyle w:val="Normal"/>
              <w:spacing w:lineRule="atLeast" w:line="0"/>
              <w:ind w:end="240"/>
              <w:jc w:val="end"/>
              <w:rPr>
                <w:rFonts w:ascii="Arial" w:hAnsi="Arial" w:eastAsia="Arial" w:cs="Arial"/>
                <w:sz w:val="16"/>
              </w:rPr>
            </w:pPr>
            <w:r>
              <w:rPr>
                <w:rFonts w:eastAsia="Arial" w:cs="Arial" w:ascii="Arial" w:hAnsi="Arial"/>
                <w:sz w:val="16"/>
              </w:rPr>
              <w:t>2.04</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1.18</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2" w:hRule="atLeast"/>
        </w:trPr>
        <w:tc>
          <w:tcPr>
            <w:tcW w:w="1700" w:type="dxa"/>
            <w:tcBorders>
              <w:start w:val="single" w:sz="8" w:space="0" w:color="000000"/>
              <w:end w:val="single" w:sz="8" w:space="0" w:color="000000"/>
            </w:tcBorders>
          </w:tcPr>
          <w:p>
            <w:pPr>
              <w:pStyle w:val="Normal"/>
              <w:spacing w:lineRule="exact" w:line="184"/>
              <w:ind w:start="80" w:end="0"/>
              <w:rPr>
                <w:rFonts w:ascii="Arial" w:hAnsi="Arial" w:eastAsia="Arial" w:cs="Arial"/>
                <w:sz w:val="16"/>
              </w:rPr>
            </w:pPr>
            <w:r>
              <w:rPr>
                <w:rFonts w:eastAsia="Arial" w:cs="Arial" w:ascii="Arial" w:hAnsi="Arial"/>
                <w:sz w:val="16"/>
              </w:rPr>
              <w:t>Social rami cations</w:t>
            </w:r>
          </w:p>
        </w:tc>
        <w:tc>
          <w:tcPr>
            <w:tcW w:w="800" w:type="dxa"/>
            <w:tcBorders>
              <w:end w:val="single" w:sz="8" w:space="0" w:color="000000"/>
            </w:tcBorders>
          </w:tcPr>
          <w:p>
            <w:pPr>
              <w:pStyle w:val="Normal"/>
              <w:spacing w:lineRule="atLeast" w:line="0"/>
              <w:ind w:end="200"/>
              <w:jc w:val="end"/>
              <w:rPr>
                <w:rFonts w:ascii="Arial" w:hAnsi="Arial" w:eastAsia="Arial" w:cs="Arial"/>
                <w:sz w:val="16"/>
              </w:rPr>
            </w:pPr>
            <w:r>
              <w:rPr>
                <w:rFonts w:eastAsia="Arial" w:cs="Arial" w:ascii="Arial" w:hAnsi="Arial"/>
                <w:sz w:val="16"/>
              </w:rPr>
              <w:t>.98</w:t>
            </w:r>
          </w:p>
        </w:tc>
        <w:tc>
          <w:tcPr>
            <w:tcW w:w="840" w:type="dxa"/>
            <w:tcBorders>
              <w:end w:val="single" w:sz="8" w:space="0" w:color="000000"/>
            </w:tcBorders>
          </w:tcPr>
          <w:p>
            <w:pPr>
              <w:pStyle w:val="Normal"/>
              <w:spacing w:lineRule="atLeast" w:line="0"/>
              <w:ind w:start="280" w:end="0"/>
              <w:rPr>
                <w:rFonts w:ascii="Arial" w:hAnsi="Arial" w:eastAsia="Arial" w:cs="Arial"/>
                <w:sz w:val="16"/>
              </w:rPr>
            </w:pPr>
            <w:r>
              <w:rPr>
                <w:rFonts w:eastAsia="Arial" w:cs="Arial" w:ascii="Arial" w:hAnsi="Arial"/>
                <w:sz w:val="16"/>
              </w:rPr>
              <w:t>1.10</w:t>
            </w:r>
          </w:p>
        </w:tc>
        <w:tc>
          <w:tcPr>
            <w:tcW w:w="82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1.99*</w:t>
            </w:r>
          </w:p>
        </w:tc>
        <w:tc>
          <w:tcPr>
            <w:tcW w:w="820" w:type="dxa"/>
            <w:tcBorders>
              <w:end w:val="single" w:sz="8" w:space="0" w:color="000000"/>
            </w:tcBorders>
          </w:tcPr>
          <w:p>
            <w:pPr>
              <w:pStyle w:val="Normal"/>
              <w:spacing w:lineRule="atLeast" w:line="0"/>
              <w:ind w:end="120"/>
              <w:jc w:val="end"/>
              <w:rPr>
                <w:rFonts w:ascii="Arial" w:hAnsi="Arial" w:eastAsia="Arial" w:cs="Arial"/>
                <w:sz w:val="16"/>
              </w:rPr>
            </w:pPr>
            <w:r>
              <w:rPr>
                <w:rFonts w:eastAsia="Arial" w:cs="Arial" w:ascii="Arial" w:hAnsi="Arial"/>
                <w:sz w:val="16"/>
              </w:rPr>
              <w:t>5.56**</w:t>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2.64</w:t>
            </w:r>
          </w:p>
        </w:tc>
      </w:tr>
      <w:tr>
        <w:trPr>
          <w:trHeight w:val="62" w:hRule="atLeast"/>
        </w:trPr>
        <w:tc>
          <w:tcPr>
            <w:tcW w:w="1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6">
            <wp:simplePos x="0" y="0"/>
            <wp:positionH relativeFrom="column">
              <wp:posOffset>1342390</wp:posOffset>
            </wp:positionH>
            <wp:positionV relativeFrom="paragraph">
              <wp:posOffset>-1671955</wp:posOffset>
            </wp:positionV>
            <wp:extent cx="3759200" cy="51308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9"/>
                    <a:srcRect l="-5" t="-35" r="-5" b="-35"/>
                    <a:stretch>
                      <a:fillRect/>
                    </a:stretch>
                  </pic:blipFill>
                  <pic:spPr bwMode="auto">
                    <a:xfrm>
                      <a:off x="0" y="0"/>
                      <a:ext cx="3759200" cy="513080"/>
                    </a:xfrm>
                    <a:prstGeom prst="rect">
                      <a:avLst/>
                    </a:prstGeom>
                  </pic:spPr>
                </pic:pic>
              </a:graphicData>
            </a:graphic>
          </wp:anchor>
        </w:drawing>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360" w:leader="none"/>
        </w:tabs>
        <w:spacing w:lineRule="exact" w:line="184"/>
        <w:ind w:hanging="89" w:start="2360" w:end="0"/>
        <w:rPr>
          <w:rFonts w:ascii="Arial" w:hAnsi="Arial" w:eastAsia="Arial" w:cs="Arial"/>
          <w:sz w:val="16"/>
        </w:rPr>
      </w:pPr>
      <w:r>
        <w:rPr>
          <w:rFonts w:eastAsia="Arial" w:cs="Arial" w:ascii="Arial" w:hAnsi="Arial"/>
          <w:sz w:val="16"/>
        </w:rPr>
        <w:t>signi cant at 0.05 level</w:t>
      </w:r>
    </w:p>
    <w:p>
      <w:pPr>
        <w:pStyle w:val="Normal"/>
        <w:spacing w:lineRule="exact" w:line="16"/>
        <w:rPr>
          <w:rFonts w:ascii="Arial" w:hAnsi="Arial" w:eastAsia="Arial" w:cs="Arial"/>
          <w:sz w:val="16"/>
        </w:rPr>
      </w:pPr>
      <w:r>
        <w:rPr>
          <w:rFonts w:eastAsia="Arial" w:cs="Arial" w:ascii="Arial" w:hAnsi="Arial"/>
          <w:sz w:val="16"/>
        </w:rPr>
      </w:r>
    </w:p>
    <w:p>
      <w:pPr>
        <w:pStyle w:val="Normal"/>
        <w:numPr>
          <w:ilvl w:val="0"/>
          <w:numId w:val="2"/>
        </w:numPr>
        <w:tabs>
          <w:tab w:val="clear" w:pos="720"/>
          <w:tab w:val="left" w:pos="2440" w:leader="none"/>
        </w:tabs>
        <w:spacing w:lineRule="exact" w:line="184"/>
        <w:ind w:hanging="169" w:start="2440" w:end="0"/>
        <w:rPr>
          <w:rFonts w:ascii="Arial" w:hAnsi="Arial" w:eastAsia="Arial" w:cs="Arial"/>
          <w:sz w:val="16"/>
        </w:rPr>
      </w:pPr>
      <w:r>
        <w:rPr>
          <w:rFonts w:eastAsia="Arial" w:cs="Arial" w:ascii="Arial" w:hAnsi="Arial"/>
          <w:sz w:val="16"/>
        </w:rPr>
        <w:t>signi cant at 0.01 level</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38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92"/>
        <w:jc w:val="both"/>
        <w:rPr/>
      </w:pPr>
      <w:r>
        <w:rPr>
          <w:rFonts w:eastAsia="Times New Roman" w:cs="Times New Roman" w:ascii="Times New Roman" w:hAnsi="Times New Roman"/>
        </w:rPr>
        <w:t xml:space="preserve">requires courtesy and patience. On the contrary in this study female employees had more negative perception than males regarding the nature of work which is consid-ered to be strenuous and stressful. Again the </w:t>
      </w:r>
      <w:r>
        <w:rPr>
          <w:rFonts w:eastAsia="Times New Roman" w:cs="Times New Roman" w:ascii="Times New Roman" w:hAnsi="Times New Roman"/>
          <w:i/>
        </w:rPr>
        <w:t>t</w:t>
      </w:r>
      <w:r>
        <w:rPr>
          <w:rFonts w:eastAsia="Times New Roman" w:cs="Times New Roman" w:ascii="Times New Roman" w:hAnsi="Times New Roman"/>
        </w:rPr>
        <w:t xml:space="preserve"> statistics showed that migrants and natives di ered in their percep-tion of implications of call center jobs only in case of the social rami cations. A more detailed analysis revealed that there was a di erence in perception regarding the imposition of western culture. For most of the migrants, it was their rst exposure to the lifestyle in mega cities like Delhi. Moreover, working in a call center was a cultural shock for them as here the work demanded donning a foreign lifestyle. e </w:t>
      </w:r>
      <w:r>
        <w:rPr>
          <w:rFonts w:eastAsia="Times New Roman" w:cs="Times New Roman" w:ascii="Times New Roman" w:hAnsi="Times New Roman"/>
          <w:i/>
        </w:rPr>
        <w:t>f</w:t>
      </w:r>
      <w:r>
        <w:rPr>
          <w:rFonts w:eastAsia="Times New Roman" w:cs="Times New Roman" w:ascii="Times New Roman" w:hAnsi="Times New Roman"/>
        </w:rPr>
        <w:t xml:space="preserve"> value comparing mean scores of undergraduates, graduates, and post graduates/ profes-sionals depicts that there was no di erence in perception based on education, except in case of perception of skill enhancement. e undergraduates are most appreciative of skill enhancement opportunities in call center followed by graduates. e employees when classi ed according to salary (up to Rs. 14,000, Rs. 14,000 to Rs. 18,000 and above Rs. 18,000) revealed signi cant di erence in their attitude towards call center jobs. e </w:t>
      </w:r>
      <w:r>
        <w:rPr>
          <w:rFonts w:eastAsia="Times New Roman" w:cs="Times New Roman" w:ascii="Times New Roman" w:hAnsi="Times New Roman"/>
          <w:i/>
        </w:rPr>
        <w:t>f</w:t>
      </w:r>
      <w:r>
        <w:rPr>
          <w:rFonts w:eastAsia="Times New Roman" w:cs="Times New Roman" w:ascii="Times New Roman" w:hAnsi="Times New Roman"/>
        </w:rPr>
        <w:t xml:space="preserve"> value show that the greatest di erence is in the perception of nature of employment, followed by nature of work, social rami ca-tions and psychological pressures in that order. e higher the salary more positive is the perception. In the highest salary group, many employees hold managerial positions. ey are better paid and better respected part of the work force, and therefore have a positive perception. It is also important to note that the salary do not a ect the percep-tion of occupational health which is low across all groups. Similarly the employees in di erent designation groups (customer care executives, senior customer care execu-tives and managerial sta ) di er with respect to their perception of nature of employment and, skill enhance-ment as revealed by </w:t>
      </w:r>
      <w:r>
        <w:rPr>
          <w:rFonts w:eastAsia="Times New Roman" w:cs="Times New Roman" w:ascii="Times New Roman" w:hAnsi="Times New Roman"/>
          <w:i/>
        </w:rPr>
        <w:t>f</w:t>
      </w:r>
      <w:r>
        <w:rPr>
          <w:rFonts w:eastAsia="Times New Roman" w:cs="Times New Roman" w:ascii="Times New Roman" w:hAnsi="Times New Roman"/>
        </w:rPr>
        <w:t xml:space="preserve"> statistics and also in case of psycho-logical pressures and social rami cations as concluded</w:t>
      </w:r>
    </w:p>
    <w:p>
      <w:pPr>
        <w:pStyle w:val="Normal"/>
        <w:spacing w:lineRule="exact" w:line="38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89"/>
        <w:jc w:val="both"/>
        <w:rPr/>
      </w:pPr>
      <w:r>
        <w:rPr>
          <w:rFonts w:eastAsia="Times New Roman" w:cs="Times New Roman" w:ascii="Times New Roman" w:hAnsi="Times New Roman"/>
          <w:sz w:val="21"/>
        </w:rPr>
        <w:t>by Duncan’s mean range test. e employees holding managerial posts have more positive attitude than those at lower position in occupational ladder. Lastly, the per-ception of nature of work and occupational health show consistently low scores among all groups and the di er-ences are not statistically signi cant. However, employees belonging to di erent hierarchical groups, both based on salary and designation, do di er in their perception on many aspects of working in call center indicating that the employment structure in call centers is essentially dualis-tic following a core/periphery model.</w:t>
      </w:r>
    </w:p>
    <w:p>
      <w:pPr>
        <w:pStyle w:val="Normal"/>
        <w:spacing w:lineRule="exact" w:line="30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b/>
          <w:sz w:val="24"/>
        </w:rPr>
      </w:pPr>
      <w:r>
        <w:rPr>
          <w:rFonts w:eastAsia="Arial" w:cs="Arial" w:ascii="Arial" w:hAnsi="Arial"/>
          <w:b/>
          <w:sz w:val="24"/>
        </w:rPr>
        <w:t>Sustainability of Call Center Jobs</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ind w:firstLine="210" w:end="0"/>
        <w:jc w:val="both"/>
        <w:rPr/>
      </w:pPr>
      <w:r>
        <w:rPr>
          <w:rFonts w:eastAsia="Times New Roman" w:cs="Times New Roman" w:ascii="Times New Roman" w:hAnsi="Times New Roman"/>
        </w:rPr>
        <w:t>As mentioned earlier the rate of attrition in Indian ITES industry is quite high. It is also important to mention that the present study focuses on the reasons of attrition per-taining to an individual’s decision to leave the call center industry on account of the nature of work and employ-ment and do not consider the e ect of performance of the industry on sustainability of this venue of employment. e above mentioned economic and social implications are related to sustainability of call center jobs for an indi-vidual. On account of paucity of career opportunities, absence of job security, health and social rami cations, many call center employees do not consider the call center a venue where they can build their career despite the eco-nomic bene ts o ered. Gera (2008) found that, almost 60 percent of the employees considered these jobs to be just a stop gap arrangement and not a long term career option. By using Discriminant Function Analysis she was of the opinion that there were three most important factors (dis-satisfaction with career growth opportunity, disruption of family and social life, and stressful and monotonous nature of work) a ecting the sustainability of call center jobs. Since these factors explained 95 per cent of total variance, these may be considered the most important</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5</w:t>
        <w:tab/>
        <w:t>—</w:t>
      </w:r>
    </w:p>
    <w:p>
      <w:pPr>
        <w:sectPr>
          <w:type w:val="continuous"/>
          <w:pgSz w:w="11906" w:h="16838"/>
          <w:pgMar w:left="880" w:right="866" w:gutter="0" w:header="0" w:top="561" w:footer="0" w:bottom="28"/>
          <w:formProt w:val="false"/>
          <w:textDirection w:val="lrTb"/>
          <w:docGrid w:type="default" w:linePitch="360" w:charSpace="0"/>
        </w:sectPr>
      </w:pPr>
    </w:p>
    <w:p>
      <w:pPr>
        <w:pStyle w:val="Normal"/>
        <w:spacing w:lineRule="atLeast" w:line="0"/>
        <w:ind w:end="20"/>
        <w:jc w:val="center"/>
        <w:rPr>
          <w:rFonts w:ascii="Arial" w:hAnsi="Arial" w:eastAsia="Arial" w:cs="Arial"/>
          <w:sz w:val="13"/>
        </w:rPr>
      </w:pPr>
      <w:bookmarkStart w:id="5" w:name="page6"/>
      <w:bookmarkEnd w:id="5"/>
      <w:r>
        <w:rPr>
          <w:rFonts w:eastAsia="Arial" w:cs="Arial" w:ascii="Arial" w:hAnsi="Arial"/>
          <w:sz w:val="13"/>
        </w:rPr>
        <w:t>ISHTIYAQUE M and GERA R</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rPr>
          <w:rFonts w:ascii="Times New Roman" w:hAnsi="Times New Roman" w:eastAsia="Times New Roman" w:cs="Times New Roman"/>
          <w:sz w:val="21"/>
        </w:rPr>
      </w:pPr>
      <w:r>
        <w:rPr>
          <w:rFonts w:eastAsia="Times New Roman" w:cs="Times New Roman" w:ascii="Times New Roman" w:hAnsi="Times New Roman"/>
          <w:sz w:val="21"/>
        </w:rPr>
        <w:t>reasons for the high employee turnover or attrition in call centers of India.</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rPr>
          <w:rFonts w:ascii="Times New Roman" w:hAnsi="Times New Roman" w:eastAsia="Times New Roman" w:cs="Times New Roman"/>
          <w:sz w:val="21"/>
        </w:rPr>
      </w:pPr>
      <w:r>
        <w:rPr>
          <w:rFonts w:eastAsia="Times New Roman" w:cs="Times New Roman" w:ascii="Times New Roman" w:hAnsi="Times New Roman"/>
          <w:sz w:val="21"/>
        </w:rPr>
        <w:t>economic and social conditions but also the sustainability of call center industry in India</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Arial" w:hAnsi="Arial" w:eastAsia="Arial" w:cs="Arial"/>
          <w:b/>
          <w:sz w:val="24"/>
        </w:rPr>
      </w:pPr>
      <w:r>
        <w:rPr>
          <w:rFonts w:eastAsia="Arial" w:cs="Arial" w:ascii="Arial" w:hAnsi="Arial"/>
          <w:b/>
          <w:sz w:val="24"/>
        </w:rPr>
        <w:t>Conclusions</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1"/>
        <w:ind w:firstLine="434" w:end="0"/>
        <w:jc w:val="both"/>
        <w:rPr/>
      </w:pPr>
      <w:r>
        <w:rPr>
          <w:rFonts w:eastAsia="Times New Roman" w:cs="Times New Roman" w:ascii="Times New Roman" w:hAnsi="Times New Roman"/>
        </w:rPr>
        <w:t>e above discussion revealed that the call center indus-try has been providing employment opportunity mostly to the English speaking people from the middle class families of urban India. e call center jobs are considered nan-cially rewarding. But the paucity of career growth oppor-tunities and lack of job security are the negative aspects related to nature of employment in call centers. e nature of work in a call center job is perceived to be monotonous and stressful and the pressure of work is perceived to be high. Nevertheless, the call center jobs are considered a means of enhancing the skills of Indian workforce. ere is a general agreement regarding the health prob-lems faced by call center employees. Working at night is considered to be going against the body clock. e most common health problems are backache, e ect on eyesight, digestive disorders and sleep disorders. e psychological pressures related to call center jobs, although not negated completely, have been given lesser importance by employ-ees than the e ect on physical health. Besides the e ect on physical and psychological health, the present analysis points towards other social rami cations of call center jobs. e call center jobs are perceived to be a source of imposition of western culture. e social and family life is adversely a ected because of unconventional working schedules. Lastly, the results of the present study show that call center jobs are not held in high esteem by society in general. Although the study reveals wonderful adaptation by Indian youth to the demands of an economy that func-tions at global scale, yet for many of them the call center jobs are sustainable only for a short time. In the present study about forty percent of employees intend to con-sider their present job in call center as a long term career option, while others consider it a stop-gap arrangement. us the above mentioned economic and social implica-tions of call center jobs are related to their sustainability. However, o shore call centers in India have been playing a signi cant role in revenue and employment generation. Issues related to the sustainability of call center jobs need to be adequately addressed. For this, there is a need to design employee’s centric policies focusing on job security, career development, and working conditions including health standards and safeguards. Both the industry and the government need to work together to improve the employment and work practices in call center companies. Such cooperation would not only improve the employees</w:t>
      </w:r>
    </w:p>
    <w:p>
      <w:pPr>
        <w:pStyle w:val="Normal"/>
        <w:spacing w:lineRule="exact" w:line="19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Notes</w:t>
      </w:r>
    </w:p>
    <w:p>
      <w:pPr>
        <w:pStyle w:val="Normal"/>
        <w:spacing w:lineRule="exact" w:line="27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300" w:leader="none"/>
        </w:tabs>
        <w:spacing w:lineRule="exact" w:line="249"/>
        <w:ind w:hanging="221" w:start="300" w:end="0"/>
        <w:jc w:val="both"/>
        <w:rPr>
          <w:rFonts w:ascii="Times New Roman" w:hAnsi="Times New Roman" w:eastAsia="Times New Roman" w:cs="Times New Roman"/>
          <w:sz w:val="18"/>
        </w:rPr>
      </w:pPr>
      <w:r>
        <w:rPr>
          <w:rFonts w:eastAsia="Times New Roman" w:cs="Times New Roman" w:ascii="Times New Roman" w:hAnsi="Times New Roman"/>
          <w:sz w:val="18"/>
        </w:rPr>
        <w:t>Fordism and Post-Fordism are ideas to understand the chang-ing nature of capitalism. Post-fordism involves a more exible system of production to di erentiate it from standardized mass production of fordist system. It involves vertical disintegration of production process and adoption of subcontracting or out-sourcing to reduce costs.</w:t>
      </w:r>
    </w:p>
    <w:p>
      <w:pPr>
        <w:pStyle w:val="Normal"/>
        <w:spacing w:lineRule="exact" w:line="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300" w:leader="none"/>
        </w:tabs>
        <w:spacing w:lineRule="exact" w:line="249"/>
        <w:ind w:hanging="221" w:start="300" w:end="0"/>
        <w:jc w:val="both"/>
        <w:rPr>
          <w:rFonts w:ascii="Times New Roman" w:hAnsi="Times New Roman" w:eastAsia="Times New Roman" w:cs="Times New Roman"/>
          <w:sz w:val="18"/>
        </w:rPr>
      </w:pPr>
      <w:r>
        <w:rPr>
          <w:rFonts w:eastAsia="Times New Roman" w:cs="Times New Roman" w:ascii="Times New Roman" w:hAnsi="Times New Roman"/>
          <w:sz w:val="18"/>
        </w:rPr>
        <w:t xml:space="preserve">One-way Analysis of Variance (ANOVA) is a method of statis-tical inference that evaluates whether there is any systematic di erence among a set of means (Walsh, 1990). is proce-dure is called one-way because the di erence among groups is explained in terms of one variable only. e ANOVA is used to nd out the di erence among three or more sample groups and the statistical value obtained is called </w:t>
      </w:r>
      <w:r>
        <w:rPr>
          <w:rFonts w:eastAsia="Times New Roman" w:cs="Times New Roman" w:ascii="Times New Roman" w:hAnsi="Times New Roman"/>
          <w:i/>
          <w:sz w:val="18"/>
        </w:rPr>
        <w:t>f</w:t>
      </w:r>
      <w:r>
        <w:rPr>
          <w:rFonts w:eastAsia="Times New Roman" w:cs="Times New Roman" w:ascii="Times New Roman" w:hAnsi="Times New Roman"/>
          <w:sz w:val="18"/>
        </w:rPr>
        <w:t xml:space="preserve"> value at a speci ed signi cance level.</w:t>
      </w:r>
    </w:p>
    <w:p>
      <w:pPr>
        <w:pStyle w:val="Normal"/>
        <w:spacing w:lineRule="exact" w:line="7"/>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300" w:leader="none"/>
        </w:tabs>
        <w:spacing w:lineRule="exact" w:line="248"/>
        <w:ind w:hanging="221" w:start="300" w:end="0"/>
        <w:jc w:val="both"/>
        <w:rPr>
          <w:rFonts w:ascii="Times New Roman" w:hAnsi="Times New Roman" w:eastAsia="Times New Roman" w:cs="Times New Roman"/>
          <w:sz w:val="18"/>
        </w:rPr>
      </w:pPr>
      <w:r>
        <w:rPr>
          <w:rFonts w:eastAsia="Times New Roman" w:cs="Times New Roman" w:ascii="Times New Roman" w:hAnsi="Times New Roman"/>
          <w:sz w:val="18"/>
        </w:rPr>
        <w:t xml:space="preserve">Duncan’s multiple range test is a post </w:t>
      </w:r>
      <w:r>
        <w:rPr>
          <w:rFonts w:eastAsia="Times New Roman" w:cs="Times New Roman" w:ascii="Times New Roman" w:hAnsi="Times New Roman"/>
          <w:i/>
          <w:sz w:val="18"/>
        </w:rPr>
        <w:t>hoc</w:t>
      </w:r>
      <w:r>
        <w:rPr>
          <w:rFonts w:eastAsia="Times New Roman" w:cs="Times New Roman" w:ascii="Times New Roman" w:hAnsi="Times New Roman"/>
          <w:sz w:val="18"/>
        </w:rPr>
        <w:t xml:space="preserve"> test related to ANOVA. Once a signi cant </w:t>
      </w:r>
      <w:r>
        <w:rPr>
          <w:rFonts w:eastAsia="Times New Roman" w:cs="Times New Roman" w:ascii="Times New Roman" w:hAnsi="Times New Roman"/>
          <w:i/>
          <w:sz w:val="18"/>
        </w:rPr>
        <w:t>f</w:t>
      </w:r>
      <w:r>
        <w:rPr>
          <w:rFonts w:eastAsia="Times New Roman" w:cs="Times New Roman" w:ascii="Times New Roman" w:hAnsi="Times New Roman"/>
          <w:sz w:val="18"/>
        </w:rPr>
        <w:t xml:space="preserve"> value ascertains that the mean values among the independent groups di er, Duncan’s test can give additional information by telling which means di er.</w:t>
      </w:r>
    </w:p>
    <w:p>
      <w:pPr>
        <w:pStyle w:val="Normal"/>
        <w:spacing w:lineRule="exact" w:line="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300" w:leader="none"/>
        </w:tabs>
        <w:spacing w:lineRule="exact" w:line="256"/>
        <w:ind w:hanging="221" w:start="300" w:end="0"/>
        <w:jc w:val="both"/>
        <w:rPr>
          <w:rFonts w:ascii="Times New Roman" w:hAnsi="Times New Roman" w:eastAsia="Times New Roman" w:cs="Times New Roman"/>
          <w:sz w:val="18"/>
        </w:rPr>
      </w:pPr>
      <w:r>
        <w:rPr>
          <w:rFonts w:eastAsia="Times New Roman" w:cs="Times New Roman" w:ascii="Times New Roman" w:hAnsi="Times New Roman"/>
          <w:sz w:val="18"/>
        </w:rPr>
        <w:t xml:space="preserve">Student’s </w:t>
      </w:r>
      <w:r>
        <w:rPr>
          <w:rFonts w:eastAsia="Times New Roman" w:cs="Times New Roman" w:ascii="Times New Roman" w:hAnsi="Times New Roman"/>
          <w:i/>
          <w:sz w:val="18"/>
        </w:rPr>
        <w:t>t</w:t>
      </w:r>
      <w:r>
        <w:rPr>
          <w:rFonts w:eastAsia="Times New Roman" w:cs="Times New Roman" w:ascii="Times New Roman" w:hAnsi="Times New Roman"/>
          <w:sz w:val="18"/>
        </w:rPr>
        <w:t xml:space="preserve"> test for independent samples is used to determine whether two samples are drawn from populations with di erent means (Walsh, 1990). It is a technique for testing a hypothesis on the basis of a di erence between sample means. e stu-dent’s </w:t>
      </w:r>
      <w:r>
        <w:rPr>
          <w:rFonts w:eastAsia="Times New Roman" w:cs="Times New Roman" w:ascii="Times New Roman" w:hAnsi="Times New Roman"/>
          <w:i/>
          <w:sz w:val="18"/>
        </w:rPr>
        <w:t>t</w:t>
      </w:r>
      <w:r>
        <w:rPr>
          <w:rFonts w:eastAsia="Times New Roman" w:cs="Times New Roman" w:ascii="Times New Roman" w:hAnsi="Times New Roman"/>
          <w:sz w:val="18"/>
        </w:rPr>
        <w:t xml:space="preserve"> test determines a probability that two populations are the same with respect to the variable tested. is is done using the appropriate degree of freedom and a chosen signi cance level.</w:t>
      </w:r>
    </w:p>
    <w:p>
      <w:pPr>
        <w:pStyle w:val="Normal"/>
        <w:spacing w:lineRule="exact" w:line="21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300" w:leader="none"/>
        </w:tabs>
        <w:spacing w:lineRule="exact" w:line="249"/>
        <w:ind w:hanging="221" w:start="300" w:end="0"/>
        <w:jc w:val="both"/>
        <w:rPr>
          <w:rFonts w:ascii="Times New Roman" w:hAnsi="Times New Roman" w:eastAsia="Times New Roman" w:cs="Times New Roman"/>
          <w:sz w:val="18"/>
        </w:rPr>
      </w:pPr>
      <w:r>
        <w:rPr>
          <w:rFonts w:eastAsia="Times New Roman" w:cs="Times New Roman" w:ascii="Times New Roman" w:hAnsi="Times New Roman"/>
          <w:sz w:val="18"/>
        </w:rPr>
        <w:t>Discriminant function analysis is used to distinguish between two or more prede ned groups (Johnston, 1978). e analysis identi es those variables that contribute most to the di erence between groups. Discriminant Analysis nds a set of linear combinations of the discriminating (independent) variables, whose values are as close as possible within groups and as far apart as possible between groups. e linear combinations are called Discriminant Functions.</w:t>
      </w:r>
    </w:p>
    <w:p>
      <w:pPr>
        <w:pStyle w:val="Normal"/>
        <w:spacing w:lineRule="exact" w:line="28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24"/>
        </w:rPr>
      </w:pPr>
      <w:r>
        <w:rPr>
          <w:rFonts w:eastAsia="Arial" w:cs="Arial" w:ascii="Arial" w:hAnsi="Arial"/>
          <w:b/>
          <w:sz w:val="24"/>
        </w:rPr>
        <w:t>References</w:t>
      </w:r>
    </w:p>
    <w:p>
      <w:pPr>
        <w:pStyle w:val="Normal"/>
        <w:spacing w:lineRule="exact" w:line="2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Amin, A. 1994. Post-fordism: Models, fantasies and phantoms of</w:t>
      </w:r>
    </w:p>
    <w:p>
      <w:pPr>
        <w:pStyle w:val="Normal"/>
        <w:spacing w:lineRule="exact" w:line="4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pPr>
      <w:r>
        <w:rPr>
          <w:rFonts w:eastAsia="Times New Roman" w:cs="Times New Roman" w:ascii="Times New Roman" w:hAnsi="Times New Roman"/>
          <w:sz w:val="18"/>
        </w:rPr>
        <w:t xml:space="preserve">transition. In </w:t>
      </w:r>
      <w:r>
        <w:rPr>
          <w:rFonts w:eastAsia="Times New Roman" w:cs="Times New Roman" w:ascii="Times New Roman" w:hAnsi="Times New Roman"/>
          <w:i/>
          <w:sz w:val="18"/>
        </w:rPr>
        <w:t>Post-Fordism: A Reader</w:t>
      </w:r>
      <w:r>
        <w:rPr>
          <w:rFonts w:eastAsia="Times New Roman" w:cs="Times New Roman" w:ascii="Times New Roman" w:hAnsi="Times New Roman"/>
          <w:sz w:val="18"/>
        </w:rPr>
        <w:t>, ed. A. Amin, 1–39.</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Times New Roman" w:hAnsi="Times New Roman" w:eastAsia="Times New Roman" w:cs="Times New Roman"/>
          <w:sz w:val="18"/>
        </w:rPr>
      </w:pPr>
      <w:r>
        <w:rPr>
          <w:rFonts w:eastAsia="Times New Roman" w:cs="Times New Roman" w:ascii="Times New Roman" w:hAnsi="Times New Roman"/>
          <w:sz w:val="18"/>
        </w:rPr>
        <w:t>United Kingdom: Blackwell Publishing. (E)</w:t>
      </w:r>
    </w:p>
    <w:p>
      <w:pPr>
        <w:pStyle w:val="Normal"/>
        <w:spacing w:lineRule="exact" w:line="4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7"/>
        <w:ind w:hanging="359" w:start="360" w:end="0"/>
        <w:jc w:val="both"/>
        <w:rPr/>
      </w:pPr>
      <w:r>
        <w:rPr>
          <w:rFonts w:eastAsia="Times New Roman" w:cs="Times New Roman" w:ascii="Times New Roman" w:hAnsi="Times New Roman"/>
          <w:sz w:val="18"/>
        </w:rPr>
        <w:t xml:space="preserve">Bhagwati, J. 2007. Outsourcing is as good or bad as any kind of trade. </w:t>
      </w:r>
      <w:r>
        <w:rPr>
          <w:rFonts w:eastAsia="Times New Roman" w:cs="Times New Roman" w:ascii="Times New Roman" w:hAnsi="Times New Roman"/>
          <w:i/>
          <w:sz w:val="18"/>
        </w:rPr>
        <w:t>e Economic Times</w:t>
      </w:r>
      <w:r>
        <w:rPr>
          <w:rFonts w:eastAsia="Times New Roman" w:cs="Times New Roman" w:ascii="Times New Roman" w:hAnsi="Times New Roman"/>
          <w:sz w:val="18"/>
        </w:rPr>
        <w:t>, 29 January 2007, New Delhi Edi-tion. (E)</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hanging="359" w:start="360" w:end="0"/>
        <w:jc w:val="both"/>
        <w:rPr>
          <w:rFonts w:ascii="Times New Roman" w:hAnsi="Times New Roman" w:eastAsia="Times New Roman" w:cs="Times New Roman"/>
          <w:sz w:val="18"/>
        </w:rPr>
      </w:pPr>
      <w:r>
        <w:rPr>
          <w:rFonts w:eastAsia="Times New Roman" w:cs="Times New Roman" w:ascii="Times New Roman" w:hAnsi="Times New Roman"/>
          <w:sz w:val="18"/>
        </w:rPr>
        <w:t>Gera, A.R. 2008. Outsourcing of Information Technology Enabled Services to India. An unpublished Ph.D. thesis submitted to Jamia Millia Islamia, New Delhi. (E)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sz w:val="18"/>
        </w:rPr>
        <w:t xml:space="preserve">Johnston, R.J. 1978. </w:t>
      </w:r>
      <w:r>
        <w:rPr>
          <w:rFonts w:eastAsia="Times New Roman" w:cs="Times New Roman" w:ascii="Times New Roman" w:hAnsi="Times New Roman"/>
          <w:i/>
          <w:sz w:val="18"/>
        </w:rPr>
        <w:t>Multivariate Analysis in Geography.</w:t>
      </w:r>
      <w:r>
        <w:rPr>
          <w:rFonts w:eastAsia="Times New Roman" w:cs="Times New Roman" w:ascii="Times New Roman" w:hAnsi="Times New Roman"/>
          <w:sz w:val="18"/>
        </w:rPr>
        <w:t xml:space="preserve"> London:</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Times New Roman" w:hAnsi="Times New Roman" w:eastAsia="Times New Roman" w:cs="Times New Roman"/>
          <w:sz w:val="18"/>
        </w:rPr>
      </w:pPr>
      <w:r>
        <w:rPr>
          <w:rFonts w:eastAsia="Times New Roman" w:cs="Times New Roman" w:ascii="Times New Roman" w:hAnsi="Times New Roman"/>
          <w:sz w:val="18"/>
        </w:rPr>
        <w:t>Longman. (E)</w:t>
      </w:r>
    </w:p>
    <w:p>
      <w:pPr>
        <w:pStyle w:val="Normal"/>
        <w:spacing w:lineRule="exact" w:line="4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9"/>
        <w:ind w:hanging="359" w:start="360" w:end="0"/>
        <w:jc w:val="both"/>
        <w:rPr/>
      </w:pPr>
      <w:r>
        <w:rPr>
          <w:rFonts w:eastAsia="Times New Roman" w:cs="Times New Roman" w:ascii="Times New Roman" w:hAnsi="Times New Roman"/>
          <w:sz w:val="18"/>
        </w:rPr>
        <w:t>Kiely, R. 2005.</w:t>
      </w:r>
      <w:r>
        <w:rPr>
          <w:rFonts w:eastAsia="Times New Roman" w:cs="Times New Roman" w:ascii="Times New Roman" w:hAnsi="Times New Roman"/>
        </w:rPr>
        <w:t xml:space="preserve"> </w:t>
      </w:r>
      <w:r>
        <w:rPr>
          <w:rFonts w:eastAsia="Times New Roman" w:cs="Times New Roman" w:ascii="Times New Roman" w:hAnsi="Times New Roman"/>
          <w:i/>
          <w:sz w:val="18"/>
        </w:rPr>
        <w:t>e Clash of Globalizations: Neo- Liberalism, the ird Way and Anti-Globalization</w:t>
      </w:r>
      <w:r>
        <w:rPr>
          <w:rFonts w:eastAsia="Times New Roman" w:cs="Times New Roman" w:ascii="Times New Roman" w:hAnsi="Times New Roman"/>
          <w:sz w:val="18"/>
        </w:rPr>
        <w:t>. e Netherlands: Brill, Leiden. (E)</w:t>
      </w:r>
    </w:p>
    <w:p>
      <w:pPr>
        <w:pStyle w:val="Normal"/>
        <w:spacing w:lineRule="exact" w:line="17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Times New Roman" w:cs="Times New Roman" w:ascii="Times New Roman" w:hAnsi="Times New Roman"/>
          <w:sz w:val="17"/>
        </w:rPr>
        <w:t xml:space="preserve">Kulkarni, S. 2005. </w:t>
      </w:r>
      <w:r>
        <w:rPr>
          <w:rFonts w:eastAsia="Times New Roman" w:cs="Times New Roman" w:ascii="Times New Roman" w:hAnsi="Times New Roman"/>
          <w:i/>
          <w:sz w:val="17"/>
        </w:rPr>
        <w:t>Business Process Outsourcing</w:t>
      </w:r>
      <w:r>
        <w:rPr>
          <w:rFonts w:eastAsia="Times New Roman" w:cs="Times New Roman" w:ascii="Times New Roman" w:hAnsi="Times New Roman"/>
          <w:sz w:val="17"/>
        </w:rPr>
        <w:t>. Mumbai: Jaico Pub-</w:t>
      </w:r>
    </w:p>
    <w:p>
      <w:pPr>
        <w:sectPr>
          <w:type w:val="continuous"/>
          <w:pgSz w:w="11906" w:h="16838"/>
          <w:pgMar w:left="880" w:right="866" w:gutter="0" w:header="0" w:top="561" w:footer="0" w:bottom="28"/>
          <w:cols w:num="2" w:space="40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6</w:t>
        <w:tab/>
        <w:t>—</w:t>
      </w:r>
    </w:p>
    <w:p>
      <w:pPr>
        <w:sectPr>
          <w:type w:val="continuous"/>
          <w:pgSz w:w="11906" w:h="16838"/>
          <w:pgMar w:left="880" w:right="866" w:gutter="0" w:header="0" w:top="561" w:footer="0" w:bottom="28"/>
          <w:formProt w:val="false"/>
          <w:textDirection w:val="lrTb"/>
          <w:docGrid w:type="default" w:linePitch="360" w:charSpace="0"/>
        </w:sectPr>
      </w:pPr>
    </w:p>
    <w:p>
      <w:pPr>
        <w:pStyle w:val="Normal"/>
        <w:spacing w:lineRule="atLeast" w:line="0"/>
        <w:ind w:end="20"/>
        <w:jc w:val="center"/>
        <w:rPr>
          <w:rFonts w:ascii="Arial" w:hAnsi="Arial" w:eastAsia="Arial" w:cs="Arial"/>
          <w:sz w:val="14"/>
        </w:rPr>
      </w:pPr>
      <w:bookmarkStart w:id="6" w:name="page7"/>
      <w:bookmarkEnd w:id="6"/>
      <w:r>
        <w:rPr>
          <w:rFonts w:eastAsia="Arial" w:cs="Arial" w:ascii="Arial" w:hAnsi="Arial"/>
          <w:sz w:val="14"/>
        </w:rPr>
        <w:t>Economic and Social Implications and Sustainability of Call Center Jobs in India</w:t>
      </w:r>
    </w:p>
    <w:p>
      <w:pPr>
        <w:sectPr>
          <w:type w:val="nextPage"/>
          <w:pgSz w:w="11906" w:h="16838"/>
          <w:pgMar w:left="880" w:right="866" w:gutter="0" w:header="0" w:top="561" w:footer="0" w:bottom="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18"/>
        </w:rPr>
      </w:pPr>
      <w:r>
        <w:rPr>
          <w:rFonts w:eastAsia="Times New Roman" w:cs="Times New Roman" w:ascii="Times New Roman" w:hAnsi="Times New Roman"/>
          <w:sz w:val="18"/>
        </w:rPr>
        <w:t>lishing House. (E)</w:t>
      </w:r>
    </w:p>
    <w:p>
      <w:pPr>
        <w:pStyle w:val="Normal"/>
        <w:spacing w:lineRule="exact" w:line="40"/>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3220" w:leader="none"/>
        </w:tabs>
        <w:spacing w:lineRule="exact" w:line="207"/>
        <w:rPr/>
      </w:pPr>
      <w:r>
        <w:rPr>
          <w:rFonts w:eastAsia="Times New Roman" w:cs="Times New Roman" w:ascii="Times New Roman" w:hAnsi="Times New Roman"/>
          <w:sz w:val="18"/>
        </w:rPr>
        <w:t xml:space="preserve">NASSCOM. 2005. </w:t>
      </w:r>
      <w:r>
        <w:rPr>
          <w:rFonts w:eastAsia="Times New Roman" w:cs="Times New Roman" w:ascii="Times New Roman" w:hAnsi="Times New Roman"/>
          <w:i/>
          <w:sz w:val="18"/>
        </w:rPr>
        <w:t>Strategic Review 2005:</w:t>
      </w:r>
      <w:r>
        <w:rPr>
          <w:rFonts w:eastAsia="Times New Roman" w:cs="Times New Roman" w:ascii="Times New Roman" w:hAnsi="Times New Roman"/>
        </w:rPr>
        <w:tab/>
      </w:r>
      <w:r>
        <w:rPr>
          <w:rFonts w:eastAsia="Times New Roman" w:cs="Times New Roman" w:ascii="Times New Roman" w:hAnsi="Times New Roman"/>
          <w:i/>
          <w:sz w:val="18"/>
        </w:rPr>
        <w:t>e IT Industry in India</w:t>
      </w:r>
      <w:r>
        <w:rPr>
          <w:rFonts w:eastAsia="Times New Roman" w:cs="Times New Roman" w:ascii="Times New Roman" w:hAnsi="Times New Roman"/>
          <w:sz w:val="18"/>
        </w:rPr>
        <w:t>.</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60" w:end="0"/>
        <w:rPr>
          <w:rFonts w:ascii="Times New Roman" w:hAnsi="Times New Roman" w:eastAsia="Times New Roman" w:cs="Times New Roman"/>
          <w:sz w:val="18"/>
        </w:rPr>
      </w:pPr>
      <w:r>
        <w:rPr>
          <w:rFonts w:eastAsia="Times New Roman" w:cs="Times New Roman" w:ascii="Times New Roman" w:hAnsi="Times New Roman"/>
          <w:sz w:val="18"/>
        </w:rPr>
        <w:t>New Delhi: NASSCOM. (E)</w:t>
      </w:r>
    </w:p>
    <w:p>
      <w:pPr>
        <w:pStyle w:val="Normal"/>
        <w:spacing w:lineRule="exact" w:line="4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hanging="359" w:start="360" w:end="40"/>
        <w:jc w:val="both"/>
        <w:rPr/>
      </w:pPr>
      <w:r>
        <w:rPr>
          <w:rFonts w:eastAsia="Times New Roman" w:cs="Times New Roman" w:ascii="Times New Roman" w:hAnsi="Times New Roman"/>
          <w:sz w:val="18"/>
        </w:rPr>
        <w:t xml:space="preserve">NASSCOM-Everest 2008. </w:t>
      </w:r>
      <w:r>
        <w:rPr>
          <w:rFonts w:eastAsia="Times New Roman" w:cs="Times New Roman" w:ascii="Times New Roman" w:hAnsi="Times New Roman"/>
          <w:i/>
          <w:sz w:val="18"/>
        </w:rPr>
        <w:t>NASSCOM-Everest India BPO Study: Roadmap 2012-Capitalising on the Expanding BPO Landscape</w:t>
      </w:r>
      <w:r>
        <w:rPr>
          <w:rFonts w:eastAsia="Times New Roman" w:cs="Times New Roman" w:ascii="Times New Roman" w:hAnsi="Times New Roman"/>
          <w:sz w:val="18"/>
        </w:rPr>
        <w:t>,</w:t>
      </w:r>
      <w:r>
        <w:rPr>
          <w:rFonts w:eastAsia="Times New Roman" w:cs="Times New Roman" w:ascii="Times New Roman" w:hAnsi="Times New Roman"/>
          <w:i/>
          <w:sz w:val="18"/>
        </w:rPr>
        <w:t xml:space="preserve"> </w:t>
      </w:r>
      <w:r>
        <w:rPr>
          <w:rFonts w:eastAsia="Times New Roman" w:cs="Times New Roman" w:ascii="Times New Roman" w:hAnsi="Times New Roman"/>
          <w:sz w:val="18"/>
        </w:rPr>
        <w:t>New Delhi: NASSCOM. (E)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hanging="359" w:start="360" w:end="40"/>
        <w:jc w:val="both"/>
        <w:rPr/>
      </w:pPr>
      <w:r>
        <w:rPr>
          <w:rFonts w:eastAsia="Times New Roman" w:cs="Times New Roman" w:ascii="Times New Roman" w:hAnsi="Times New Roman"/>
          <w:sz w:val="18"/>
        </w:rPr>
        <w:t xml:space="preserve">Ramesh, B.P. 2004. Cyber coolies in BPO: Insecurities and vulner-abilities of non-standard work. </w:t>
      </w:r>
      <w:r>
        <w:rPr>
          <w:rFonts w:eastAsia="Times New Roman" w:cs="Times New Roman" w:ascii="Times New Roman" w:hAnsi="Times New Roman"/>
          <w:i/>
          <w:sz w:val="18"/>
        </w:rPr>
        <w:t>Economic and Political Weekly</w:t>
      </w:r>
      <w:r>
        <w:rPr>
          <w:rFonts w:eastAsia="Times New Roman" w:cs="Times New Roman" w:ascii="Times New Roman" w:hAnsi="Times New Roman"/>
          <w:sz w:val="18"/>
        </w:rPr>
        <w:t xml:space="preserve"> 39(5):492–497. (E)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7"/>
        <w:ind w:hanging="359" w:start="360" w:end="40"/>
        <w:jc w:val="both"/>
        <w:rPr/>
      </w:pPr>
      <w:r>
        <w:rPr>
          <w:rFonts w:eastAsia="Times New Roman" w:cs="Times New Roman" w:ascii="Times New Roman" w:hAnsi="Times New Roman"/>
          <w:sz w:val="18"/>
        </w:rPr>
        <w:t>Sridhar, L. 2013. IT has done more harm than good.</w:t>
      </w:r>
      <w:r>
        <w:rPr>
          <w:rFonts w:eastAsia="Times New Roman" w:cs="Times New Roman" w:ascii="Times New Roman" w:hAnsi="Times New Roman"/>
        </w:rPr>
        <w:t xml:space="preserve"> </w:t>
      </w:r>
      <w:r>
        <w:rPr>
          <w:rFonts w:eastAsia="Times New Roman" w:cs="Times New Roman" w:ascii="Times New Roman" w:hAnsi="Times New Roman"/>
          <w:i/>
          <w:sz w:val="18"/>
        </w:rPr>
        <w:t>e Hindu</w:t>
      </w:r>
      <w:r>
        <w:rPr>
          <w:rFonts w:eastAsia="Times New Roman" w:cs="Times New Roman" w:ascii="Times New Roman" w:hAnsi="Times New Roman"/>
          <w:sz w:val="18"/>
        </w:rPr>
        <w:t>, New Delhi edition, September 15: 16. (E)</w:t>
      </w:r>
    </w:p>
    <w:p>
      <w:pPr>
        <w:pStyle w:val="Normal"/>
        <w:spacing w:lineRule="exact" w:line="25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Upadhya, C. and Vasavi, A.R. 2006. Work, Culture and Sociability</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jc w:val="both"/>
        <w:rPr>
          <w:rFonts w:ascii="Times New Roman" w:hAnsi="Times New Roman" w:eastAsia="Times New Roman" w:cs="Times New Roman"/>
          <w:sz w:val="18"/>
        </w:rPr>
      </w:pPr>
      <w:r>
        <w:rPr>
          <w:rFonts w:eastAsia="Times New Roman" w:cs="Times New Roman" w:ascii="Times New Roman" w:hAnsi="Times New Roman"/>
          <w:sz w:val="18"/>
        </w:rPr>
        <w:t>in the Indian IT Industry: A Sociological Study. Final report submitted to Indo-Dutch program for alternatives in develop-ment. http://eprints.nias.res.in:8081/107/2/idpad nalreport. pdf (last accessed on 7 May 2012). (E)</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8"/>
        <w:ind w:hanging="359" w:end="0"/>
        <w:jc w:val="both"/>
        <w:rPr/>
      </w:pPr>
      <w:r>
        <w:rPr>
          <w:rFonts w:eastAsia="Times New Roman" w:cs="Times New Roman" w:ascii="Times New Roman" w:hAnsi="Times New Roman"/>
          <w:sz w:val="18"/>
        </w:rPr>
        <w:t xml:space="preserve">Walsh, A. 1990. </w:t>
      </w:r>
      <w:r>
        <w:rPr>
          <w:rFonts w:eastAsia="Times New Roman" w:cs="Times New Roman" w:ascii="Times New Roman" w:hAnsi="Times New Roman"/>
          <w:i/>
          <w:sz w:val="18"/>
        </w:rPr>
        <w:t>Statistics for the Social Sciences: With Computer Applications</w:t>
      </w:r>
      <w:r>
        <w:rPr>
          <w:rFonts w:eastAsia="Times New Roman" w:cs="Times New Roman" w:ascii="Times New Roman" w:hAnsi="Times New Roman"/>
          <w:sz w:val="18"/>
        </w:rPr>
        <w:t>. Harper &amp; Row Publishers, New York. (E)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7"/>
        <w:ind w:hanging="359" w:end="0"/>
        <w:jc w:val="both"/>
        <w:rPr/>
      </w:pPr>
      <w:r>
        <w:rPr>
          <w:rFonts w:eastAsia="Times New Roman" w:cs="Times New Roman" w:ascii="Times New Roman" w:hAnsi="Times New Roman"/>
          <w:sz w:val="18"/>
        </w:rPr>
        <w:t>Webster, F. 2002.</w:t>
      </w:r>
      <w:r>
        <w:rPr>
          <w:rFonts w:eastAsia="Times New Roman" w:cs="Times New Roman" w:ascii="Times New Roman" w:hAnsi="Times New Roman"/>
        </w:rPr>
        <w:t xml:space="preserve"> </w:t>
      </w:r>
      <w:r>
        <w:rPr>
          <w:rFonts w:eastAsia="Times New Roman" w:cs="Times New Roman" w:ascii="Times New Roman" w:hAnsi="Times New Roman"/>
          <w:i/>
          <w:sz w:val="18"/>
        </w:rPr>
        <w:t>eories of Information Society</w:t>
      </w:r>
      <w:r>
        <w:rPr>
          <w:rFonts w:eastAsia="Times New Roman" w:cs="Times New Roman" w:ascii="Times New Roman" w:hAnsi="Times New Roman"/>
          <w:sz w:val="18"/>
        </w:rPr>
        <w:t>. London and New York: Rutledge. (E)</w:t>
      </w:r>
    </w:p>
    <w:p>
      <w:pPr>
        <w:pStyle w:val="Normal"/>
        <w:spacing w:lineRule="exact" w:line="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2"/>
        <w:ind w:hanging="359" w:end="0"/>
        <w:jc w:val="both"/>
        <w:rPr/>
      </w:pPr>
      <w:r>
        <w:rPr>
          <w:rFonts w:eastAsia="Times New Roman" w:cs="Times New Roman" w:ascii="Times New Roman" w:hAnsi="Times New Roman"/>
          <w:sz w:val="18"/>
        </w:rPr>
        <w:t xml:space="preserve">Wright, R. 2002. Transnational corporations and global divisions of labor. In </w:t>
      </w:r>
      <w:r>
        <w:rPr>
          <w:rFonts w:eastAsia="Times New Roman" w:cs="Times New Roman" w:ascii="Times New Roman" w:hAnsi="Times New Roman"/>
          <w:i/>
          <w:sz w:val="18"/>
        </w:rPr>
        <w:t>Geographies of Global Change: Remapping the World</w:t>
      </w:r>
      <w:r>
        <w:rPr>
          <w:rFonts w:eastAsia="Times New Roman" w:cs="Times New Roman" w:ascii="Times New Roman" w:hAnsi="Times New Roman"/>
          <w:sz w:val="18"/>
        </w:rPr>
        <w:t>, eds. R.J. Johnston, P.J. Taylor, and M.J. Watts, 68–77. UK: Blackwell Publishing House. (E)</w:t>
      </w:r>
    </w:p>
    <w:p>
      <w:pPr>
        <w:sectPr>
          <w:type w:val="continuous"/>
          <w:pgSz w:w="11906" w:h="16838"/>
          <w:pgMar w:left="880" w:right="866" w:gutter="0" w:header="0" w:top="561" w:footer="0" w:bottom="28"/>
          <w:cols w:num="2" w:equalWidth="false" w:sep="false">
            <w:col w:w="4920" w:space="720"/>
            <w:col w:w="45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 w:leader="none"/>
        </w:tabs>
        <w:spacing w:lineRule="atLeast" w:line="0"/>
        <w:ind w:end="-19"/>
        <w:jc w:val="center"/>
        <w:rPr/>
      </w:pPr>
      <w:r>
        <w:rPr>
          <w:rFonts w:eastAsia="Arial" w:cs="Arial" w:ascii="Arial" w:hAnsi="Arial"/>
          <w:sz w:val="16"/>
        </w:rPr>
        <w:t xml:space="preserve">— </w:t>
      </w:r>
      <w:r>
        <w:rPr>
          <w:rFonts w:eastAsia="Arial" w:cs="Arial" w:ascii="Arial" w:hAnsi="Arial"/>
          <w:sz w:val="16"/>
        </w:rPr>
        <w:t>7</w:t>
        <w:tab/>
        <w:t>—</w:t>
      </w:r>
    </w:p>
    <w:sectPr>
      <w:type w:val="continuous"/>
      <w:pgSz w:w="11906" w:h="16838"/>
      <w:pgMar w:left="880" w:right="866" w:gutter="0" w:header="0" w:top="561" w:footer="0" w:bottom="2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re.ac.uk/display/222957971?utm_source=pdf&amp;utm_medium=banner&amp;utm_campaign=pdf-decoration-v1" TargetMode="External"/><Relationship Id="rId3" Type="http://schemas.openxmlformats.org/officeDocument/2006/relationships/hyperlink" Target="https://core.ac.uk/display/222957971?utm_source=pdf&amp;utm_medium=banner&amp;utm_campaign=pdf-decoration-v1" TargetMode="External"/><Relationship Id="rId4" Type="http://schemas.openxmlformats.org/officeDocument/2006/relationships/image" Target="media/image1.jpeg"/><Relationship Id="rId5" Type="http://schemas.openxmlformats.org/officeDocument/2006/relationships/hyperlink" Target="https://core.ac.uk/display/222957971?utm_source=pdf&amp;utm_medium=banner&amp;utm_campaign=pdf-decoration-v1" TargetMode="External"/><Relationship Id="rId6" Type="http://schemas.openxmlformats.org/officeDocument/2006/relationships/hyperlink" Target="https://core.ac.uk/display/222957971?utm_source=pdf&amp;utm_medium=banner&amp;utm_campaign=pdf-decoration-v1" TargetMode="External"/><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Pages>
  <Words>4978</Words>
  <Characters>26205</Characters>
  <CharactersWithSpaces>30926</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