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tLeast" w:line="0"/>
        <w:ind w:end="20"/>
        <w:jc w:val="center"/>
        <w:rPr>
          <w:rFonts w:ascii="Arial" w:hAnsi="Arial" w:eastAsia="Arial" w:cs="Arial"/>
          <w:b/>
          <w:sz w:val="40"/>
        </w:rPr>
      </w:pPr>
      <w:bookmarkStart w:id="0" w:name="page1"/>
      <w:bookmarkEnd w:id="0"/>
      <w:r>
        <w:rPr>
          <w:rFonts w:eastAsia="Arial" w:cs="Arial" w:ascii="Arial" w:hAnsi="Arial"/>
          <w:b/>
          <w:sz w:val="40"/>
        </w:rPr>
        <w:t>Developer Turnover Checklist</w:t>
      </w:r>
    </w:p>
    <w:p>
      <w:pPr>
        <w:pStyle w:val="Normal"/>
        <w:spacing w:lineRule="exact" w:line="298"/>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42"/>
        <w:ind w:start="360" w:end="420"/>
        <w:rPr/>
      </w:pPr>
      <w:r>
        <w:rPr>
          <w:rFonts w:eastAsia="Arial" w:cs="Arial" w:ascii="Arial" w:hAnsi="Arial"/>
          <w:sz w:val="24"/>
        </w:rPr>
        <w:t>The turnover meeting, where control of the Home Owner’s association is transferred from the developer to a homeowner-controlled board of directors, is a critical event. Here are some helpful tips. (Requirements may vary from state to state. Check with a knowledgeable attorney).</w:t>
      </w:r>
    </w:p>
    <w:p>
      <w:pPr>
        <w:pStyle w:val="Normal"/>
        <w:spacing w:lineRule="exact" w:line="25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Arial" w:hAnsi="Arial" w:eastAsia="Arial" w:cs="Arial"/>
          <w:b/>
          <w:sz w:val="24"/>
        </w:rPr>
      </w:pPr>
      <w:r>
        <w:rPr>
          <w:rFonts w:eastAsia="Arial" w:cs="Arial" w:ascii="Arial" w:hAnsi="Arial"/>
          <w:b/>
          <w:sz w:val="24"/>
        </w:rPr>
        <w:t>Before Turnover</w:t>
      </w:r>
    </w:p>
    <w:p>
      <w:pPr>
        <w:pStyle w:val="Normal"/>
        <w:spacing w:lineRule="exact" w:line="29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40"/>
        <w:ind w:start="360" w:end="500"/>
        <w:rPr>
          <w:rFonts w:ascii="Arial" w:hAnsi="Arial" w:eastAsia="Arial" w:cs="Arial"/>
          <w:sz w:val="24"/>
        </w:rPr>
      </w:pPr>
      <w:r>
        <w:rPr>
          <w:rFonts w:eastAsia="Arial" w:cs="Arial" w:ascii="Arial" w:hAnsi="Arial"/>
          <w:sz w:val="24"/>
        </w:rPr>
        <w:t>A developer-controlled board of directors has the same duties and requirements as a homeowner-controlled board. While the developer is still in control, a transition homeowner committee is entitled to the financial records. These records show the association maintenance fees collected, the reserve plan and funds, and the costs of performing services like landscape maintenance, pool maintenance, property management and accounting. The developer should not commingle construction and association funds. A financial audit should be conducted to ensure that all association revenue and expenses are accounted for.</w:t>
      </w:r>
    </w:p>
    <w:p>
      <w:pPr>
        <w:pStyle w:val="Normal"/>
        <w:spacing w:lineRule="exact" w:line="26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Arial" w:hAnsi="Arial" w:eastAsia="Arial" w:cs="Arial"/>
          <w:b/>
          <w:sz w:val="24"/>
        </w:rPr>
      </w:pPr>
      <w:r>
        <w:rPr>
          <w:rFonts w:eastAsia="Arial" w:cs="Arial" w:ascii="Arial" w:hAnsi="Arial"/>
          <w:b/>
          <w:sz w:val="24"/>
        </w:rPr>
        <w:t>Turnover Meeting</w:t>
      </w:r>
    </w:p>
    <w:p>
      <w:pPr>
        <w:pStyle w:val="Normal"/>
        <w:spacing w:lineRule="exact" w:line="29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40"/>
        <w:ind w:start="360" w:end="400"/>
        <w:rPr/>
      </w:pPr>
      <w:r>
        <w:rPr>
          <w:rFonts w:eastAsia="Arial" w:cs="Arial" w:ascii="Arial" w:hAnsi="Arial"/>
          <w:sz w:val="24"/>
        </w:rPr>
        <w:t>State laws usually require that a turnover meeting must occur within a certain time period after developer conveyance of a certain number or percentage of the units, or the elapse of a certain time period after the declaration recording, whichever is earlier. Check your</w:t>
      </w:r>
      <w:r>
        <w:rPr>
          <w:rFonts w:eastAsia="Arial" w:cs="Arial" w:ascii="Arial" w:hAnsi="Arial"/>
          <w:color w:val="0000FF"/>
          <w:sz w:val="24"/>
        </w:rPr>
        <w:t xml:space="preserve"> </w:t>
      </w:r>
      <w:r>
        <w:rPr>
          <w:rFonts w:eastAsia="Arial" w:cs="Arial" w:ascii="Arial" w:hAnsi="Arial"/>
          <w:color w:val="0000FF"/>
          <w:sz w:val="24"/>
          <w:u w:val="single"/>
        </w:rPr>
        <w:t>state statutes</w:t>
      </w:r>
      <w:r>
        <w:rPr>
          <w:rFonts w:eastAsia="Arial" w:cs="Arial" w:ascii="Arial" w:hAnsi="Arial"/>
          <w:sz w:val="24"/>
        </w:rPr>
        <w:t xml:space="preserve"> and your governing documents for the specific timetable.</w:t>
      </w:r>
    </w:p>
    <w:p>
      <w:pPr>
        <w:pStyle w:val="Normal"/>
        <w:spacing w:lineRule="exact" w:line="26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Arial" w:hAnsi="Arial" w:eastAsia="Arial" w:cs="Arial"/>
          <w:b/>
          <w:sz w:val="24"/>
        </w:rPr>
      </w:pPr>
      <w:r>
        <w:rPr>
          <w:rFonts w:eastAsia="Arial" w:cs="Arial" w:ascii="Arial" w:hAnsi="Arial"/>
          <w:b/>
          <w:sz w:val="24"/>
        </w:rPr>
        <w:t>Turnover Information &amp; Record Checklist</w:t>
      </w:r>
    </w:p>
    <w:p>
      <w:pPr>
        <w:pStyle w:val="Normal"/>
        <w:spacing w:lineRule="exact" w:line="281"/>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52"/>
        <w:ind w:start="360" w:end="420"/>
        <w:rPr>
          <w:rFonts w:ascii="Arial" w:hAnsi="Arial" w:eastAsia="Arial" w:cs="Arial"/>
          <w:sz w:val="24"/>
        </w:rPr>
      </w:pPr>
      <w:r>
        <w:rPr>
          <w:rFonts w:eastAsia="Arial" w:cs="Arial" w:ascii="Arial" w:hAnsi="Arial"/>
          <w:sz w:val="24"/>
        </w:rPr>
        <w:t>At the turnover meeting the developer relinquishes administrative control to the owners, and the owners elect a board of directors in accordance with the bylaws.</w:t>
      </w:r>
    </w:p>
    <w:p>
      <w:pPr>
        <w:pStyle w:val="Normal"/>
        <w:spacing w:lineRule="exact" w:line="25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Arial" w:hAnsi="Arial" w:eastAsia="Arial" w:cs="Arial"/>
          <w:sz w:val="24"/>
        </w:rPr>
      </w:pPr>
      <w:r>
        <w:rPr>
          <w:rFonts w:eastAsia="Arial" w:cs="Arial" w:ascii="Arial" w:hAnsi="Arial"/>
          <w:sz w:val="24"/>
        </w:rPr>
        <w:t>The developer delivers to the association at the turnover meeting, if applicable:</w:t>
      </w:r>
    </w:p>
    <w:p>
      <w:pPr>
        <w:pStyle w:val="Normal"/>
        <w:spacing w:lineRule="exact" w:line="13"/>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
        </w:numPr>
        <w:tabs>
          <w:tab w:val="clear" w:pos="720"/>
          <w:tab w:val="left" w:pos="1440" w:leader="none"/>
        </w:tabs>
        <w:spacing w:lineRule="auto" w:line="235"/>
        <w:ind w:hanging="365" w:start="1440" w:end="1340"/>
        <w:rPr>
          <w:rFonts w:ascii="Arial" w:hAnsi="Arial" w:eastAsia="Arial" w:cs="Arial"/>
          <w:sz w:val="24"/>
        </w:rPr>
      </w:pPr>
      <w:r>
        <w:rPr>
          <w:rFonts w:eastAsia="Arial" w:cs="Arial" w:ascii="Arial" w:hAnsi="Arial"/>
          <w:sz w:val="24"/>
        </w:rPr>
        <w:t>Copy of the recorded governing documents, supplements and amendments.</w:t>
      </w:r>
    </w:p>
    <w:p>
      <w:pPr>
        <w:pStyle w:val="Normal"/>
        <w:spacing w:lineRule="exact" w:line="2"/>
        <w:rPr>
          <w:rFonts w:ascii="Arial" w:hAnsi="Arial" w:eastAsia="Arial" w:cs="Arial"/>
          <w:sz w:val="24"/>
        </w:rPr>
      </w:pPr>
      <w:r>
        <w:rPr>
          <w:rFonts w:eastAsia="Arial" w:cs="Arial" w:ascii="Arial" w:hAnsi="Arial"/>
          <w:sz w:val="24"/>
        </w:rPr>
      </w:r>
    </w:p>
    <w:p>
      <w:pPr>
        <w:pStyle w:val="Normal"/>
        <w:numPr>
          <w:ilvl w:val="0"/>
          <w:numId w:val="1"/>
        </w:numPr>
        <w:tabs>
          <w:tab w:val="clear" w:pos="720"/>
          <w:tab w:val="left" w:pos="1440" w:leader="none"/>
        </w:tabs>
        <w:spacing w:lineRule="atLeast" w:line="0"/>
        <w:ind w:hanging="365" w:start="1440" w:end="0"/>
        <w:rPr>
          <w:rFonts w:ascii="Arial" w:hAnsi="Arial" w:eastAsia="Arial" w:cs="Arial"/>
          <w:sz w:val="24"/>
        </w:rPr>
      </w:pPr>
      <w:r>
        <w:rPr>
          <w:rFonts w:eastAsia="Arial" w:cs="Arial" w:ascii="Arial" w:hAnsi="Arial"/>
          <w:sz w:val="24"/>
        </w:rPr>
        <w:t>Copy of the articles of incorporation.</w:t>
      </w:r>
    </w:p>
    <w:p>
      <w:pPr>
        <w:pStyle w:val="Normal"/>
        <w:spacing w:lineRule="exact" w:line="2"/>
        <w:rPr>
          <w:rFonts w:ascii="Arial" w:hAnsi="Arial" w:eastAsia="Arial" w:cs="Arial"/>
          <w:sz w:val="24"/>
        </w:rPr>
      </w:pPr>
      <w:r>
        <w:rPr>
          <w:rFonts w:eastAsia="Arial" w:cs="Arial" w:ascii="Arial" w:hAnsi="Arial"/>
          <w:sz w:val="24"/>
        </w:rPr>
      </w:r>
    </w:p>
    <w:p>
      <w:pPr>
        <w:pStyle w:val="Normal"/>
        <w:numPr>
          <w:ilvl w:val="0"/>
          <w:numId w:val="1"/>
        </w:numPr>
        <w:tabs>
          <w:tab w:val="clear" w:pos="720"/>
          <w:tab w:val="left" w:pos="1440" w:leader="none"/>
        </w:tabs>
        <w:spacing w:lineRule="atLeast" w:line="0"/>
        <w:ind w:hanging="365" w:start="1440" w:end="0"/>
        <w:rPr>
          <w:rFonts w:ascii="Arial" w:hAnsi="Arial" w:eastAsia="Arial" w:cs="Arial"/>
          <w:sz w:val="24"/>
        </w:rPr>
      </w:pPr>
      <w:r>
        <w:rPr>
          <w:rFonts w:eastAsia="Arial" w:cs="Arial" w:ascii="Arial" w:hAnsi="Arial"/>
          <w:sz w:val="24"/>
        </w:rPr>
        <w:t>Minute books and other records of the association.</w:t>
      </w:r>
    </w:p>
    <w:p>
      <w:pPr>
        <w:pStyle w:val="Normal"/>
        <w:spacing w:lineRule="exact" w:line="2"/>
        <w:rPr>
          <w:rFonts w:ascii="Arial" w:hAnsi="Arial" w:eastAsia="Arial" w:cs="Arial"/>
          <w:sz w:val="24"/>
        </w:rPr>
      </w:pPr>
      <w:r>
        <w:rPr>
          <w:rFonts w:eastAsia="Arial" w:cs="Arial" w:ascii="Arial" w:hAnsi="Arial"/>
          <w:sz w:val="24"/>
        </w:rPr>
      </w:r>
    </w:p>
    <w:p>
      <w:pPr>
        <w:pStyle w:val="Normal"/>
        <w:numPr>
          <w:ilvl w:val="0"/>
          <w:numId w:val="1"/>
        </w:numPr>
        <w:tabs>
          <w:tab w:val="clear" w:pos="720"/>
          <w:tab w:val="left" w:pos="1440" w:leader="none"/>
        </w:tabs>
        <w:spacing w:lineRule="auto" w:line="232"/>
        <w:ind w:hanging="365" w:start="1440" w:end="0"/>
        <w:rPr>
          <w:rFonts w:ascii="Arial" w:hAnsi="Arial" w:eastAsia="Arial" w:cs="Arial"/>
          <w:sz w:val="24"/>
        </w:rPr>
      </w:pPr>
      <w:r>
        <w:rPr>
          <w:rFonts w:eastAsia="Arial" w:cs="Arial" w:ascii="Arial" w:hAnsi="Arial"/>
          <w:sz w:val="24"/>
        </w:rPr>
        <w:t>Rules and regulations which have been generated.</w:t>
      </w:r>
    </w:p>
    <w:p>
      <w:pPr>
        <w:pStyle w:val="Normal"/>
        <w:numPr>
          <w:ilvl w:val="0"/>
          <w:numId w:val="1"/>
        </w:numPr>
        <w:tabs>
          <w:tab w:val="clear" w:pos="720"/>
          <w:tab w:val="left" w:pos="1440" w:leader="none"/>
        </w:tabs>
        <w:spacing w:lineRule="atLeast" w:line="0"/>
        <w:ind w:hanging="365" w:start="1440" w:end="0"/>
        <w:rPr>
          <w:rFonts w:ascii="Arial" w:hAnsi="Arial" w:eastAsia="Arial" w:cs="Arial"/>
          <w:sz w:val="24"/>
        </w:rPr>
      </w:pPr>
      <w:r>
        <w:rPr>
          <w:rFonts w:eastAsia="Arial" w:cs="Arial" w:ascii="Arial" w:hAnsi="Arial"/>
          <w:sz w:val="24"/>
        </w:rPr>
        <w:t>Resignations of any directors due to expiration of developer control.</w:t>
      </w:r>
    </w:p>
    <w:p>
      <w:pPr>
        <w:pStyle w:val="Normal"/>
        <w:spacing w:lineRule="exact" w:line="2"/>
        <w:rPr>
          <w:rFonts w:ascii="Arial" w:hAnsi="Arial" w:eastAsia="Arial" w:cs="Arial"/>
          <w:sz w:val="24"/>
        </w:rPr>
      </w:pPr>
      <w:r>
        <w:rPr>
          <w:rFonts w:eastAsia="Arial" w:cs="Arial" w:ascii="Arial" w:hAnsi="Arial"/>
          <w:sz w:val="24"/>
        </w:rPr>
      </w:r>
    </w:p>
    <w:p>
      <w:pPr>
        <w:pStyle w:val="Normal"/>
        <w:numPr>
          <w:ilvl w:val="0"/>
          <w:numId w:val="1"/>
        </w:numPr>
        <w:tabs>
          <w:tab w:val="clear" w:pos="720"/>
          <w:tab w:val="left" w:pos="1440" w:leader="none"/>
        </w:tabs>
        <w:spacing w:lineRule="atLeast" w:line="0"/>
        <w:ind w:hanging="365" w:start="1440" w:end="0"/>
        <w:rPr>
          <w:rFonts w:ascii="Arial" w:hAnsi="Arial" w:eastAsia="Arial" w:cs="Arial"/>
          <w:sz w:val="24"/>
        </w:rPr>
      </w:pPr>
      <w:r>
        <w:rPr>
          <w:rFonts w:eastAsia="Arial" w:cs="Arial" w:ascii="Arial" w:hAnsi="Arial"/>
          <w:sz w:val="24"/>
        </w:rPr>
        <w:t>Financial report for the association:</w:t>
      </w:r>
    </w:p>
    <w:p>
      <w:pPr>
        <w:pStyle w:val="Normal"/>
        <w:spacing w:lineRule="exact" w:line="6"/>
        <w:rPr>
          <w:rFonts w:ascii="Arial" w:hAnsi="Arial" w:eastAsia="Arial" w:cs="Arial"/>
          <w:sz w:val="24"/>
        </w:rPr>
      </w:pPr>
      <w:r>
        <w:rPr>
          <w:rFonts w:eastAsia="Arial" w:cs="Arial" w:ascii="Arial" w:hAnsi="Arial"/>
          <w:sz w:val="24"/>
        </w:rPr>
      </w:r>
    </w:p>
    <w:p>
      <w:pPr>
        <w:pStyle w:val="Normal"/>
        <w:numPr>
          <w:ilvl w:val="1"/>
          <w:numId w:val="1"/>
        </w:numPr>
        <w:tabs>
          <w:tab w:val="clear" w:pos="720"/>
          <w:tab w:val="left" w:pos="2160" w:leader="none"/>
        </w:tabs>
        <w:spacing w:lineRule="atLeast" w:line="0"/>
        <w:ind w:hanging="365" w:start="2160" w:end="0"/>
        <w:rPr>
          <w:rFonts w:ascii="Symbol" w:hAnsi="Symbol" w:eastAsia="Symbol" w:cs="Symbol"/>
          <w:sz w:val="24"/>
        </w:rPr>
      </w:pPr>
      <w:r>
        <w:rPr>
          <w:rFonts w:eastAsia="Arial" w:cs="Arial" w:ascii="Arial" w:hAnsi="Arial"/>
          <w:sz w:val="24"/>
        </w:rPr>
        <w:t>Balance Sheet.</w:t>
      </w:r>
    </w:p>
    <w:p>
      <w:pPr>
        <w:pStyle w:val="Normal"/>
        <w:spacing w:lineRule="exact" w:line="2"/>
        <w:rPr>
          <w:rFonts w:ascii="Symbol" w:hAnsi="Symbol" w:eastAsia="Symbol" w:cs="Symbol"/>
          <w:sz w:val="24"/>
        </w:rPr>
      </w:pPr>
      <w:r>
        <w:rPr>
          <w:rFonts w:eastAsia="Symbol" w:cs="Symbol" w:ascii="Symbol" w:hAnsi="Symbol"/>
          <w:sz w:val="24"/>
        </w:rPr>
      </w:r>
    </w:p>
    <w:p>
      <w:pPr>
        <w:pStyle w:val="Normal"/>
        <w:numPr>
          <w:ilvl w:val="1"/>
          <w:numId w:val="1"/>
        </w:numPr>
        <w:tabs>
          <w:tab w:val="clear" w:pos="720"/>
          <w:tab w:val="left" w:pos="2160" w:leader="none"/>
        </w:tabs>
        <w:spacing w:lineRule="auto" w:line="232"/>
        <w:ind w:hanging="365" w:start="2160" w:end="0"/>
        <w:rPr>
          <w:rFonts w:ascii="Symbol" w:hAnsi="Symbol" w:eastAsia="Symbol" w:cs="Symbol"/>
          <w:sz w:val="24"/>
        </w:rPr>
      </w:pPr>
      <w:r>
        <w:rPr>
          <w:rFonts w:eastAsia="Arial" w:cs="Arial" w:ascii="Arial" w:hAnsi="Arial"/>
          <w:sz w:val="24"/>
        </w:rPr>
        <w:t>Income &amp; Expense Statement for the preceding year.</w:t>
      </w:r>
    </w:p>
    <w:p>
      <w:pPr>
        <w:pStyle w:val="Normal"/>
        <w:spacing w:lineRule="exact" w:line="2"/>
        <w:rPr>
          <w:rFonts w:ascii="Symbol" w:hAnsi="Symbol" w:eastAsia="Symbol" w:cs="Symbol"/>
          <w:sz w:val="24"/>
        </w:rPr>
      </w:pPr>
      <w:r>
        <w:rPr>
          <w:rFonts w:eastAsia="Symbol" w:cs="Symbol" w:ascii="Symbol" w:hAnsi="Symbol"/>
          <w:sz w:val="24"/>
        </w:rPr>
      </w:r>
    </w:p>
    <w:p>
      <w:pPr>
        <w:pStyle w:val="Normal"/>
        <w:numPr>
          <w:ilvl w:val="1"/>
          <w:numId w:val="1"/>
        </w:numPr>
        <w:tabs>
          <w:tab w:val="clear" w:pos="720"/>
          <w:tab w:val="left" w:pos="2160" w:leader="none"/>
        </w:tabs>
        <w:spacing w:lineRule="auto" w:line="235"/>
        <w:ind w:hanging="365" w:start="2160" w:end="600"/>
        <w:rPr>
          <w:rFonts w:ascii="Symbol" w:hAnsi="Symbol" w:eastAsia="Symbol" w:cs="Symbol"/>
          <w:sz w:val="24"/>
        </w:rPr>
      </w:pPr>
      <w:r>
        <w:rPr>
          <w:rFonts w:eastAsia="Arial" w:cs="Arial" w:ascii="Arial" w:hAnsi="Arial"/>
          <w:sz w:val="24"/>
        </w:rPr>
        <w:t>Balance of association funds or control of them including bank signature cards.</w:t>
      </w:r>
    </w:p>
    <w:p>
      <w:pPr>
        <w:pStyle w:val="Normal"/>
        <w:spacing w:lineRule="exact" w:line="5"/>
        <w:rPr>
          <w:rFonts w:ascii="Symbol" w:hAnsi="Symbol" w:eastAsia="Symbol" w:cs="Symbol"/>
          <w:sz w:val="24"/>
        </w:rPr>
      </w:pPr>
      <w:r>
        <w:rPr>
          <w:rFonts w:eastAsia="Symbol" w:cs="Symbol" w:ascii="Symbol" w:hAnsi="Symbol"/>
          <w:sz w:val="24"/>
        </w:rPr>
      </w:r>
    </w:p>
    <w:p>
      <w:pPr>
        <w:sectPr>
          <w:type w:val="nextPage"/>
          <w:pgSz w:w="12240" w:h="15840"/>
          <w:pgMar w:left="1440" w:right="1440" w:gutter="0" w:header="0" w:top="1402" w:footer="0" w:bottom="1142"/>
          <w:pgNumType w:fmt="decimal"/>
          <w:formProt w:val="false"/>
          <w:textDirection w:val="lrTb"/>
          <w:docGrid w:type="default" w:linePitch="360" w:charSpace="0"/>
        </w:sectPr>
        <w:pStyle w:val="Normal"/>
        <w:numPr>
          <w:ilvl w:val="1"/>
          <w:numId w:val="1"/>
        </w:numPr>
        <w:tabs>
          <w:tab w:val="clear" w:pos="720"/>
          <w:tab w:val="left" w:pos="2160" w:leader="none"/>
        </w:tabs>
        <w:spacing w:lineRule="atLeast" w:line="0"/>
        <w:ind w:hanging="365" w:start="2160" w:end="0"/>
        <w:rPr>
          <w:rFonts w:ascii="Symbol" w:hAnsi="Symbol" w:eastAsia="Symbol" w:cs="Symbol"/>
          <w:sz w:val="24"/>
        </w:rPr>
      </w:pPr>
      <w:r>
        <w:rPr>
          <w:rFonts w:eastAsia="Arial" w:cs="Arial" w:ascii="Arial" w:hAnsi="Arial"/>
          <w:sz w:val="24"/>
        </w:rPr>
        <w:t>All association personal property including an inventory.</w:t>
      </w:r>
    </w:p>
    <w:p>
      <w:pPr>
        <w:pStyle w:val="Normal"/>
        <w:spacing w:lineRule="exact" w:line="260"/>
        <w:rPr>
          <w:rFonts w:ascii="Times New Roman" w:hAnsi="Times New Roman" w:eastAsia="Times New Roman" w:cs="Times New Roman"/>
          <w:sz w:val="24"/>
        </w:rPr>
      </w:pPr>
      <w:r>
        <w:rPr>
          <w:rFonts w:eastAsia="Times New Roman" w:cs="Times New Roman" w:ascii="Times New Roman" w:hAnsi="Times New Roman"/>
          <w:sz w:val="24"/>
        </w:rPr>
      </w:r>
      <w:bookmarkStart w:id="1" w:name="page2"/>
      <w:bookmarkStart w:id="2" w:name="page2"/>
      <w:bookmarkEnd w:id="2"/>
    </w:p>
    <w:p>
      <w:pPr>
        <w:pStyle w:val="Normal"/>
        <w:spacing w:lineRule="atLeast" w:line="0"/>
        <w:ind w:start="360" w:end="0"/>
        <w:rPr>
          <w:rFonts w:ascii="Arial" w:hAnsi="Arial" w:eastAsia="Arial" w:cs="Arial"/>
          <w:sz w:val="24"/>
        </w:rPr>
      </w:pPr>
      <w:r>
        <w:rPr>
          <w:rFonts w:eastAsia="Arial" w:cs="Arial" w:ascii="Arial" w:hAnsi="Arial"/>
          <w:sz w:val="24"/>
        </w:rPr>
        <w:t>The developer also delivers copies of the following, if available:</w:t>
      </w:r>
    </w:p>
    <w:p>
      <w:pPr>
        <w:pStyle w:val="Normal"/>
        <w:spacing w:lineRule="exact" w:line="13"/>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
        </w:numPr>
        <w:tabs>
          <w:tab w:val="clear" w:pos="720"/>
          <w:tab w:val="left" w:pos="2160" w:leader="none"/>
        </w:tabs>
        <w:spacing w:lineRule="auto" w:line="235"/>
        <w:ind w:hanging="365" w:start="2160" w:end="1100"/>
        <w:rPr>
          <w:rFonts w:ascii="Arial" w:hAnsi="Arial" w:eastAsia="Arial" w:cs="Arial"/>
          <w:sz w:val="24"/>
        </w:rPr>
      </w:pPr>
      <w:r>
        <w:rPr>
          <w:rFonts w:eastAsia="Arial" w:cs="Arial" w:ascii="Arial" w:hAnsi="Arial"/>
          <w:sz w:val="24"/>
        </w:rPr>
        <w:t>As-built architectural, structural, engineering, mechanical, electrical and plumbing plans.</w:t>
      </w:r>
    </w:p>
    <w:p>
      <w:pPr>
        <w:pStyle w:val="Normal"/>
        <w:spacing w:lineRule="exact" w:line="2"/>
        <w:rPr>
          <w:rFonts w:ascii="Arial" w:hAnsi="Arial" w:eastAsia="Arial" w:cs="Arial"/>
          <w:sz w:val="24"/>
        </w:rPr>
      </w:pPr>
      <w:r>
        <w:rPr>
          <w:rFonts w:eastAsia="Arial" w:cs="Arial" w:ascii="Arial" w:hAnsi="Arial"/>
          <w:sz w:val="24"/>
        </w:rPr>
      </w:r>
    </w:p>
    <w:p>
      <w:pPr>
        <w:pStyle w:val="Normal"/>
        <w:numPr>
          <w:ilvl w:val="0"/>
          <w:numId w:val="2"/>
        </w:numPr>
        <w:tabs>
          <w:tab w:val="clear" w:pos="720"/>
          <w:tab w:val="left" w:pos="2160" w:leader="none"/>
        </w:tabs>
        <w:spacing w:lineRule="atLeast" w:line="0"/>
        <w:ind w:hanging="365" w:start="2160" w:end="0"/>
        <w:rPr>
          <w:rFonts w:ascii="Arial" w:hAnsi="Arial" w:eastAsia="Arial" w:cs="Arial"/>
          <w:sz w:val="24"/>
        </w:rPr>
      </w:pPr>
      <w:r>
        <w:rPr>
          <w:rFonts w:eastAsia="Arial" w:cs="Arial" w:ascii="Arial" w:hAnsi="Arial"/>
          <w:sz w:val="24"/>
        </w:rPr>
        <w:t>The original specifications indicating all material changes.</w:t>
      </w:r>
    </w:p>
    <w:p>
      <w:pPr>
        <w:pStyle w:val="Normal"/>
        <w:spacing w:lineRule="exact" w:line="2"/>
        <w:rPr>
          <w:rFonts w:ascii="Arial" w:hAnsi="Arial" w:eastAsia="Arial" w:cs="Arial"/>
          <w:sz w:val="24"/>
        </w:rPr>
      </w:pPr>
      <w:r>
        <w:rPr>
          <w:rFonts w:eastAsia="Arial" w:cs="Arial" w:ascii="Arial" w:hAnsi="Arial"/>
          <w:sz w:val="24"/>
        </w:rPr>
      </w:r>
    </w:p>
    <w:p>
      <w:pPr>
        <w:pStyle w:val="Normal"/>
        <w:numPr>
          <w:ilvl w:val="0"/>
          <w:numId w:val="2"/>
        </w:numPr>
        <w:tabs>
          <w:tab w:val="clear" w:pos="720"/>
          <w:tab w:val="left" w:pos="2160" w:leader="none"/>
        </w:tabs>
        <w:spacing w:lineRule="auto" w:line="235"/>
        <w:ind w:hanging="365" w:start="2160" w:end="640"/>
        <w:rPr>
          <w:rFonts w:ascii="Arial" w:hAnsi="Arial" w:eastAsia="Arial" w:cs="Arial"/>
          <w:sz w:val="24"/>
        </w:rPr>
      </w:pPr>
      <w:r>
        <w:rPr>
          <w:rFonts w:eastAsia="Arial" w:cs="Arial" w:ascii="Arial" w:hAnsi="Arial"/>
          <w:sz w:val="24"/>
        </w:rPr>
        <w:t>Plans for underground site service, site grading, drainage and landscaping.</w:t>
      </w:r>
    </w:p>
    <w:p>
      <w:pPr>
        <w:pStyle w:val="Normal"/>
        <w:spacing w:lineRule="exact" w:line="2"/>
        <w:rPr>
          <w:rFonts w:ascii="Arial" w:hAnsi="Arial" w:eastAsia="Arial" w:cs="Arial"/>
          <w:sz w:val="24"/>
        </w:rPr>
      </w:pPr>
      <w:r>
        <w:rPr>
          <w:rFonts w:eastAsia="Arial" w:cs="Arial" w:ascii="Arial" w:hAnsi="Arial"/>
          <w:sz w:val="24"/>
        </w:rPr>
      </w:r>
    </w:p>
    <w:p>
      <w:pPr>
        <w:pStyle w:val="Normal"/>
        <w:numPr>
          <w:ilvl w:val="0"/>
          <w:numId w:val="2"/>
        </w:numPr>
        <w:tabs>
          <w:tab w:val="clear" w:pos="720"/>
          <w:tab w:val="left" w:pos="2160" w:leader="none"/>
        </w:tabs>
        <w:spacing w:lineRule="auto" w:line="240"/>
        <w:ind w:hanging="365" w:start="2160" w:end="720"/>
        <w:rPr>
          <w:rFonts w:ascii="Arial" w:hAnsi="Arial" w:eastAsia="Arial" w:cs="Arial"/>
          <w:sz w:val="24"/>
        </w:rPr>
      </w:pPr>
      <w:r>
        <w:rPr>
          <w:rFonts w:eastAsia="Arial" w:cs="Arial" w:ascii="Arial" w:hAnsi="Arial"/>
          <w:sz w:val="24"/>
        </w:rPr>
        <w:t>Any other information relating to repair or maintenance of the property.</w:t>
      </w:r>
    </w:p>
    <w:p>
      <w:pPr>
        <w:pStyle w:val="Normal"/>
        <w:numPr>
          <w:ilvl w:val="0"/>
          <w:numId w:val="2"/>
        </w:numPr>
        <w:tabs>
          <w:tab w:val="clear" w:pos="720"/>
          <w:tab w:val="left" w:pos="2160" w:leader="none"/>
        </w:tabs>
        <w:spacing w:lineRule="atLeast" w:line="0"/>
        <w:ind w:hanging="365" w:start="2160" w:end="0"/>
        <w:rPr>
          <w:rFonts w:ascii="Arial" w:hAnsi="Arial" w:eastAsia="Arial" w:cs="Arial"/>
          <w:sz w:val="24"/>
        </w:rPr>
      </w:pPr>
      <w:r>
        <w:rPr>
          <w:rFonts w:eastAsia="Arial" w:cs="Arial" w:ascii="Arial" w:hAnsi="Arial"/>
          <w:sz w:val="24"/>
        </w:rPr>
        <w:t>Insurance policies.</w:t>
      </w:r>
    </w:p>
    <w:p>
      <w:pPr>
        <w:pStyle w:val="Normal"/>
        <w:spacing w:lineRule="exact" w:line="2"/>
        <w:rPr>
          <w:rFonts w:ascii="Arial" w:hAnsi="Arial" w:eastAsia="Arial" w:cs="Arial"/>
          <w:sz w:val="24"/>
        </w:rPr>
      </w:pPr>
      <w:r>
        <w:rPr>
          <w:rFonts w:eastAsia="Arial" w:cs="Arial" w:ascii="Arial" w:hAnsi="Arial"/>
          <w:sz w:val="24"/>
        </w:rPr>
      </w:r>
    </w:p>
    <w:p>
      <w:pPr>
        <w:pStyle w:val="Normal"/>
        <w:numPr>
          <w:ilvl w:val="0"/>
          <w:numId w:val="2"/>
        </w:numPr>
        <w:tabs>
          <w:tab w:val="clear" w:pos="720"/>
          <w:tab w:val="left" w:pos="2160" w:leader="none"/>
        </w:tabs>
        <w:spacing w:lineRule="auto" w:line="232"/>
        <w:ind w:hanging="365" w:start="2160" w:end="0"/>
        <w:rPr>
          <w:rFonts w:ascii="Arial" w:hAnsi="Arial" w:eastAsia="Arial" w:cs="Arial"/>
          <w:sz w:val="24"/>
        </w:rPr>
      </w:pPr>
      <w:r>
        <w:rPr>
          <w:rFonts w:eastAsia="Arial" w:cs="Arial" w:ascii="Arial" w:hAnsi="Arial"/>
          <w:sz w:val="24"/>
        </w:rPr>
        <w:t>Copies of any occupancy permits which have been issued.</w:t>
      </w:r>
    </w:p>
    <w:p>
      <w:pPr>
        <w:pStyle w:val="Normal"/>
        <w:numPr>
          <w:ilvl w:val="0"/>
          <w:numId w:val="2"/>
        </w:numPr>
        <w:tabs>
          <w:tab w:val="clear" w:pos="720"/>
          <w:tab w:val="left" w:pos="2160" w:leader="none"/>
        </w:tabs>
        <w:spacing w:lineRule="auto" w:line="240"/>
        <w:ind w:hanging="365" w:start="2160" w:end="680"/>
        <w:rPr>
          <w:rFonts w:ascii="Arial" w:hAnsi="Arial" w:eastAsia="Arial" w:cs="Arial"/>
          <w:sz w:val="24"/>
        </w:rPr>
      </w:pPr>
      <w:r>
        <w:rPr>
          <w:rFonts w:eastAsia="Arial" w:cs="Arial" w:ascii="Arial" w:hAnsi="Arial"/>
          <w:sz w:val="24"/>
        </w:rPr>
        <w:t>List of the contractors involved in the construction of common element components.</w:t>
      </w:r>
    </w:p>
    <w:p>
      <w:pPr>
        <w:pStyle w:val="Normal"/>
        <w:numPr>
          <w:ilvl w:val="0"/>
          <w:numId w:val="2"/>
        </w:numPr>
        <w:tabs>
          <w:tab w:val="clear" w:pos="720"/>
          <w:tab w:val="left" w:pos="2160" w:leader="none"/>
        </w:tabs>
        <w:spacing w:lineRule="atLeast" w:line="0"/>
        <w:ind w:hanging="365" w:start="2160" w:end="0"/>
        <w:rPr>
          <w:rFonts w:ascii="Arial" w:hAnsi="Arial" w:eastAsia="Arial" w:cs="Arial"/>
          <w:sz w:val="24"/>
        </w:rPr>
      </w:pPr>
      <w:r>
        <w:rPr>
          <w:rFonts w:eastAsia="Arial" w:cs="Arial" w:ascii="Arial" w:hAnsi="Arial"/>
          <w:sz w:val="24"/>
        </w:rPr>
        <w:t>Roster of owners, addresses and telephone numbers, if known</w:t>
      </w:r>
    </w:p>
    <w:p>
      <w:pPr>
        <w:pStyle w:val="Normal"/>
        <w:spacing w:lineRule="exact" w:line="2"/>
        <w:rPr>
          <w:rFonts w:ascii="Arial" w:hAnsi="Arial" w:eastAsia="Arial" w:cs="Arial"/>
          <w:sz w:val="24"/>
        </w:rPr>
      </w:pPr>
      <w:r>
        <w:rPr>
          <w:rFonts w:eastAsia="Arial" w:cs="Arial" w:ascii="Arial" w:hAnsi="Arial"/>
          <w:sz w:val="24"/>
        </w:rPr>
      </w:r>
    </w:p>
    <w:p>
      <w:pPr>
        <w:pStyle w:val="Normal"/>
        <w:numPr>
          <w:ilvl w:val="0"/>
          <w:numId w:val="2"/>
        </w:numPr>
        <w:tabs>
          <w:tab w:val="clear" w:pos="720"/>
          <w:tab w:val="left" w:pos="2160" w:leader="none"/>
        </w:tabs>
        <w:spacing w:lineRule="auto" w:line="232"/>
        <w:ind w:hanging="365" w:start="2160" w:end="0"/>
        <w:rPr>
          <w:rFonts w:ascii="Arial" w:hAnsi="Arial" w:eastAsia="Arial" w:cs="Arial"/>
          <w:sz w:val="24"/>
        </w:rPr>
      </w:pPr>
      <w:r>
        <w:rPr>
          <w:rFonts w:eastAsia="Arial" w:cs="Arial" w:ascii="Arial" w:hAnsi="Arial"/>
          <w:sz w:val="24"/>
        </w:rPr>
        <w:t>Copies of any leases to which the association is a party.</w:t>
      </w:r>
    </w:p>
    <w:p>
      <w:pPr>
        <w:pStyle w:val="Normal"/>
        <w:numPr>
          <w:ilvl w:val="0"/>
          <w:numId w:val="2"/>
        </w:numPr>
        <w:tabs>
          <w:tab w:val="clear" w:pos="720"/>
          <w:tab w:val="left" w:pos="2160" w:leader="none"/>
        </w:tabs>
        <w:spacing w:lineRule="auto" w:line="242"/>
        <w:ind w:hanging="365" w:start="2160" w:end="420"/>
        <w:rPr>
          <w:rFonts w:ascii="Arial" w:hAnsi="Arial" w:eastAsia="Arial" w:cs="Arial"/>
          <w:sz w:val="24"/>
        </w:rPr>
      </w:pPr>
      <w:r>
        <w:rPr>
          <w:rFonts w:eastAsia="Arial" w:cs="Arial" w:ascii="Arial" w:hAnsi="Arial"/>
          <w:sz w:val="24"/>
        </w:rPr>
        <w:t>Employment, service or other contracts to which the association is a party.</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4"/>
        <w:ind w:start="360" w:end="620"/>
        <w:jc w:val="both"/>
        <w:rPr/>
      </w:pPr>
      <w:r>
        <w:rPr>
          <w:rFonts w:eastAsia="Arial" w:cs="Arial" w:ascii="Arial" w:hAnsi="Arial"/>
          <w:b/>
          <w:sz w:val="24"/>
        </w:rPr>
        <w:t>Developer Follow Up:</w:t>
      </w:r>
      <w:r>
        <w:rPr>
          <w:rFonts w:eastAsia="Arial" w:cs="Arial" w:ascii="Arial" w:hAnsi="Arial"/>
          <w:sz w:val="24"/>
        </w:rPr>
        <w:t xml:space="preserve"> In order to facilitate an orderly transition, the developer or an informed representative should attend several meetings with the board of directors during the three months following the turnover meeting.</w:t>
      </w:r>
    </w:p>
    <w:p>
      <w:pPr>
        <w:pStyle w:val="Normal"/>
        <w:spacing w:lineRule="exact" w:line="25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2"/>
        <w:ind w:start="360" w:end="520"/>
        <w:rPr/>
      </w:pPr>
      <w:r>
        <w:rPr>
          <w:rFonts w:eastAsia="Arial" w:cs="Arial" w:ascii="Arial" w:hAnsi="Arial"/>
          <w:b/>
          <w:sz w:val="24"/>
        </w:rPr>
        <w:t>Identify Professional Advisors:</w:t>
      </w:r>
      <w:r>
        <w:rPr>
          <w:rFonts w:eastAsia="Arial" w:cs="Arial" w:ascii="Arial" w:hAnsi="Arial"/>
          <w:sz w:val="24"/>
        </w:rPr>
        <w:t xml:space="preserve"> The new board of directors is not expected to be knowledgeable in technical areas like management, accounting, investment and law. While some of these functions may be handled through a professional property management company, if the association chooses to self manage, it is very important to identify knowledgeable consultants to counsel the board.</w:t>
      </w:r>
    </w:p>
    <w:p>
      <w:pPr>
        <w:pStyle w:val="Normal"/>
        <w:spacing w:lineRule="exact" w:line="26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start="360" w:end="540"/>
        <w:jc w:val="both"/>
        <w:rPr/>
      </w:pPr>
      <w:r>
        <w:rPr>
          <w:rFonts w:eastAsia="Arial" w:cs="Arial" w:ascii="Arial" w:hAnsi="Arial"/>
          <w:sz w:val="24"/>
        </w:rPr>
        <w:t>Turnover is a pivotal moment in the future of each community association. Treat it with respect and take the time to do things right. What happens today sets the stage for tomorrow’s success. Make sure this play has a long run.</w:t>
      </w:r>
    </w:p>
    <w:sectPr>
      <w:type w:val="nextPage"/>
      <w:pgSz w:w="12240" w:h="15840"/>
      <w:pgMar w:left="1440" w:right="1440" w:gutter="0" w:header="0" w:top="1440" w:footer="0"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OpenSymbol">
    <w:altName w:val="Arial Unicode MS"/>
    <w:charset w:val="01"/>
    <w:family w:val="auto"/>
    <w:pitch w:val="default"/>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lowerLetter"/>
      <w:lvlText w:val="%1."/>
      <w:lvlJc w:val="start"/>
      <w:pPr>
        <w:tabs>
          <w:tab w:val="num" w:pos="0"/>
        </w:tabs>
        <w:ind w:start="0" w:hanging="0"/>
      </w:pPr>
    </w:lvl>
    <w:lvl w:ilvl="1">
      <w:start w:val="1"/>
      <w:numFmt w:val="bullet"/>
      <w:lvlText w:val="·"/>
      <w:lvlJc w:val="start"/>
      <w:pPr>
        <w:tabs>
          <w:tab w:val="num" w:pos="0"/>
        </w:tabs>
        <w:ind w:start="0" w:hanging="0"/>
      </w:pPr>
      <w:rPr>
        <w:rFonts w:ascii="OpenSymbol" w:hAnsi="OpenSymbol" w:cs="OpenSymbol" w:hint="default"/>
      </w:r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2">
    <w:lvl w:ilvl="0">
      <w:start w:val="1"/>
      <w:numFmt w:val="lowerLetter"/>
      <w:lvlText w:val="%1."/>
      <w:lvlJc w:val="start"/>
      <w:pPr>
        <w:tabs>
          <w:tab w:val="num" w:pos="0"/>
        </w:tabs>
        <w:ind w:start="0" w:hanging="0"/>
      </w:pPr>
    </w:lvl>
  </w:abstractNum>
  <w:abstractNum w:abstractNumId="3">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numbering" w:styleId="WW8Num1">
    <w:name w:val="WW8Num1"/>
    <w:qFormat/>
  </w:style>
  <w:style w:type="numbering" w:styleId="WW8Num2">
    <w:name w:val="WW8Num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