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b/>
          <w:sz w:val="28"/>
        </w:rPr>
      </w:pPr>
      <w:bookmarkStart w:id="0" w:name="page1"/>
      <w:bookmarkEnd w:id="0"/>
      <w:r>
        <w:rPr>
          <w:b/>
          <w:sz w:val="28"/>
        </w:rPr>
        <w:t>Deferred Payment Plan (DPP)</w:t>
      </w:r>
    </w:p>
    <w:p>
      <w:pPr>
        <w:pStyle w:val="Normal"/>
        <w:spacing w:lineRule="exact" w:line="2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b/>
          <w:sz w:val="22"/>
        </w:rPr>
      </w:pPr>
      <w:r>
        <w:rPr>
          <w:b/>
          <w:sz w:val="22"/>
        </w:rPr>
        <w:t>Overview</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0"/>
        <w:ind w:end="140"/>
        <w:rPr>
          <w:color w:val="000000"/>
          <w:sz w:val="22"/>
        </w:rPr>
      </w:pPr>
      <w:r>
        <w:rPr>
          <w:sz w:val="22"/>
        </w:rPr>
        <w:t>The UC Davis Deferred Payment Plan (DPP) allows for eligible tuition and fees to be paid in monthly installments due by the 15</w:t>
      </w:r>
      <w:r>
        <w:rPr>
          <w:sz w:val="27"/>
          <w:vertAlign w:val="superscript"/>
        </w:rPr>
        <w:t>th</w:t>
      </w:r>
      <w:r>
        <w:rPr>
          <w:sz w:val="22"/>
        </w:rPr>
        <w:t xml:space="preserve"> of each month. Students or their authorized users can self-enroll in DPP at </w:t>
      </w:r>
      <w:hyperlink r:id="rId2">
        <w:r>
          <w:rPr>
            <w:rStyle w:val="Hyperlink"/>
            <w:color w:val="0000FF"/>
            <w:sz w:val="22"/>
            <w:u w:val="single"/>
          </w:rPr>
          <w:t>http://mybill.ucdavis.edu</w:t>
        </w:r>
        <w:r>
          <w:rPr>
            <w:rStyle w:val="Hyperlink"/>
            <w:color w:val="000000"/>
            <w:sz w:val="22"/>
          </w:rPr>
          <w:t>.</w:t>
        </w:r>
      </w:hyperlink>
    </w:p>
    <w:p>
      <w:pPr>
        <w:pStyle w:val="Normal"/>
        <w:spacing w:lineRule="exact" w:line="29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35"/>
        <w:ind w:end="200"/>
        <w:rPr>
          <w:sz w:val="22"/>
        </w:rPr>
      </w:pPr>
      <w:r>
        <w:rPr>
          <w:sz w:val="22"/>
        </w:rPr>
        <w:t>Only students who owe at least $150 in tuition and qualifying fees after all discounts, financial aid, and other credits have been applied to their account can choose to defer payment.</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A non-refundable application fee applies to participate in DPP.</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320"/>
        <w:rPr>
          <w:color w:val="0000FF"/>
          <w:sz w:val="22"/>
          <w:u w:val="single"/>
        </w:rPr>
      </w:pPr>
      <w:r>
        <w:rPr>
          <w:sz w:val="22"/>
        </w:rPr>
        <w:t xml:space="preserve">For current tuition and fee amounts, visit the Budget &amp; Institutional Analysis at </w:t>
      </w:r>
      <w:hyperlink r:id="rId3">
        <w:r>
          <w:rPr>
            <w:rStyle w:val="Hyperlink"/>
            <w:color w:val="0000FF"/>
            <w:sz w:val="22"/>
            <w:u w:val="single"/>
          </w:rPr>
          <w:t>http://budget.ucdavis.edu/studentfees</w:t>
        </w:r>
      </w:hyperlink>
    </w:p>
    <w:p>
      <w:pPr>
        <w:pStyle w:val="Normal"/>
        <w:spacing w:lineRule="exact" w:line="349"/>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rPr>
          <w:b/>
          <w:sz w:val="22"/>
        </w:rPr>
      </w:pPr>
      <w:r>
        <w:rPr>
          <w:b/>
          <w:sz w:val="22"/>
        </w:rPr>
        <w:t>Tuition and Fees eligible for the Deferred Payment Plan include:</w:t>
      </w: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left" w:pos="720" w:leader="none"/>
        </w:tabs>
        <w:spacing w:lineRule="atLeast" w:line="0"/>
        <w:ind w:hanging="360" w:start="720" w:end="0"/>
        <w:rPr>
          <w:rFonts w:ascii="Symbol" w:hAnsi="Symbol" w:eastAsia="Symbol" w:cs="Symbol"/>
          <w:sz w:val="22"/>
        </w:rPr>
      </w:pPr>
      <w:r>
        <w:rPr>
          <w:sz w:val="22"/>
        </w:rPr>
        <w:t>Tuition Fees</w:t>
      </w:r>
    </w:p>
    <w:p>
      <w:pPr>
        <w:pStyle w:val="Normal"/>
        <w:spacing w:lineRule="exact" w:line="38"/>
        <w:rPr>
          <w:rFonts w:ascii="Symbol" w:hAnsi="Symbol" w:eastAsia="Symbol" w:cs="Symbol"/>
          <w:sz w:val="22"/>
        </w:rPr>
      </w:pPr>
      <w:r>
        <w:rPr>
          <w:rFonts w:eastAsia="Symbol" w:cs="Symbol" w:ascii="Symbol" w:hAnsi="Symbol"/>
          <w:sz w:val="22"/>
        </w:rPr>
      </w:r>
    </w:p>
    <w:p>
      <w:pPr>
        <w:pStyle w:val="Normal"/>
        <w:numPr>
          <w:ilvl w:val="0"/>
          <w:numId w:val="1"/>
        </w:numPr>
        <w:tabs>
          <w:tab w:val="left" w:pos="720" w:leader="none"/>
        </w:tabs>
        <w:spacing w:lineRule="atLeast" w:line="0"/>
        <w:ind w:hanging="360" w:start="720" w:end="0"/>
        <w:rPr>
          <w:rFonts w:ascii="Symbol" w:hAnsi="Symbol" w:eastAsia="Symbol" w:cs="Symbol"/>
          <w:sz w:val="22"/>
        </w:rPr>
      </w:pPr>
      <w:r>
        <w:rPr>
          <w:sz w:val="22"/>
        </w:rPr>
        <w:t>Student Housing Fees</w:t>
      </w:r>
    </w:p>
    <w:p>
      <w:pPr>
        <w:pStyle w:val="Normal"/>
        <w:spacing w:lineRule="exact" w:line="41"/>
        <w:rPr>
          <w:rFonts w:ascii="Symbol" w:hAnsi="Symbol" w:eastAsia="Symbol" w:cs="Symbol"/>
          <w:sz w:val="22"/>
        </w:rPr>
      </w:pPr>
      <w:r>
        <w:rPr>
          <w:rFonts w:eastAsia="Symbol" w:cs="Symbol" w:ascii="Symbol" w:hAnsi="Symbol"/>
          <w:sz w:val="22"/>
        </w:rPr>
      </w:r>
    </w:p>
    <w:p>
      <w:pPr>
        <w:pStyle w:val="Normal"/>
        <w:numPr>
          <w:ilvl w:val="0"/>
          <w:numId w:val="1"/>
        </w:numPr>
        <w:tabs>
          <w:tab w:val="left" w:pos="720" w:leader="none"/>
        </w:tabs>
        <w:spacing w:lineRule="atLeast" w:line="0"/>
        <w:ind w:hanging="360" w:start="720" w:end="0"/>
        <w:rPr>
          <w:rFonts w:ascii="Symbol" w:hAnsi="Symbol" w:eastAsia="Symbol" w:cs="Symbol"/>
          <w:sz w:val="22"/>
        </w:rPr>
      </w:pPr>
      <w:r>
        <w:rPr>
          <w:sz w:val="22"/>
        </w:rPr>
        <w:t>Health Insurance</w:t>
      </w:r>
    </w:p>
    <w:p>
      <w:pPr>
        <w:pStyle w:val="Normal"/>
        <w:spacing w:lineRule="exact" w:line="38"/>
        <w:rPr>
          <w:rFonts w:ascii="Symbol" w:hAnsi="Symbol" w:eastAsia="Symbol" w:cs="Symbol"/>
          <w:sz w:val="22"/>
        </w:rPr>
      </w:pPr>
      <w:r>
        <w:rPr>
          <w:rFonts w:eastAsia="Symbol" w:cs="Symbol" w:ascii="Symbol" w:hAnsi="Symbol"/>
          <w:sz w:val="22"/>
        </w:rPr>
      </w:r>
    </w:p>
    <w:p>
      <w:pPr>
        <w:pStyle w:val="Normal"/>
        <w:numPr>
          <w:ilvl w:val="0"/>
          <w:numId w:val="1"/>
        </w:numPr>
        <w:tabs>
          <w:tab w:val="left" w:pos="720" w:leader="none"/>
        </w:tabs>
        <w:spacing w:lineRule="atLeast" w:line="0"/>
        <w:ind w:hanging="360" w:start="720" w:end="0"/>
        <w:rPr>
          <w:rFonts w:ascii="Symbol" w:hAnsi="Symbol" w:eastAsia="Symbol" w:cs="Symbol"/>
          <w:sz w:val="22"/>
        </w:rPr>
      </w:pPr>
      <w:r>
        <w:rPr>
          <w:sz w:val="22"/>
        </w:rPr>
        <w:t>Document Fee</w:t>
      </w:r>
    </w:p>
    <w:p>
      <w:pPr>
        <w:pStyle w:val="Normal"/>
        <w:spacing w:lineRule="exact" w:line="3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rPr>
      </w:pPr>
      <w:r>
        <w:rPr>
          <w:b/>
          <w:sz w:val="22"/>
        </w:rPr>
        <w:t>Fees not eligible for the Deferred Payment Plan:</w:t>
      </w:r>
    </w:p>
    <w:p>
      <w:pPr>
        <w:pStyle w:val="Normal"/>
        <w:spacing w:lineRule="exact" w:line="3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left" w:pos="720" w:leader="none"/>
        </w:tabs>
        <w:spacing w:lineRule="atLeast" w:line="0"/>
        <w:ind w:hanging="360" w:start="720" w:end="0"/>
        <w:rPr>
          <w:rFonts w:ascii="Symbol" w:hAnsi="Symbol" w:eastAsia="Symbol" w:cs="Symbol"/>
          <w:sz w:val="22"/>
        </w:rPr>
      </w:pPr>
      <w:r>
        <w:rPr>
          <w:sz w:val="22"/>
        </w:rPr>
        <w:t>Course Material Fees</w:t>
      </w:r>
    </w:p>
    <w:p>
      <w:pPr>
        <w:pStyle w:val="Normal"/>
        <w:spacing w:lineRule="exact" w:line="38"/>
        <w:rPr>
          <w:rFonts w:ascii="Symbol" w:hAnsi="Symbol" w:eastAsia="Symbol" w:cs="Symbol"/>
          <w:sz w:val="22"/>
        </w:rPr>
      </w:pPr>
      <w:r>
        <w:rPr>
          <w:rFonts w:eastAsia="Symbol" w:cs="Symbol" w:ascii="Symbol" w:hAnsi="Symbol"/>
          <w:sz w:val="22"/>
        </w:rPr>
      </w:r>
    </w:p>
    <w:p>
      <w:pPr>
        <w:pStyle w:val="Normal"/>
        <w:numPr>
          <w:ilvl w:val="0"/>
          <w:numId w:val="2"/>
        </w:numPr>
        <w:tabs>
          <w:tab w:val="left" w:pos="720" w:leader="none"/>
        </w:tabs>
        <w:spacing w:lineRule="atLeast" w:line="0"/>
        <w:ind w:hanging="360" w:start="720" w:end="0"/>
        <w:rPr>
          <w:rFonts w:ascii="Symbol" w:hAnsi="Symbol" w:eastAsia="Symbol" w:cs="Symbol"/>
          <w:sz w:val="22"/>
        </w:rPr>
      </w:pPr>
      <w:r>
        <w:rPr>
          <w:sz w:val="22"/>
        </w:rPr>
        <w:t>Previous term debt</w:t>
      </w:r>
    </w:p>
    <w:p>
      <w:pPr>
        <w:pStyle w:val="Normal"/>
        <w:spacing w:lineRule="exact" w:line="41"/>
        <w:rPr>
          <w:rFonts w:ascii="Symbol" w:hAnsi="Symbol" w:eastAsia="Symbol" w:cs="Symbol"/>
          <w:sz w:val="22"/>
        </w:rPr>
      </w:pPr>
      <w:r>
        <w:rPr>
          <w:rFonts w:eastAsia="Symbol" w:cs="Symbol" w:ascii="Symbol" w:hAnsi="Symbol"/>
          <w:sz w:val="22"/>
        </w:rPr>
      </w:r>
    </w:p>
    <w:p>
      <w:pPr>
        <w:pStyle w:val="Normal"/>
        <w:numPr>
          <w:ilvl w:val="0"/>
          <w:numId w:val="2"/>
        </w:numPr>
        <w:tabs>
          <w:tab w:val="left" w:pos="720" w:leader="none"/>
        </w:tabs>
        <w:spacing w:lineRule="atLeast" w:line="0"/>
        <w:ind w:hanging="360" w:start="720" w:end="0"/>
        <w:rPr>
          <w:rFonts w:ascii="Symbol" w:hAnsi="Symbol" w:eastAsia="Symbol" w:cs="Symbol"/>
          <w:sz w:val="22"/>
        </w:rPr>
      </w:pPr>
      <w:r>
        <w:rPr>
          <w:sz w:val="22"/>
        </w:rPr>
        <w:t>Health Center Charges</w:t>
      </w:r>
    </w:p>
    <w:p>
      <w:pPr>
        <w:pStyle w:val="Normal"/>
        <w:spacing w:lineRule="exact" w:line="41"/>
        <w:rPr>
          <w:rFonts w:ascii="Symbol" w:hAnsi="Symbol" w:eastAsia="Symbol" w:cs="Symbol"/>
          <w:sz w:val="22"/>
        </w:rPr>
      </w:pPr>
      <w:r>
        <w:rPr>
          <w:rFonts w:eastAsia="Symbol" w:cs="Symbol" w:ascii="Symbol" w:hAnsi="Symbol"/>
          <w:sz w:val="22"/>
        </w:rPr>
      </w:r>
    </w:p>
    <w:p>
      <w:pPr>
        <w:pStyle w:val="Normal"/>
        <w:numPr>
          <w:ilvl w:val="0"/>
          <w:numId w:val="2"/>
        </w:numPr>
        <w:tabs>
          <w:tab w:val="left" w:pos="720" w:leader="none"/>
        </w:tabs>
        <w:spacing w:lineRule="atLeast" w:line="0"/>
        <w:ind w:hanging="360" w:start="720" w:end="0"/>
        <w:rPr>
          <w:rFonts w:ascii="Symbol" w:hAnsi="Symbol" w:eastAsia="Symbol" w:cs="Symbol"/>
          <w:sz w:val="22"/>
        </w:rPr>
      </w:pPr>
      <w:r>
        <w:rPr>
          <w:sz w:val="22"/>
        </w:rPr>
        <w:t>Statement of Intent to Register Fee</w:t>
      </w:r>
    </w:p>
    <w:p>
      <w:pPr>
        <w:pStyle w:val="Normal"/>
        <w:spacing w:lineRule="exact" w:line="38"/>
        <w:rPr>
          <w:rFonts w:ascii="Symbol" w:hAnsi="Symbol" w:eastAsia="Symbol" w:cs="Symbol"/>
          <w:sz w:val="22"/>
        </w:rPr>
      </w:pPr>
      <w:r>
        <w:rPr>
          <w:rFonts w:eastAsia="Symbol" w:cs="Symbol" w:ascii="Symbol" w:hAnsi="Symbol"/>
          <w:sz w:val="22"/>
        </w:rPr>
      </w:r>
    </w:p>
    <w:p>
      <w:pPr>
        <w:pStyle w:val="Normal"/>
        <w:numPr>
          <w:ilvl w:val="0"/>
          <w:numId w:val="2"/>
        </w:numPr>
        <w:tabs>
          <w:tab w:val="left" w:pos="720" w:leader="none"/>
        </w:tabs>
        <w:spacing w:lineRule="atLeast" w:line="0"/>
        <w:ind w:hanging="360" w:start="720" w:end="0"/>
        <w:rPr>
          <w:rFonts w:ascii="Symbol" w:hAnsi="Symbol" w:eastAsia="Symbol" w:cs="Symbol"/>
          <w:sz w:val="22"/>
        </w:rPr>
      </w:pPr>
      <w:r>
        <w:rPr>
          <w:sz w:val="22"/>
        </w:rPr>
        <w:t>Filing Fee</w:t>
      </w:r>
    </w:p>
    <w:p>
      <w:pPr>
        <w:pStyle w:val="Normal"/>
        <w:spacing w:lineRule="exact" w:line="41"/>
        <w:rPr>
          <w:rFonts w:ascii="Symbol" w:hAnsi="Symbol" w:eastAsia="Symbol" w:cs="Symbol"/>
          <w:sz w:val="22"/>
        </w:rPr>
      </w:pPr>
      <w:r>
        <w:rPr>
          <w:rFonts w:eastAsia="Symbol" w:cs="Symbol" w:ascii="Symbol" w:hAnsi="Symbol"/>
          <w:sz w:val="22"/>
        </w:rPr>
      </w:r>
    </w:p>
    <w:p>
      <w:pPr>
        <w:pStyle w:val="Normal"/>
        <w:numPr>
          <w:ilvl w:val="0"/>
          <w:numId w:val="2"/>
        </w:numPr>
        <w:tabs>
          <w:tab w:val="left" w:pos="720" w:leader="none"/>
        </w:tabs>
        <w:spacing w:lineRule="atLeast" w:line="0"/>
        <w:ind w:hanging="360" w:start="720" w:end="0"/>
        <w:rPr>
          <w:rFonts w:ascii="Symbol" w:hAnsi="Symbol" w:eastAsia="Symbol" w:cs="Symbol"/>
          <w:sz w:val="22"/>
        </w:rPr>
      </w:pPr>
      <w:r>
        <w:rPr>
          <w:sz w:val="22"/>
        </w:rPr>
        <w:t>Library Fees</w:t>
      </w:r>
    </w:p>
    <w:p>
      <w:pPr>
        <w:pStyle w:val="Normal"/>
        <w:spacing w:lineRule="exact" w:line="38"/>
        <w:rPr>
          <w:rFonts w:ascii="Symbol" w:hAnsi="Symbol" w:eastAsia="Symbol" w:cs="Symbol"/>
          <w:sz w:val="22"/>
        </w:rPr>
      </w:pPr>
      <w:r>
        <w:rPr>
          <w:rFonts w:eastAsia="Symbol" w:cs="Symbol" w:ascii="Symbol" w:hAnsi="Symbol"/>
          <w:sz w:val="22"/>
        </w:rPr>
      </w:r>
    </w:p>
    <w:p>
      <w:pPr>
        <w:pStyle w:val="Normal"/>
        <w:numPr>
          <w:ilvl w:val="0"/>
          <w:numId w:val="2"/>
        </w:numPr>
        <w:tabs>
          <w:tab w:val="left" w:pos="720" w:leader="none"/>
        </w:tabs>
        <w:spacing w:lineRule="atLeast" w:line="0"/>
        <w:ind w:hanging="360" w:start="720" w:end="0"/>
        <w:rPr>
          <w:rFonts w:ascii="Symbol" w:hAnsi="Symbol" w:eastAsia="Symbol" w:cs="Symbol"/>
          <w:sz w:val="22"/>
        </w:rPr>
      </w:pPr>
      <w:r>
        <w:rPr>
          <w:sz w:val="22"/>
        </w:rPr>
        <w:t>Bookstore Fees</w:t>
      </w:r>
    </w:p>
    <w:p>
      <w:pPr>
        <w:pStyle w:val="Normal"/>
        <w:spacing w:lineRule="exact" w:line="41"/>
        <w:rPr>
          <w:rFonts w:ascii="Symbol" w:hAnsi="Symbol" w:eastAsia="Symbol" w:cs="Symbol"/>
          <w:sz w:val="22"/>
        </w:rPr>
      </w:pPr>
      <w:r>
        <w:rPr>
          <w:rFonts w:eastAsia="Symbol" w:cs="Symbol" w:ascii="Symbol" w:hAnsi="Symbol"/>
          <w:sz w:val="22"/>
        </w:rPr>
      </w:r>
    </w:p>
    <w:p>
      <w:pPr>
        <w:pStyle w:val="Normal"/>
        <w:numPr>
          <w:ilvl w:val="0"/>
          <w:numId w:val="2"/>
        </w:numPr>
        <w:tabs>
          <w:tab w:val="left" w:pos="720" w:leader="none"/>
        </w:tabs>
        <w:spacing w:lineRule="atLeast" w:line="0"/>
        <w:ind w:hanging="360" w:start="720" w:end="0"/>
        <w:rPr>
          <w:rFonts w:ascii="Symbol" w:hAnsi="Symbol" w:eastAsia="Symbol" w:cs="Symbol"/>
          <w:sz w:val="22"/>
        </w:rPr>
      </w:pPr>
      <w:r>
        <w:rPr>
          <w:sz w:val="22"/>
        </w:rPr>
        <w:t>Any other miscellaneous fees</w:t>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rPr>
      </w:pPr>
      <w:r>
        <w:rPr>
          <w:b/>
          <w:sz w:val="22"/>
        </w:rPr>
        <w:t>Available Plans</w:t>
      </w:r>
    </w:p>
    <w:p>
      <w:pPr>
        <w:pStyle w:val="Normal"/>
        <w:spacing w:lineRule="exact" w:line="3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b/>
          <w:sz w:val="22"/>
          <w:u w:val="single"/>
        </w:rPr>
      </w:pPr>
      <w:r>
        <w:rPr>
          <w:b/>
          <w:sz w:val="22"/>
          <w:u w:val="single"/>
        </w:rPr>
        <w:t>For Quarter Students:</w:t>
      </w:r>
    </w:p>
    <w:p>
      <w:pPr>
        <w:pStyle w:val="Normal"/>
        <w:spacing w:lineRule="exact" w:line="4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sectPr>
          <w:type w:val="nextPage"/>
          <w:pgSz w:w="12240" w:h="15840"/>
          <w:pgMar w:left="1440" w:right="1440" w:gutter="0" w:header="0" w:top="1437" w:footer="0" w:bottom="1440"/>
          <w:pgNumType w:fmt="decimal"/>
          <w:formProt w:val="false"/>
          <w:textDirection w:val="lrTb"/>
          <w:docGrid w:type="default" w:linePitch="360" w:charSpace="0"/>
        </w:sectPr>
        <w:pStyle w:val="Normal"/>
        <w:spacing w:lineRule="auto" w:line="235"/>
        <w:rPr>
          <w:sz w:val="22"/>
        </w:rPr>
      </w:pPr>
      <w:r>
        <w:rPr>
          <w:sz w:val="22"/>
        </w:rPr>
        <w:t>Self-enrollment in the plan is available until fee payment deadlines each quarter. Students will pay tuition and fees in three equal installments.</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bookmarkStart w:id="1" w:name="page2"/>
      <w:bookmarkStart w:id="2" w:name="page2"/>
      <w:bookmarkEnd w:id="2"/>
    </w:p>
    <w:p>
      <w:pPr>
        <w:pStyle w:val="Normal"/>
        <w:spacing w:lineRule="auto" w:line="252"/>
        <w:ind w:start="20" w:end="0"/>
        <w:jc w:val="both"/>
        <w:rPr>
          <w:sz w:val="22"/>
        </w:rPr>
      </w:pPr>
      <w:r>
        <w:rPr>
          <w:sz w:val="22"/>
        </w:rPr>
        <w:t>Students can choose to enroll in DPP each quarter or at the beginning of the academic year by choosing the Annual DPP. If you choose the annual plan you will be automatically enrolled each quarter during the academic year.</w:t>
      </w:r>
    </w:p>
    <w:p>
      <w:pPr>
        <w:pStyle w:val="Normal"/>
        <w:spacing w:lineRule="exact" w:line="326"/>
        <w:rPr>
          <w:rFonts w:ascii="Times New Roman" w:hAnsi="Times New Roman" w:eastAsia="Times New Roman" w:cs="Times New Roman"/>
          <w:sz w:val="22"/>
        </w:rPr>
      </w:pPr>
      <w:r>
        <w:rPr>
          <w:rFonts w:eastAsia="Times New Roman" w:cs="Times New Roman" w:ascii="Times New Roman" w:hAnsi="Times New Roman"/>
          <w:sz w:val="22"/>
        </w:rPr>
      </w:r>
    </w:p>
    <w:tbl>
      <w:tblPr>
        <w:tblW w:w="7500" w:type="dxa"/>
        <w:jc w:val="start"/>
        <w:tblInd w:w="0" w:type="dxa"/>
        <w:tblLayout w:type="fixed"/>
        <w:tblCellMar>
          <w:top w:w="0" w:type="dxa"/>
          <w:start w:w="0" w:type="dxa"/>
          <w:bottom w:w="0" w:type="dxa"/>
          <w:end w:w="0" w:type="dxa"/>
        </w:tblCellMar>
      </w:tblPr>
      <w:tblGrid>
        <w:gridCol w:w="2820"/>
        <w:gridCol w:w="580"/>
        <w:gridCol w:w="740"/>
        <w:gridCol w:w="1200"/>
        <w:gridCol w:w="440"/>
        <w:gridCol w:w="1720"/>
      </w:tblGrid>
      <w:tr>
        <w:trPr>
          <w:trHeight w:val="308" w:hRule="atLeast"/>
        </w:trPr>
        <w:tc>
          <w:tcPr>
            <w:tcW w:w="2820" w:type="dxa"/>
            <w:tcBorders>
              <w:top w:val="single" w:sz="8" w:space="0" w:color="000000"/>
              <w:start w:val="single" w:sz="8" w:space="0" w:color="000000"/>
              <w:bottom w:val="single" w:sz="8" w:space="0" w:color="000000"/>
              <w:end w:val="single" w:sz="8" w:space="0" w:color="008080"/>
            </w:tcBorders>
          </w:tcPr>
          <w:p>
            <w:pPr>
              <w:pStyle w:val="Normal"/>
              <w:spacing w:lineRule="atLeast" w:line="0"/>
              <w:ind w:start="1000" w:end="0"/>
              <w:rPr>
                <w:b/>
                <w:i/>
                <w:i/>
                <w:color w:val="FFC000"/>
                <w:sz w:val="22"/>
              </w:rPr>
            </w:pPr>
            <w:r>
              <w:rPr>
                <w:b/>
                <w:i/>
                <w:color w:val="FFC000"/>
                <w:sz w:val="22"/>
              </w:rPr>
              <w:t>Available Plans</w:t>
            </w:r>
          </w:p>
        </w:tc>
        <w:tc>
          <w:tcPr>
            <w:tcW w:w="5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i/>
                <w:i/>
                <w:color w:val="FFC000"/>
                <w:sz w:val="24"/>
              </w:rPr>
            </w:pPr>
            <w:r>
              <w:rPr>
                <w:rFonts w:eastAsia="Times New Roman" w:cs="Times New Roman" w:ascii="Times New Roman" w:hAnsi="Times New Roman"/>
                <w:b/>
                <w:i/>
                <w:color w:val="FFC000"/>
                <w:sz w:val="24"/>
              </w:rPr>
            </w:r>
          </w:p>
        </w:tc>
        <w:tc>
          <w:tcPr>
            <w:tcW w:w="1940" w:type="dxa"/>
            <w:gridSpan w:val="2"/>
            <w:tcBorders>
              <w:top w:val="single" w:sz="8" w:space="0" w:color="000000"/>
              <w:bottom w:val="single" w:sz="8" w:space="0" w:color="000000"/>
              <w:end w:val="single" w:sz="8" w:space="0" w:color="000000"/>
            </w:tcBorders>
          </w:tcPr>
          <w:p>
            <w:pPr>
              <w:pStyle w:val="Normal"/>
              <w:spacing w:lineRule="atLeast" w:line="0"/>
              <w:ind w:start="260" w:end="0"/>
              <w:rPr>
                <w:b/>
                <w:i/>
                <w:i/>
                <w:color w:val="FFC000"/>
                <w:sz w:val="22"/>
              </w:rPr>
            </w:pPr>
            <w:r>
              <w:rPr>
                <w:b/>
                <w:i/>
                <w:color w:val="FFC000"/>
                <w:sz w:val="22"/>
              </w:rPr>
              <w:t>Application Fee</w:t>
            </w:r>
          </w:p>
        </w:tc>
        <w:tc>
          <w:tcPr>
            <w:tcW w:w="440" w:type="dxa"/>
            <w:tcBorders/>
          </w:tcPr>
          <w:p>
            <w:pPr>
              <w:pStyle w:val="Normal"/>
              <w:snapToGrid w:val="false"/>
              <w:spacing w:lineRule="atLeast" w:line="0"/>
              <w:rPr>
                <w:rFonts w:ascii="Times New Roman" w:hAnsi="Times New Roman" w:eastAsia="Times New Roman" w:cs="Times New Roman"/>
                <w:b/>
                <w:i/>
                <w:i/>
                <w:color w:val="FFC000"/>
                <w:sz w:val="24"/>
              </w:rPr>
            </w:pPr>
            <w:r>
              <w:rPr>
                <w:rFonts w:eastAsia="Times New Roman" w:cs="Times New Roman" w:ascii="Times New Roman" w:hAnsi="Times New Roman"/>
                <w:b/>
                <w:i/>
                <w:color w:val="FFC000"/>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8" w:hRule="atLeast"/>
        </w:trPr>
        <w:tc>
          <w:tcPr>
            <w:tcW w:w="2820" w:type="dxa"/>
            <w:tcBorders>
              <w:start w:val="single" w:sz="8" w:space="0" w:color="000000"/>
              <w:bottom w:val="single" w:sz="8" w:space="0" w:color="000000"/>
            </w:tcBorders>
          </w:tcPr>
          <w:p>
            <w:pPr>
              <w:pStyle w:val="Normal"/>
              <w:spacing w:lineRule="atLeast" w:line="0"/>
              <w:ind w:start="120" w:end="0"/>
              <w:rPr>
                <w:sz w:val="22"/>
              </w:rPr>
            </w:pPr>
            <w:r>
              <w:rPr>
                <w:sz w:val="22"/>
              </w:rPr>
              <w:t>Annual (Includes 3 Quarters)</w:t>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bottom w:val="single" w:sz="8" w:space="0" w:color="000000"/>
              <w:end w:val="single" w:sz="8" w:space="0" w:color="000000"/>
            </w:tcBorders>
          </w:tcPr>
          <w:p>
            <w:pPr>
              <w:pStyle w:val="Normal"/>
              <w:spacing w:lineRule="atLeast" w:line="0"/>
              <w:ind w:start="250" w:end="0"/>
              <w:jc w:val="center"/>
              <w:rPr>
                <w:w w:val="97"/>
                <w:sz w:val="22"/>
              </w:rPr>
            </w:pPr>
            <w:r>
              <w:rPr>
                <w:w w:val="97"/>
                <w:sz w:val="22"/>
              </w:rPr>
              <w:t>$60.00</w:t>
            </w:r>
          </w:p>
        </w:tc>
        <w:tc>
          <w:tcPr>
            <w:tcW w:w="44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2820" w:type="dxa"/>
            <w:tcBorders>
              <w:start w:val="single" w:sz="8" w:space="0" w:color="000000"/>
              <w:bottom w:val="single" w:sz="8" w:space="0" w:color="000000"/>
            </w:tcBorders>
          </w:tcPr>
          <w:p>
            <w:pPr>
              <w:pStyle w:val="Normal"/>
              <w:spacing w:lineRule="atLeast" w:line="0"/>
              <w:ind w:start="120" w:end="0"/>
              <w:rPr>
                <w:sz w:val="22"/>
              </w:rPr>
            </w:pPr>
            <w:r>
              <w:rPr>
                <w:sz w:val="22"/>
              </w:rPr>
              <w:t>Fall Quarter</w:t>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bottom w:val="single" w:sz="8" w:space="0" w:color="000000"/>
              <w:end w:val="single" w:sz="8" w:space="0" w:color="000000"/>
            </w:tcBorders>
          </w:tcPr>
          <w:p>
            <w:pPr>
              <w:pStyle w:val="Normal"/>
              <w:spacing w:lineRule="atLeast" w:line="0"/>
              <w:ind w:start="250" w:end="0"/>
              <w:jc w:val="center"/>
              <w:rPr>
                <w:w w:val="97"/>
                <w:sz w:val="22"/>
              </w:rPr>
            </w:pPr>
            <w:r>
              <w:rPr>
                <w:w w:val="97"/>
                <w:sz w:val="22"/>
              </w:rPr>
              <w:t>$25.00</w:t>
            </w:r>
          </w:p>
        </w:tc>
        <w:tc>
          <w:tcPr>
            <w:tcW w:w="44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2820" w:type="dxa"/>
            <w:tcBorders>
              <w:start w:val="single" w:sz="8" w:space="0" w:color="000000"/>
              <w:bottom w:val="single" w:sz="8" w:space="0" w:color="000000"/>
            </w:tcBorders>
          </w:tcPr>
          <w:p>
            <w:pPr>
              <w:pStyle w:val="Normal"/>
              <w:spacing w:lineRule="atLeast" w:line="0"/>
              <w:ind w:start="120" w:end="0"/>
              <w:rPr>
                <w:sz w:val="22"/>
              </w:rPr>
            </w:pPr>
            <w:r>
              <w:rPr>
                <w:sz w:val="22"/>
              </w:rPr>
              <w:t>Winter Quarter</w:t>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bottom w:val="single" w:sz="8" w:space="0" w:color="000000"/>
              <w:end w:val="single" w:sz="8" w:space="0" w:color="000000"/>
            </w:tcBorders>
          </w:tcPr>
          <w:p>
            <w:pPr>
              <w:pStyle w:val="Normal"/>
              <w:spacing w:lineRule="atLeast" w:line="0"/>
              <w:ind w:start="250" w:end="0"/>
              <w:jc w:val="center"/>
              <w:rPr>
                <w:w w:val="97"/>
                <w:sz w:val="22"/>
              </w:rPr>
            </w:pPr>
            <w:r>
              <w:rPr>
                <w:w w:val="97"/>
                <w:sz w:val="22"/>
              </w:rPr>
              <w:t>$25.00</w:t>
            </w:r>
          </w:p>
        </w:tc>
        <w:tc>
          <w:tcPr>
            <w:tcW w:w="44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2" w:hRule="atLeast"/>
        </w:trPr>
        <w:tc>
          <w:tcPr>
            <w:tcW w:w="2820" w:type="dxa"/>
            <w:tcBorders>
              <w:start w:val="single" w:sz="8" w:space="0" w:color="000000"/>
              <w:bottom w:val="single" w:sz="8" w:space="0" w:color="000000"/>
            </w:tcBorders>
          </w:tcPr>
          <w:p>
            <w:pPr>
              <w:pStyle w:val="Normal"/>
              <w:spacing w:lineRule="atLeast" w:line="0"/>
              <w:ind w:start="120" w:end="0"/>
              <w:rPr>
                <w:sz w:val="22"/>
              </w:rPr>
            </w:pPr>
            <w:r>
              <w:rPr>
                <w:sz w:val="22"/>
              </w:rPr>
              <w:t>Spring Quarter</w:t>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bottom w:val="single" w:sz="8" w:space="0" w:color="000000"/>
              <w:end w:val="single" w:sz="8" w:space="0" w:color="000000"/>
            </w:tcBorders>
          </w:tcPr>
          <w:p>
            <w:pPr>
              <w:pStyle w:val="Normal"/>
              <w:spacing w:lineRule="atLeast" w:line="0"/>
              <w:ind w:start="250" w:end="0"/>
              <w:jc w:val="center"/>
              <w:rPr>
                <w:w w:val="97"/>
                <w:sz w:val="22"/>
              </w:rPr>
            </w:pPr>
            <w:r>
              <w:rPr>
                <w:w w:val="97"/>
                <w:sz w:val="22"/>
              </w:rPr>
              <w:t>$25.00</w:t>
            </w:r>
          </w:p>
        </w:tc>
        <w:tc>
          <w:tcPr>
            <w:tcW w:w="44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1" w:hRule="atLeast"/>
        </w:trPr>
        <w:tc>
          <w:tcPr>
            <w:tcW w:w="4140" w:type="dxa"/>
            <w:gridSpan w:val="3"/>
            <w:tcBorders/>
          </w:tcPr>
          <w:p>
            <w:pPr>
              <w:pStyle w:val="Normal"/>
              <w:spacing w:lineRule="atLeast" w:line="0"/>
              <w:ind w:start="20" w:end="0"/>
              <w:rPr>
                <w:b/>
                <w:sz w:val="22"/>
              </w:rPr>
            </w:pPr>
            <w:r>
              <w:rPr>
                <w:b/>
                <w:sz w:val="22"/>
              </w:rPr>
              <w:t>Due dates for the installment plans:</w:t>
            </w:r>
          </w:p>
        </w:tc>
        <w:tc>
          <w:tcPr>
            <w:tcW w:w="12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 w:hRule="atLeast"/>
        </w:trPr>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85" w:hRule="atLeast"/>
        </w:trPr>
        <w:tc>
          <w:tcPr>
            <w:tcW w:w="2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2"/>
            <w:tcBorders>
              <w:bottom w:val="single" w:sz="8" w:space="0" w:color="000000"/>
              <w:end w:val="single" w:sz="8" w:space="0" w:color="000000"/>
            </w:tcBorders>
          </w:tcPr>
          <w:p>
            <w:pPr>
              <w:pStyle w:val="Normal"/>
              <w:spacing w:lineRule="atLeast" w:line="0"/>
              <w:jc w:val="center"/>
              <w:rPr>
                <w:b/>
                <w:i/>
                <w:i/>
                <w:color w:val="FFC000"/>
                <w:sz w:val="22"/>
                <w:shd w:fill="366092" w:val="clear"/>
              </w:rPr>
            </w:pPr>
            <w:r>
              <w:rPr>
                <w:b/>
                <w:i/>
                <w:color w:val="FFC000"/>
                <w:sz w:val="22"/>
                <w:shd w:fill="366092" w:val="clear"/>
              </w:rPr>
              <w:t>Fall Quarter</w:t>
            </w:r>
          </w:p>
        </w:tc>
        <w:tc>
          <w:tcPr>
            <w:tcW w:w="1640" w:type="dxa"/>
            <w:gridSpan w:val="2"/>
            <w:tcBorders>
              <w:bottom w:val="single" w:sz="8" w:space="0" w:color="000000"/>
              <w:end w:val="single" w:sz="8" w:space="0" w:color="000000"/>
            </w:tcBorders>
          </w:tcPr>
          <w:p>
            <w:pPr>
              <w:pStyle w:val="Normal"/>
              <w:spacing w:lineRule="atLeast" w:line="0"/>
              <w:ind w:end="40"/>
              <w:jc w:val="center"/>
              <w:rPr>
                <w:b/>
                <w:i/>
                <w:i/>
                <w:color w:val="FFC000"/>
                <w:w w:val="99"/>
                <w:sz w:val="22"/>
                <w:shd w:fill="366092" w:val="clear"/>
              </w:rPr>
            </w:pPr>
            <w:r>
              <w:rPr>
                <w:b/>
                <w:i/>
                <w:color w:val="FFC000"/>
                <w:w w:val="99"/>
                <w:sz w:val="22"/>
                <w:shd w:fill="366092" w:val="clear"/>
              </w:rPr>
              <w:t>Winter Quarter</w:t>
            </w:r>
          </w:p>
        </w:tc>
        <w:tc>
          <w:tcPr>
            <w:tcW w:w="1720" w:type="dxa"/>
            <w:tcBorders>
              <w:bottom w:val="single" w:sz="8" w:space="0" w:color="000000"/>
              <w:end w:val="single" w:sz="8" w:space="0" w:color="000000"/>
            </w:tcBorders>
          </w:tcPr>
          <w:p>
            <w:pPr>
              <w:pStyle w:val="Normal"/>
              <w:spacing w:lineRule="atLeast" w:line="0"/>
              <w:ind w:start="80" w:end="0"/>
              <w:rPr>
                <w:b/>
                <w:i/>
                <w:i/>
                <w:color w:val="FFC000"/>
                <w:sz w:val="22"/>
                <w:shd w:fill="366092" w:val="clear"/>
              </w:rPr>
            </w:pPr>
            <w:r>
              <w:rPr>
                <w:b/>
                <w:i/>
                <w:color w:val="FFC000"/>
                <w:sz w:val="22"/>
                <w:shd w:fill="366092" w:val="clear"/>
              </w:rPr>
              <w:t>Spring Quarter</w:t>
            </w:r>
          </w:p>
        </w:tc>
      </w:tr>
      <w:tr>
        <w:trPr>
          <w:trHeight w:val="291" w:hRule="atLeast"/>
        </w:trPr>
        <w:tc>
          <w:tcPr>
            <w:tcW w:w="282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Plan Enrollment Open</w:t>
            </w:r>
          </w:p>
        </w:tc>
        <w:tc>
          <w:tcPr>
            <w:tcW w:w="1320" w:type="dxa"/>
            <w:gridSpan w:val="2"/>
            <w:tcBorders>
              <w:bottom w:val="single" w:sz="8" w:space="0" w:color="000000"/>
              <w:end w:val="single" w:sz="8" w:space="0" w:color="000000"/>
            </w:tcBorders>
          </w:tcPr>
          <w:p>
            <w:pPr>
              <w:pStyle w:val="Normal"/>
              <w:spacing w:lineRule="atLeast" w:line="0"/>
              <w:jc w:val="center"/>
              <w:rPr>
                <w:sz w:val="22"/>
              </w:rPr>
            </w:pPr>
            <w:r>
              <w:rPr>
                <w:sz w:val="22"/>
              </w:rPr>
              <w:t>22-Aug</w:t>
            </w:r>
          </w:p>
        </w:tc>
        <w:tc>
          <w:tcPr>
            <w:tcW w:w="1640" w:type="dxa"/>
            <w:gridSpan w:val="2"/>
            <w:tcBorders>
              <w:bottom w:val="single" w:sz="8" w:space="0" w:color="000000"/>
              <w:end w:val="single" w:sz="8" w:space="0" w:color="000000"/>
            </w:tcBorders>
          </w:tcPr>
          <w:p>
            <w:pPr>
              <w:pStyle w:val="Normal"/>
              <w:spacing w:lineRule="atLeast" w:line="0"/>
              <w:ind w:end="40"/>
              <w:jc w:val="center"/>
              <w:rPr>
                <w:w w:val="98"/>
                <w:sz w:val="22"/>
              </w:rPr>
            </w:pPr>
            <w:r>
              <w:rPr>
                <w:w w:val="98"/>
                <w:sz w:val="22"/>
              </w:rPr>
              <w:t>22-Nov</w:t>
            </w:r>
          </w:p>
        </w:tc>
        <w:tc>
          <w:tcPr>
            <w:tcW w:w="1720" w:type="dxa"/>
            <w:tcBorders>
              <w:bottom w:val="single" w:sz="8" w:space="0" w:color="000000"/>
              <w:end w:val="single" w:sz="8" w:space="0" w:color="000000"/>
            </w:tcBorders>
          </w:tcPr>
          <w:p>
            <w:pPr>
              <w:pStyle w:val="Normal"/>
              <w:spacing w:lineRule="atLeast" w:line="0"/>
              <w:jc w:val="center"/>
              <w:rPr>
                <w:sz w:val="22"/>
              </w:rPr>
            </w:pPr>
            <w:r>
              <w:rPr>
                <w:sz w:val="22"/>
              </w:rPr>
              <w:t>22-Feb</w:t>
            </w:r>
          </w:p>
        </w:tc>
      </w:tr>
      <w:tr>
        <w:trPr>
          <w:trHeight w:val="291" w:hRule="atLeast"/>
        </w:trPr>
        <w:tc>
          <w:tcPr>
            <w:tcW w:w="2820" w:type="dxa"/>
            <w:tcBorders>
              <w:start w:val="single" w:sz="8" w:space="0" w:color="000000"/>
              <w:bottom w:val="single" w:sz="8" w:space="0" w:color="000000"/>
              <w:end w:val="single" w:sz="8" w:space="0" w:color="000000"/>
            </w:tcBorders>
          </w:tcPr>
          <w:p>
            <w:pPr>
              <w:pStyle w:val="Normal"/>
              <w:spacing w:lineRule="atLeast" w:line="0"/>
              <w:ind w:start="120" w:end="0"/>
              <w:rPr>
                <w:b/>
                <w:color w:val="FF0000"/>
                <w:sz w:val="22"/>
              </w:rPr>
            </w:pPr>
            <w:r>
              <w:rPr>
                <w:b/>
                <w:color w:val="FF0000"/>
                <w:sz w:val="22"/>
              </w:rPr>
              <w:t>Deadline to Enroll in DPP</w:t>
            </w:r>
          </w:p>
        </w:tc>
        <w:tc>
          <w:tcPr>
            <w:tcW w:w="1320" w:type="dxa"/>
            <w:gridSpan w:val="2"/>
            <w:tcBorders>
              <w:bottom w:val="single" w:sz="8" w:space="0" w:color="000000"/>
              <w:end w:val="single" w:sz="8" w:space="0" w:color="000000"/>
            </w:tcBorders>
          </w:tcPr>
          <w:p>
            <w:pPr>
              <w:pStyle w:val="Normal"/>
              <w:spacing w:lineRule="atLeast" w:line="0"/>
              <w:jc w:val="center"/>
              <w:rPr>
                <w:sz w:val="22"/>
              </w:rPr>
            </w:pPr>
            <w:r>
              <w:rPr>
                <w:sz w:val="22"/>
              </w:rPr>
              <w:t>15-Sep</w:t>
            </w:r>
          </w:p>
        </w:tc>
        <w:tc>
          <w:tcPr>
            <w:tcW w:w="1640" w:type="dxa"/>
            <w:gridSpan w:val="2"/>
            <w:tcBorders>
              <w:bottom w:val="single" w:sz="8" w:space="0" w:color="000000"/>
              <w:end w:val="single" w:sz="8" w:space="0" w:color="000000"/>
            </w:tcBorders>
          </w:tcPr>
          <w:p>
            <w:pPr>
              <w:pStyle w:val="Normal"/>
              <w:spacing w:lineRule="atLeast" w:line="0"/>
              <w:ind w:end="40"/>
              <w:jc w:val="center"/>
              <w:rPr>
                <w:sz w:val="22"/>
              </w:rPr>
            </w:pPr>
            <w:r>
              <w:rPr>
                <w:sz w:val="22"/>
              </w:rPr>
              <w:t>15-Dec</w:t>
            </w:r>
          </w:p>
        </w:tc>
        <w:tc>
          <w:tcPr>
            <w:tcW w:w="1720" w:type="dxa"/>
            <w:tcBorders>
              <w:bottom w:val="single" w:sz="8" w:space="0" w:color="000000"/>
              <w:end w:val="single" w:sz="8" w:space="0" w:color="000000"/>
            </w:tcBorders>
          </w:tcPr>
          <w:p>
            <w:pPr>
              <w:pStyle w:val="Normal"/>
              <w:spacing w:lineRule="atLeast" w:line="0"/>
              <w:jc w:val="center"/>
              <w:rPr>
                <w:w w:val="99"/>
                <w:sz w:val="22"/>
              </w:rPr>
            </w:pPr>
            <w:r>
              <w:rPr>
                <w:w w:val="99"/>
                <w:sz w:val="22"/>
              </w:rPr>
              <w:t>15-Mar</w:t>
            </w:r>
          </w:p>
        </w:tc>
      </w:tr>
      <w:tr>
        <w:trPr>
          <w:trHeight w:val="254" w:hRule="atLeast"/>
        </w:trPr>
        <w:tc>
          <w:tcPr>
            <w:tcW w:w="2820" w:type="dxa"/>
            <w:tcBorders>
              <w:start w:val="single" w:sz="8" w:space="0" w:color="000000"/>
              <w:end w:val="single" w:sz="8" w:space="0" w:color="000000"/>
            </w:tcBorders>
          </w:tcPr>
          <w:p>
            <w:pPr>
              <w:pStyle w:val="Normal"/>
              <w:spacing w:lineRule="exact" w:line="255"/>
              <w:ind w:start="120" w:end="0"/>
              <w:rPr>
                <w:sz w:val="22"/>
              </w:rPr>
            </w:pPr>
            <w:r>
              <w:rPr>
                <w:sz w:val="22"/>
              </w:rPr>
              <w:t>First Installment</w:t>
            </w:r>
          </w:p>
        </w:tc>
        <w:tc>
          <w:tcPr>
            <w:tcW w:w="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3" w:hRule="atLeast"/>
        </w:trPr>
        <w:tc>
          <w:tcPr>
            <w:tcW w:w="282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(UCD Fee Payment Deadline)</w:t>
            </w:r>
          </w:p>
        </w:tc>
        <w:tc>
          <w:tcPr>
            <w:tcW w:w="1320" w:type="dxa"/>
            <w:gridSpan w:val="2"/>
            <w:tcBorders>
              <w:bottom w:val="single" w:sz="8" w:space="0" w:color="000000"/>
              <w:end w:val="single" w:sz="8" w:space="0" w:color="000000"/>
            </w:tcBorders>
          </w:tcPr>
          <w:p>
            <w:pPr>
              <w:pStyle w:val="Normal"/>
              <w:spacing w:lineRule="atLeast" w:line="0"/>
              <w:jc w:val="center"/>
              <w:rPr>
                <w:sz w:val="22"/>
              </w:rPr>
            </w:pPr>
            <w:r>
              <w:rPr>
                <w:sz w:val="22"/>
              </w:rPr>
              <w:t>15-Sep</w:t>
            </w:r>
          </w:p>
        </w:tc>
        <w:tc>
          <w:tcPr>
            <w:tcW w:w="1640" w:type="dxa"/>
            <w:gridSpan w:val="2"/>
            <w:tcBorders>
              <w:bottom w:val="single" w:sz="8" w:space="0" w:color="000000"/>
              <w:end w:val="single" w:sz="8" w:space="0" w:color="000000"/>
            </w:tcBorders>
          </w:tcPr>
          <w:p>
            <w:pPr>
              <w:pStyle w:val="Normal"/>
              <w:spacing w:lineRule="atLeast" w:line="0"/>
              <w:ind w:end="40"/>
              <w:jc w:val="center"/>
              <w:rPr>
                <w:sz w:val="22"/>
              </w:rPr>
            </w:pPr>
            <w:r>
              <w:rPr>
                <w:sz w:val="22"/>
              </w:rPr>
              <w:t>15-Dec</w:t>
            </w:r>
          </w:p>
        </w:tc>
        <w:tc>
          <w:tcPr>
            <w:tcW w:w="1720" w:type="dxa"/>
            <w:tcBorders>
              <w:bottom w:val="single" w:sz="8" w:space="0" w:color="000000"/>
              <w:end w:val="single" w:sz="8" w:space="0" w:color="000000"/>
            </w:tcBorders>
          </w:tcPr>
          <w:p>
            <w:pPr>
              <w:pStyle w:val="Normal"/>
              <w:spacing w:lineRule="atLeast" w:line="0"/>
              <w:jc w:val="center"/>
              <w:rPr>
                <w:w w:val="99"/>
                <w:sz w:val="22"/>
              </w:rPr>
            </w:pPr>
            <w:r>
              <w:rPr>
                <w:w w:val="99"/>
                <w:sz w:val="22"/>
              </w:rPr>
              <w:t>15-Mar</w:t>
            </w:r>
          </w:p>
        </w:tc>
      </w:tr>
      <w:tr>
        <w:trPr>
          <w:trHeight w:val="290" w:hRule="atLeast"/>
        </w:trPr>
        <w:tc>
          <w:tcPr>
            <w:tcW w:w="282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Second Installment</w:t>
            </w:r>
          </w:p>
        </w:tc>
        <w:tc>
          <w:tcPr>
            <w:tcW w:w="1320" w:type="dxa"/>
            <w:gridSpan w:val="2"/>
            <w:tcBorders>
              <w:bottom w:val="single" w:sz="8" w:space="0" w:color="000000"/>
              <w:end w:val="single" w:sz="8" w:space="0" w:color="000000"/>
            </w:tcBorders>
          </w:tcPr>
          <w:p>
            <w:pPr>
              <w:pStyle w:val="Normal"/>
              <w:spacing w:lineRule="atLeast" w:line="0"/>
              <w:jc w:val="center"/>
              <w:rPr>
                <w:w w:val="99"/>
                <w:sz w:val="22"/>
              </w:rPr>
            </w:pPr>
            <w:r>
              <w:rPr>
                <w:w w:val="99"/>
                <w:sz w:val="22"/>
              </w:rPr>
              <w:t>15-Oct</w:t>
            </w:r>
          </w:p>
        </w:tc>
        <w:tc>
          <w:tcPr>
            <w:tcW w:w="1640" w:type="dxa"/>
            <w:gridSpan w:val="2"/>
            <w:tcBorders>
              <w:bottom w:val="single" w:sz="8" w:space="0" w:color="000000"/>
              <w:end w:val="single" w:sz="8" w:space="0" w:color="000000"/>
            </w:tcBorders>
          </w:tcPr>
          <w:p>
            <w:pPr>
              <w:pStyle w:val="Normal"/>
              <w:spacing w:lineRule="atLeast" w:line="0"/>
              <w:ind w:end="20"/>
              <w:jc w:val="center"/>
              <w:rPr>
                <w:w w:val="99"/>
                <w:sz w:val="22"/>
              </w:rPr>
            </w:pPr>
            <w:r>
              <w:rPr>
                <w:w w:val="99"/>
                <w:sz w:val="22"/>
              </w:rPr>
              <w:t>15-Jan</w:t>
            </w:r>
          </w:p>
        </w:tc>
        <w:tc>
          <w:tcPr>
            <w:tcW w:w="1720" w:type="dxa"/>
            <w:tcBorders>
              <w:bottom w:val="single" w:sz="8" w:space="0" w:color="000000"/>
              <w:end w:val="single" w:sz="8" w:space="0" w:color="000000"/>
            </w:tcBorders>
          </w:tcPr>
          <w:p>
            <w:pPr>
              <w:pStyle w:val="Normal"/>
              <w:spacing w:lineRule="atLeast" w:line="0"/>
              <w:jc w:val="center"/>
              <w:rPr>
                <w:sz w:val="22"/>
              </w:rPr>
            </w:pPr>
            <w:r>
              <w:rPr>
                <w:sz w:val="22"/>
              </w:rPr>
              <w:t>15-Apr</w:t>
            </w:r>
          </w:p>
        </w:tc>
      </w:tr>
      <w:tr>
        <w:trPr>
          <w:trHeight w:val="290" w:hRule="atLeast"/>
        </w:trPr>
        <w:tc>
          <w:tcPr>
            <w:tcW w:w="282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Third Installment</w:t>
            </w:r>
          </w:p>
        </w:tc>
        <w:tc>
          <w:tcPr>
            <w:tcW w:w="1320" w:type="dxa"/>
            <w:gridSpan w:val="2"/>
            <w:tcBorders>
              <w:bottom w:val="single" w:sz="8" w:space="0" w:color="000000"/>
              <w:end w:val="single" w:sz="8" w:space="0" w:color="000000"/>
            </w:tcBorders>
          </w:tcPr>
          <w:p>
            <w:pPr>
              <w:pStyle w:val="Normal"/>
              <w:spacing w:lineRule="atLeast" w:line="0"/>
              <w:jc w:val="center"/>
              <w:rPr>
                <w:sz w:val="22"/>
              </w:rPr>
            </w:pPr>
            <w:r>
              <w:rPr>
                <w:sz w:val="22"/>
              </w:rPr>
              <w:t>15-Nov</w:t>
            </w:r>
          </w:p>
        </w:tc>
        <w:tc>
          <w:tcPr>
            <w:tcW w:w="1640" w:type="dxa"/>
            <w:gridSpan w:val="2"/>
            <w:tcBorders>
              <w:bottom w:val="single" w:sz="8" w:space="0" w:color="000000"/>
              <w:end w:val="single" w:sz="8" w:space="0" w:color="000000"/>
            </w:tcBorders>
          </w:tcPr>
          <w:p>
            <w:pPr>
              <w:pStyle w:val="Normal"/>
              <w:spacing w:lineRule="atLeast" w:line="0"/>
              <w:ind w:end="20"/>
              <w:jc w:val="center"/>
              <w:rPr>
                <w:sz w:val="22"/>
              </w:rPr>
            </w:pPr>
            <w:r>
              <w:rPr>
                <w:sz w:val="22"/>
              </w:rPr>
              <w:t>15-Feb</w:t>
            </w:r>
          </w:p>
        </w:tc>
        <w:tc>
          <w:tcPr>
            <w:tcW w:w="1720" w:type="dxa"/>
            <w:tcBorders>
              <w:bottom w:val="single" w:sz="8" w:space="0" w:color="000000"/>
              <w:end w:val="single" w:sz="8" w:space="0" w:color="000000"/>
            </w:tcBorders>
          </w:tcPr>
          <w:p>
            <w:pPr>
              <w:pStyle w:val="Normal"/>
              <w:spacing w:lineRule="atLeast" w:line="0"/>
              <w:jc w:val="center"/>
              <w:rPr>
                <w:w w:val="99"/>
                <w:sz w:val="22"/>
              </w:rPr>
            </w:pPr>
            <w:r>
              <w:rPr>
                <w:w w:val="99"/>
                <w:sz w:val="22"/>
              </w:rPr>
              <w:t>15-May</w:t>
            </w:r>
          </w:p>
        </w:tc>
      </w:tr>
    </w:tbl>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b/>
          <w:sz w:val="22"/>
          <w:u w:val="single"/>
        </w:rPr>
      </w:pPr>
      <w:r>
        <w:rPr>
          <w:b/>
          <w:sz w:val="22"/>
          <w:u w:val="single"/>
        </w:rPr>
        <w:t>For Semester Students:</w:t>
      </w:r>
    </w:p>
    <w:p>
      <w:pPr>
        <w:pStyle w:val="Normal"/>
        <w:spacing w:lineRule="exact" w:line="3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35"/>
        <w:ind w:start="20" w:end="0"/>
        <w:jc w:val="both"/>
        <w:rPr>
          <w:sz w:val="22"/>
        </w:rPr>
      </w:pPr>
      <w:r>
        <w:rPr>
          <w:sz w:val="22"/>
        </w:rPr>
        <w:t>Self-enrollment in the plan is available until fee payment deadlines each semester. Students will pay tuition and fees in four equal installments.</w:t>
      </w:r>
    </w:p>
    <w:p>
      <w:pPr>
        <w:pStyle w:val="Normal"/>
        <w:spacing w:lineRule="exact" w:line="3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20" w:end="0"/>
        <w:jc w:val="both"/>
        <w:rPr>
          <w:sz w:val="22"/>
        </w:rPr>
      </w:pPr>
      <w:r>
        <w:rPr>
          <w:sz w:val="22"/>
        </w:rPr>
        <w:t>Students can choose to enroll in DPP each semester or at the beginning of the year by choosing the Annual DPP. If you choose the annual plan you will be automatically enrolled each semester during the academic year.</w:t>
      </w:r>
    </w:p>
    <w:p>
      <w:pPr>
        <w:pStyle w:val="Normal"/>
        <w:spacing w:lineRule="exact" w:line="323"/>
        <w:rPr>
          <w:rFonts w:ascii="Times New Roman" w:hAnsi="Times New Roman" w:eastAsia="Times New Roman" w:cs="Times New Roman"/>
          <w:sz w:val="22"/>
        </w:rPr>
      </w:pPr>
      <w:r>
        <w:rPr>
          <w:rFonts w:eastAsia="Times New Roman" w:cs="Times New Roman" w:ascii="Times New Roman" w:hAnsi="Times New Roman"/>
          <w:sz w:val="22"/>
        </w:rPr>
      </w:r>
    </w:p>
    <w:tbl>
      <w:tblPr>
        <w:tblW w:w="5340" w:type="dxa"/>
        <w:jc w:val="start"/>
        <w:tblInd w:w="0" w:type="dxa"/>
        <w:tblLayout w:type="fixed"/>
        <w:tblCellMar>
          <w:top w:w="0" w:type="dxa"/>
          <w:start w:w="0" w:type="dxa"/>
          <w:bottom w:w="0" w:type="dxa"/>
          <w:end w:w="0" w:type="dxa"/>
        </w:tblCellMar>
      </w:tblPr>
      <w:tblGrid>
        <w:gridCol w:w="3400"/>
        <w:gridCol w:w="1940"/>
      </w:tblGrid>
      <w:tr>
        <w:trPr>
          <w:trHeight w:val="308" w:hRule="atLeast"/>
        </w:trPr>
        <w:tc>
          <w:tcPr>
            <w:tcW w:w="3400" w:type="dxa"/>
            <w:tcBorders>
              <w:top w:val="single" w:sz="8" w:space="0" w:color="000000"/>
              <w:start w:val="single" w:sz="8" w:space="0" w:color="000000"/>
              <w:bottom w:val="single" w:sz="8" w:space="0" w:color="000000"/>
              <w:end w:val="single" w:sz="8" w:space="0" w:color="000000"/>
            </w:tcBorders>
          </w:tcPr>
          <w:p>
            <w:pPr>
              <w:pStyle w:val="Normal"/>
              <w:spacing w:lineRule="atLeast" w:line="0"/>
              <w:ind w:start="1000" w:end="0"/>
              <w:rPr>
                <w:b/>
                <w:i/>
                <w:i/>
                <w:color w:val="FFC000"/>
                <w:sz w:val="22"/>
              </w:rPr>
            </w:pPr>
            <w:r>
              <w:rPr>
                <w:b/>
                <w:i/>
                <w:color w:val="FFC000"/>
                <w:sz w:val="22"/>
              </w:rPr>
              <w:t>Available Plans</w:t>
            </w:r>
          </w:p>
        </w:tc>
        <w:tc>
          <w:tcPr>
            <w:tcW w:w="1940" w:type="dxa"/>
            <w:tcBorders>
              <w:top w:val="single" w:sz="8" w:space="0" w:color="000000"/>
              <w:bottom w:val="single" w:sz="8" w:space="0" w:color="000000"/>
              <w:end w:val="single" w:sz="8" w:space="0" w:color="000000"/>
            </w:tcBorders>
          </w:tcPr>
          <w:p>
            <w:pPr>
              <w:pStyle w:val="Normal"/>
              <w:spacing w:lineRule="atLeast" w:line="0"/>
              <w:ind w:end="170"/>
              <w:jc w:val="end"/>
              <w:rPr>
                <w:b/>
                <w:i/>
                <w:i/>
                <w:color w:val="FFC000"/>
                <w:sz w:val="22"/>
              </w:rPr>
            </w:pPr>
            <w:r>
              <w:rPr>
                <w:b/>
                <w:i/>
                <w:color w:val="FFC000"/>
                <w:sz w:val="22"/>
              </w:rPr>
              <w:t>Application Fee</w:t>
            </w:r>
          </w:p>
        </w:tc>
      </w:tr>
      <w:tr>
        <w:trPr>
          <w:trHeight w:val="288" w:hRule="atLeast"/>
        </w:trPr>
        <w:tc>
          <w:tcPr>
            <w:tcW w:w="340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Annual (Includes 2 Semesters)</w:t>
            </w:r>
          </w:p>
        </w:tc>
        <w:tc>
          <w:tcPr>
            <w:tcW w:w="1940" w:type="dxa"/>
            <w:tcBorders>
              <w:bottom w:val="single" w:sz="8" w:space="0" w:color="000000"/>
              <w:end w:val="single" w:sz="8" w:space="0" w:color="000000"/>
            </w:tcBorders>
          </w:tcPr>
          <w:p>
            <w:pPr>
              <w:pStyle w:val="Normal"/>
              <w:spacing w:lineRule="atLeast" w:line="0"/>
              <w:ind w:end="10"/>
              <w:jc w:val="end"/>
              <w:rPr>
                <w:sz w:val="22"/>
              </w:rPr>
            </w:pPr>
            <w:r>
              <w:rPr>
                <w:sz w:val="22"/>
              </w:rPr>
              <w:t>$70.00</w:t>
            </w:r>
          </w:p>
        </w:tc>
      </w:tr>
      <w:tr>
        <w:trPr>
          <w:trHeight w:val="290" w:hRule="atLeast"/>
        </w:trPr>
        <w:tc>
          <w:tcPr>
            <w:tcW w:w="340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Fall Semester</w:t>
            </w:r>
          </w:p>
        </w:tc>
        <w:tc>
          <w:tcPr>
            <w:tcW w:w="1940" w:type="dxa"/>
            <w:tcBorders>
              <w:bottom w:val="single" w:sz="8" w:space="0" w:color="000000"/>
              <w:end w:val="single" w:sz="8" w:space="0" w:color="000000"/>
            </w:tcBorders>
          </w:tcPr>
          <w:p>
            <w:pPr>
              <w:pStyle w:val="Normal"/>
              <w:spacing w:lineRule="atLeast" w:line="0"/>
              <w:ind w:end="10"/>
              <w:jc w:val="end"/>
              <w:rPr>
                <w:sz w:val="22"/>
              </w:rPr>
            </w:pPr>
            <w:r>
              <w:rPr>
                <w:sz w:val="22"/>
              </w:rPr>
              <w:t>$37.50</w:t>
            </w:r>
          </w:p>
        </w:tc>
      </w:tr>
      <w:tr>
        <w:trPr>
          <w:trHeight w:val="292" w:hRule="atLeast"/>
        </w:trPr>
        <w:tc>
          <w:tcPr>
            <w:tcW w:w="340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Spring Semester</w:t>
            </w:r>
          </w:p>
        </w:tc>
        <w:tc>
          <w:tcPr>
            <w:tcW w:w="1940" w:type="dxa"/>
            <w:tcBorders>
              <w:bottom w:val="single" w:sz="8" w:space="0" w:color="000000"/>
              <w:end w:val="single" w:sz="8" w:space="0" w:color="000000"/>
            </w:tcBorders>
          </w:tcPr>
          <w:p>
            <w:pPr>
              <w:pStyle w:val="Normal"/>
              <w:spacing w:lineRule="atLeast" w:line="0"/>
              <w:ind w:end="10"/>
              <w:jc w:val="end"/>
              <w:rPr>
                <w:sz w:val="22"/>
              </w:rPr>
            </w:pPr>
            <w:r>
              <w:rPr>
                <w:sz w:val="22"/>
              </w:rPr>
              <w:t>$37.50</w:t>
            </w:r>
          </w:p>
        </w:tc>
      </w:tr>
    </w:tbl>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b/>
          <w:sz w:val="22"/>
        </w:rPr>
      </w:pPr>
      <w:r>
        <w:rPr>
          <w:b/>
          <w:sz w:val="22"/>
        </w:rPr>
        <w:t>Due dates for the installment plans:</w:t>
      </w:r>
    </w:p>
    <w:p>
      <w:pPr>
        <w:pStyle w:val="Normal"/>
        <w:spacing w:lineRule="exact" w:line="29"/>
        <w:rPr>
          <w:rFonts w:ascii="Times New Roman" w:hAnsi="Times New Roman" w:eastAsia="Times New Roman" w:cs="Times New Roman"/>
          <w:b/>
          <w:sz w:val="22"/>
        </w:rPr>
      </w:pPr>
      <w:r>
        <w:rPr>
          <w:rFonts w:eastAsia="Times New Roman" w:cs="Times New Roman" w:ascii="Times New Roman" w:hAnsi="Times New Roman"/>
          <w:b/>
          <w:sz w:val="22"/>
        </w:rPr>
      </w:r>
    </w:p>
    <w:tbl>
      <w:tblPr>
        <w:tblW w:w="6160" w:type="dxa"/>
        <w:jc w:val="start"/>
        <w:tblInd w:w="0" w:type="dxa"/>
        <w:tblLayout w:type="fixed"/>
        <w:tblCellMar>
          <w:top w:w="0" w:type="dxa"/>
          <w:start w:w="0" w:type="dxa"/>
          <w:bottom w:w="0" w:type="dxa"/>
          <w:end w:w="0" w:type="dxa"/>
        </w:tblCellMar>
      </w:tblPr>
      <w:tblGrid>
        <w:gridCol w:w="2820"/>
        <w:gridCol w:w="1540"/>
        <w:gridCol w:w="1800"/>
      </w:tblGrid>
      <w:tr>
        <w:trPr>
          <w:trHeight w:val="306" w:hRule="atLeast"/>
        </w:trPr>
        <w:tc>
          <w:tcPr>
            <w:tcW w:w="2820" w:type="dxa"/>
            <w:tcBorders>
              <w:top w:val="single" w:sz="8" w:space="0" w:color="00000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op w:val="single" w:sz="8" w:space="0" w:color="000000"/>
              <w:bottom w:val="single" w:sz="8" w:space="0" w:color="000000"/>
              <w:end w:val="single" w:sz="8" w:space="0" w:color="000000"/>
            </w:tcBorders>
          </w:tcPr>
          <w:p>
            <w:pPr>
              <w:pStyle w:val="Normal"/>
              <w:spacing w:lineRule="atLeast" w:line="0"/>
              <w:ind w:start="100" w:end="0"/>
              <w:rPr>
                <w:b/>
                <w:i/>
                <w:i/>
                <w:color w:val="FFC000"/>
                <w:sz w:val="22"/>
                <w:shd w:fill="366092" w:val="clear"/>
              </w:rPr>
            </w:pPr>
            <w:r>
              <w:rPr>
                <w:b/>
                <w:i/>
                <w:color w:val="FFC000"/>
                <w:sz w:val="22"/>
                <w:shd w:fill="366092" w:val="clear"/>
              </w:rPr>
              <w:t>Fall Semester</w:t>
            </w:r>
          </w:p>
        </w:tc>
        <w:tc>
          <w:tcPr>
            <w:tcW w:w="1800" w:type="dxa"/>
            <w:tcBorders>
              <w:top w:val="single" w:sz="8" w:space="0" w:color="000000"/>
              <w:bottom w:val="single" w:sz="8" w:space="0" w:color="000000"/>
              <w:end w:val="single" w:sz="8" w:space="0" w:color="000000"/>
            </w:tcBorders>
          </w:tcPr>
          <w:p>
            <w:pPr>
              <w:pStyle w:val="Normal"/>
              <w:spacing w:lineRule="atLeast" w:line="0"/>
              <w:ind w:start="80" w:end="0"/>
              <w:rPr>
                <w:b/>
                <w:i/>
                <w:i/>
                <w:color w:val="FFC000"/>
                <w:sz w:val="22"/>
                <w:shd w:fill="366092" w:val="clear"/>
              </w:rPr>
            </w:pPr>
            <w:r>
              <w:rPr>
                <w:b/>
                <w:i/>
                <w:color w:val="FFC000"/>
                <w:sz w:val="22"/>
                <w:shd w:fill="366092" w:val="clear"/>
              </w:rPr>
              <w:t>Spring Semester</w:t>
            </w:r>
          </w:p>
        </w:tc>
      </w:tr>
      <w:tr>
        <w:trPr>
          <w:trHeight w:val="291" w:hRule="atLeast"/>
        </w:trPr>
        <w:tc>
          <w:tcPr>
            <w:tcW w:w="282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Plan Enrollment Open</w:t>
            </w:r>
          </w:p>
        </w:tc>
        <w:tc>
          <w:tcPr>
            <w:tcW w:w="1540" w:type="dxa"/>
            <w:tcBorders>
              <w:bottom w:val="single" w:sz="8" w:space="0" w:color="000000"/>
              <w:end w:val="single" w:sz="8" w:space="0" w:color="000000"/>
            </w:tcBorders>
          </w:tcPr>
          <w:p>
            <w:pPr>
              <w:pStyle w:val="Normal"/>
              <w:spacing w:lineRule="atLeast" w:line="0"/>
              <w:ind w:start="440" w:end="0"/>
              <w:rPr>
                <w:sz w:val="22"/>
              </w:rPr>
            </w:pPr>
            <w:r>
              <w:rPr>
                <w:sz w:val="22"/>
              </w:rPr>
              <w:t>22-Aug</w:t>
            </w:r>
          </w:p>
        </w:tc>
        <w:tc>
          <w:tcPr>
            <w:tcW w:w="1800" w:type="dxa"/>
            <w:tcBorders>
              <w:bottom w:val="single" w:sz="8" w:space="0" w:color="000000"/>
              <w:end w:val="single" w:sz="8" w:space="0" w:color="000000"/>
            </w:tcBorders>
          </w:tcPr>
          <w:p>
            <w:pPr>
              <w:pStyle w:val="Normal"/>
              <w:spacing w:lineRule="atLeast" w:line="0"/>
              <w:jc w:val="center"/>
              <w:rPr>
                <w:w w:val="98"/>
                <w:sz w:val="22"/>
              </w:rPr>
            </w:pPr>
            <w:r>
              <w:rPr>
                <w:w w:val="98"/>
                <w:sz w:val="22"/>
              </w:rPr>
              <w:t>22-Nov</w:t>
            </w:r>
          </w:p>
        </w:tc>
      </w:tr>
      <w:tr>
        <w:trPr>
          <w:trHeight w:val="291" w:hRule="atLeast"/>
        </w:trPr>
        <w:tc>
          <w:tcPr>
            <w:tcW w:w="2820" w:type="dxa"/>
            <w:tcBorders>
              <w:start w:val="single" w:sz="8" w:space="0" w:color="000000"/>
              <w:bottom w:val="single" w:sz="8" w:space="0" w:color="000000"/>
              <w:end w:val="single" w:sz="8" w:space="0" w:color="000000"/>
            </w:tcBorders>
          </w:tcPr>
          <w:p>
            <w:pPr>
              <w:pStyle w:val="Normal"/>
              <w:spacing w:lineRule="atLeast" w:line="0"/>
              <w:ind w:start="120" w:end="0"/>
              <w:rPr>
                <w:b/>
                <w:color w:val="FF0000"/>
                <w:sz w:val="22"/>
              </w:rPr>
            </w:pPr>
            <w:r>
              <w:rPr>
                <w:b/>
                <w:color w:val="FF0000"/>
                <w:sz w:val="22"/>
              </w:rPr>
              <w:t>Deadline to Enroll in DPP</w:t>
            </w:r>
          </w:p>
        </w:tc>
        <w:tc>
          <w:tcPr>
            <w:tcW w:w="1540" w:type="dxa"/>
            <w:tcBorders>
              <w:bottom w:val="single" w:sz="8" w:space="0" w:color="000000"/>
              <w:end w:val="single" w:sz="8" w:space="0" w:color="000000"/>
            </w:tcBorders>
          </w:tcPr>
          <w:p>
            <w:pPr>
              <w:pStyle w:val="Normal"/>
              <w:spacing w:lineRule="atLeast" w:line="0"/>
              <w:ind w:start="440" w:end="0"/>
              <w:rPr>
                <w:sz w:val="22"/>
              </w:rPr>
            </w:pPr>
            <w:r>
              <w:rPr>
                <w:sz w:val="22"/>
              </w:rPr>
              <w:t>15-Sep</w:t>
            </w:r>
          </w:p>
        </w:tc>
        <w:tc>
          <w:tcPr>
            <w:tcW w:w="1800" w:type="dxa"/>
            <w:tcBorders>
              <w:bottom w:val="single" w:sz="8" w:space="0" w:color="000000"/>
              <w:end w:val="single" w:sz="8" w:space="0" w:color="000000"/>
            </w:tcBorders>
          </w:tcPr>
          <w:p>
            <w:pPr>
              <w:pStyle w:val="Normal"/>
              <w:spacing w:lineRule="atLeast" w:line="0"/>
              <w:jc w:val="center"/>
              <w:rPr>
                <w:sz w:val="22"/>
              </w:rPr>
            </w:pPr>
            <w:r>
              <w:rPr>
                <w:sz w:val="22"/>
              </w:rPr>
              <w:t>15-Dec</w:t>
            </w:r>
          </w:p>
        </w:tc>
      </w:tr>
      <w:tr>
        <w:trPr>
          <w:trHeight w:val="254" w:hRule="atLeast"/>
        </w:trPr>
        <w:tc>
          <w:tcPr>
            <w:tcW w:w="2820" w:type="dxa"/>
            <w:tcBorders>
              <w:start w:val="single" w:sz="8" w:space="0" w:color="000000"/>
              <w:end w:val="single" w:sz="8" w:space="0" w:color="000000"/>
            </w:tcBorders>
          </w:tcPr>
          <w:p>
            <w:pPr>
              <w:pStyle w:val="Normal"/>
              <w:spacing w:lineRule="exact" w:line="255"/>
              <w:ind w:start="120" w:end="0"/>
              <w:rPr>
                <w:sz w:val="22"/>
              </w:rPr>
            </w:pPr>
            <w:r>
              <w:rPr>
                <w:sz w:val="22"/>
              </w:rPr>
              <w:t>First Installment</w:t>
            </w:r>
          </w:p>
        </w:tc>
        <w:tc>
          <w:tcPr>
            <w:tcW w:w="15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3" w:hRule="atLeast"/>
        </w:trPr>
        <w:tc>
          <w:tcPr>
            <w:tcW w:w="282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(UCD Fee Payment Deadline)</w:t>
            </w:r>
          </w:p>
        </w:tc>
        <w:tc>
          <w:tcPr>
            <w:tcW w:w="1540" w:type="dxa"/>
            <w:tcBorders>
              <w:bottom w:val="single" w:sz="8" w:space="0" w:color="000000"/>
              <w:end w:val="single" w:sz="8" w:space="0" w:color="000000"/>
            </w:tcBorders>
          </w:tcPr>
          <w:p>
            <w:pPr>
              <w:pStyle w:val="Normal"/>
              <w:spacing w:lineRule="atLeast" w:line="0"/>
              <w:ind w:start="440" w:end="0"/>
              <w:rPr>
                <w:sz w:val="22"/>
              </w:rPr>
            </w:pPr>
            <w:r>
              <w:rPr>
                <w:sz w:val="22"/>
              </w:rPr>
              <w:t>15-Sep</w:t>
            </w:r>
          </w:p>
        </w:tc>
        <w:tc>
          <w:tcPr>
            <w:tcW w:w="1800" w:type="dxa"/>
            <w:tcBorders>
              <w:bottom w:val="single" w:sz="8" w:space="0" w:color="000000"/>
              <w:end w:val="single" w:sz="8" w:space="0" w:color="000000"/>
            </w:tcBorders>
          </w:tcPr>
          <w:p>
            <w:pPr>
              <w:pStyle w:val="Normal"/>
              <w:spacing w:lineRule="atLeast" w:line="0"/>
              <w:jc w:val="center"/>
              <w:rPr>
                <w:sz w:val="22"/>
              </w:rPr>
            </w:pPr>
            <w:r>
              <w:rPr>
                <w:sz w:val="22"/>
              </w:rPr>
              <w:t>15-Dec</w:t>
            </w:r>
          </w:p>
        </w:tc>
      </w:tr>
      <w:tr>
        <w:trPr>
          <w:trHeight w:val="290" w:hRule="atLeast"/>
        </w:trPr>
        <w:tc>
          <w:tcPr>
            <w:tcW w:w="282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Second Installment</w:t>
            </w:r>
          </w:p>
        </w:tc>
        <w:tc>
          <w:tcPr>
            <w:tcW w:w="1540" w:type="dxa"/>
            <w:tcBorders>
              <w:bottom w:val="single" w:sz="8" w:space="0" w:color="000000"/>
              <w:end w:val="single" w:sz="8" w:space="0" w:color="000000"/>
            </w:tcBorders>
          </w:tcPr>
          <w:p>
            <w:pPr>
              <w:pStyle w:val="Normal"/>
              <w:spacing w:lineRule="atLeast" w:line="0"/>
              <w:ind w:start="460" w:end="0"/>
              <w:rPr>
                <w:sz w:val="22"/>
              </w:rPr>
            </w:pPr>
            <w:r>
              <w:rPr>
                <w:sz w:val="22"/>
              </w:rPr>
              <w:t>15-Oct</w:t>
            </w:r>
          </w:p>
        </w:tc>
        <w:tc>
          <w:tcPr>
            <w:tcW w:w="1800" w:type="dxa"/>
            <w:tcBorders>
              <w:bottom w:val="single" w:sz="8" w:space="0" w:color="000000"/>
              <w:end w:val="single" w:sz="8" w:space="0" w:color="000000"/>
            </w:tcBorders>
          </w:tcPr>
          <w:p>
            <w:pPr>
              <w:pStyle w:val="Normal"/>
              <w:spacing w:lineRule="atLeast" w:line="0"/>
              <w:jc w:val="center"/>
              <w:rPr>
                <w:w w:val="99"/>
                <w:sz w:val="22"/>
              </w:rPr>
            </w:pPr>
            <w:r>
              <w:rPr>
                <w:w w:val="99"/>
                <w:sz w:val="22"/>
              </w:rPr>
              <w:t>15-Jan</w:t>
            </w:r>
          </w:p>
        </w:tc>
      </w:tr>
      <w:tr>
        <w:trPr>
          <w:trHeight w:val="290" w:hRule="atLeast"/>
        </w:trPr>
        <w:tc>
          <w:tcPr>
            <w:tcW w:w="282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Third Installment</w:t>
            </w:r>
          </w:p>
        </w:tc>
        <w:tc>
          <w:tcPr>
            <w:tcW w:w="1540" w:type="dxa"/>
            <w:tcBorders>
              <w:bottom w:val="single" w:sz="8" w:space="0" w:color="000000"/>
              <w:end w:val="single" w:sz="8" w:space="0" w:color="000000"/>
            </w:tcBorders>
          </w:tcPr>
          <w:p>
            <w:pPr>
              <w:pStyle w:val="Normal"/>
              <w:spacing w:lineRule="atLeast" w:line="0"/>
              <w:ind w:start="420" w:end="0"/>
              <w:rPr>
                <w:sz w:val="22"/>
              </w:rPr>
            </w:pPr>
            <w:r>
              <w:rPr>
                <w:sz w:val="22"/>
              </w:rPr>
              <w:t>15-Nov</w:t>
            </w:r>
          </w:p>
        </w:tc>
        <w:tc>
          <w:tcPr>
            <w:tcW w:w="1800" w:type="dxa"/>
            <w:tcBorders>
              <w:bottom w:val="single" w:sz="8" w:space="0" w:color="000000"/>
              <w:end w:val="single" w:sz="8" w:space="0" w:color="000000"/>
            </w:tcBorders>
          </w:tcPr>
          <w:p>
            <w:pPr>
              <w:pStyle w:val="Normal"/>
              <w:spacing w:lineRule="atLeast" w:line="0"/>
              <w:jc w:val="center"/>
              <w:rPr>
                <w:sz w:val="22"/>
              </w:rPr>
            </w:pPr>
            <w:r>
              <w:rPr>
                <w:sz w:val="22"/>
              </w:rPr>
              <w:t>15-Feb</w:t>
            </w:r>
          </w:p>
        </w:tc>
      </w:tr>
      <w:tr>
        <w:trPr>
          <w:trHeight w:val="290" w:hRule="atLeast"/>
        </w:trPr>
        <w:tc>
          <w:tcPr>
            <w:tcW w:w="2820" w:type="dxa"/>
            <w:tcBorders>
              <w:start w:val="single" w:sz="8" w:space="0" w:color="000000"/>
              <w:bottom w:val="single" w:sz="8" w:space="0" w:color="000000"/>
              <w:end w:val="single" w:sz="8" w:space="0" w:color="000000"/>
            </w:tcBorders>
          </w:tcPr>
          <w:p>
            <w:pPr>
              <w:pStyle w:val="Normal"/>
              <w:spacing w:lineRule="atLeast" w:line="0"/>
              <w:ind w:start="120" w:end="0"/>
              <w:rPr>
                <w:sz w:val="22"/>
              </w:rPr>
            </w:pPr>
            <w:r>
              <w:rPr>
                <w:sz w:val="22"/>
              </w:rPr>
              <w:t>Fourth Installment</w:t>
            </w:r>
          </w:p>
        </w:tc>
        <w:tc>
          <w:tcPr>
            <w:tcW w:w="1540" w:type="dxa"/>
            <w:tcBorders>
              <w:bottom w:val="single" w:sz="8" w:space="0" w:color="000000"/>
              <w:end w:val="single" w:sz="8" w:space="0" w:color="000000"/>
            </w:tcBorders>
          </w:tcPr>
          <w:p>
            <w:pPr>
              <w:pStyle w:val="Normal"/>
              <w:spacing w:lineRule="atLeast" w:line="0"/>
              <w:ind w:start="440" w:end="0"/>
              <w:rPr>
                <w:sz w:val="22"/>
              </w:rPr>
            </w:pPr>
            <w:r>
              <w:rPr>
                <w:sz w:val="22"/>
              </w:rPr>
              <w:t>15-Dec</w:t>
            </w:r>
          </w:p>
        </w:tc>
        <w:tc>
          <w:tcPr>
            <w:tcW w:w="1800" w:type="dxa"/>
            <w:tcBorders>
              <w:bottom w:val="single" w:sz="8" w:space="0" w:color="000000"/>
              <w:end w:val="single" w:sz="8" w:space="0" w:color="000000"/>
            </w:tcBorders>
          </w:tcPr>
          <w:p>
            <w:pPr>
              <w:pStyle w:val="Normal"/>
              <w:spacing w:lineRule="atLeast" w:line="0"/>
              <w:jc w:val="center"/>
              <w:rPr>
                <w:sz w:val="22"/>
              </w:rPr>
            </w:pPr>
            <w:r>
              <w:rPr>
                <w:sz w:val="22"/>
              </w:rPr>
              <w:t>15-Mar</w:t>
            </w:r>
          </w:p>
        </w:tc>
      </w:tr>
    </w:tbl>
    <w:p>
      <w:pPr>
        <w:sectPr>
          <w:type w:val="nextPage"/>
          <w:pgSz w:w="12240" w:h="15840"/>
          <w:pgMar w:left="1420" w:right="1440" w:gutter="0" w:header="0" w:top="1440" w:footer="0" w:bottom="941"/>
          <w:pgNumType w:fmt="decimal"/>
          <w:formProt w:val="false"/>
          <w:textDirection w:val="lrTb"/>
          <w:docGrid w:type="default" w:linePitch="360" w:charSpace="0"/>
        </w:sectPr>
      </w:pPr>
    </w:p>
    <w:p>
      <w:pPr>
        <w:pStyle w:val="Normal"/>
        <w:spacing w:lineRule="exact" w:line="302"/>
        <w:rPr>
          <w:rFonts w:ascii="Times New Roman" w:hAnsi="Times New Roman" w:eastAsia="Times New Roman" w:cs="Times New Roman"/>
          <w:sz w:val="22"/>
        </w:rPr>
      </w:pPr>
      <w:r>
        <w:rPr>
          <w:rFonts w:eastAsia="Times New Roman" w:cs="Times New Roman" w:ascii="Times New Roman" w:hAnsi="Times New Roman"/>
          <w:sz w:val="22"/>
        </w:rPr>
      </w:r>
      <w:bookmarkStart w:id="3" w:name="page3"/>
      <w:bookmarkStart w:id="4" w:name="page3"/>
      <w:bookmarkEnd w:id="4"/>
    </w:p>
    <w:p>
      <w:pPr>
        <w:pStyle w:val="Normal"/>
        <w:spacing w:lineRule="atLeast" w:line="0"/>
        <w:rPr/>
      </w:pPr>
      <w:r>
        <w:rPr>
          <w:i/>
          <w:sz w:val="22"/>
        </w:rPr>
        <w:t>Please see</w:t>
      </w:r>
      <w:r>
        <w:rPr>
          <w:i/>
          <w:color w:val="0000FF"/>
          <w:sz w:val="22"/>
        </w:rPr>
        <w:t xml:space="preserve"> </w:t>
      </w:r>
      <w:hyperlink r:id="rId4">
        <w:r>
          <w:rPr>
            <w:rStyle w:val="Hyperlink"/>
            <w:i/>
            <w:color w:val="0000FF"/>
            <w:sz w:val="22"/>
            <w:u w:val="single"/>
          </w:rPr>
          <w:t>http://registrar.ucdavis.edu</w:t>
        </w:r>
        <w:r>
          <w:rPr>
            <w:rStyle w:val="Hyperlink"/>
            <w:i/>
            <w:sz w:val="22"/>
            <w:u w:val="single"/>
          </w:rPr>
          <w:t xml:space="preserve"> </w:t>
        </w:r>
      </w:hyperlink>
      <w:r>
        <w:rPr>
          <w:i/>
          <w:sz w:val="22"/>
        </w:rPr>
        <w:t>for important information regarding the fee payment deadline.</w:t>
      </w:r>
    </w:p>
    <w:p>
      <w:pPr>
        <w:pStyle w:val="Normal"/>
        <w:spacing w:lineRule="exact" w:line="3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rPr>
          <w:i/>
          <w:i/>
          <w:sz w:val="22"/>
        </w:rPr>
      </w:pPr>
      <w:r>
        <w:rPr>
          <w:i/>
          <w:sz w:val="22"/>
        </w:rPr>
        <w:t>*Summer Plans will be available during the summer terms.</w:t>
      </w:r>
    </w:p>
    <w:p>
      <w:pPr>
        <w:pStyle w:val="Normal"/>
        <w:spacing w:lineRule="exact" w:line="35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rPr>
          <w:b/>
          <w:sz w:val="22"/>
        </w:rPr>
      </w:pPr>
      <w:r>
        <w:rPr>
          <w:b/>
          <w:sz w:val="22"/>
        </w:rPr>
        <w:t>How to Enroll in DPP:</w:t>
      </w:r>
    </w:p>
    <w:p>
      <w:pPr>
        <w:pStyle w:val="Normal"/>
        <w:spacing w:lineRule="exact" w:line="3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sz w:val="22"/>
        </w:rPr>
      </w:pPr>
      <w:r>
        <w:rPr>
          <w:sz w:val="22"/>
        </w:rPr>
        <w:t>To self-enroll in DPP, students or their authorized user must follow these steps:</w:t>
      </w:r>
    </w:p>
    <w:p>
      <w:pPr>
        <w:pStyle w:val="Normal"/>
        <w:spacing w:lineRule="exact" w:line="34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left" w:pos="720" w:leader="none"/>
        </w:tabs>
        <w:spacing w:lineRule="atLeast" w:line="0"/>
        <w:ind w:hanging="360" w:start="720" w:end="0"/>
        <w:rPr>
          <w:sz w:val="22"/>
        </w:rPr>
      </w:pPr>
      <w:r>
        <w:rPr>
          <w:sz w:val="22"/>
        </w:rPr>
        <w:t>Log into MyBill website:</w:t>
      </w:r>
      <w:r>
        <w:rPr>
          <w:color w:val="0000FF"/>
          <w:sz w:val="22"/>
        </w:rPr>
        <w:t xml:space="preserve"> </w:t>
      </w:r>
      <w:hyperlink r:id="rId5">
        <w:r>
          <w:rPr>
            <w:rStyle w:val="Hyperlink"/>
            <w:color w:val="0000FF"/>
            <w:sz w:val="22"/>
            <w:u w:val="single"/>
          </w:rPr>
          <w:t>http://mybill.ucdavis.edu</w:t>
        </w:r>
      </w:hyperlink>
    </w:p>
    <w:p>
      <w:pPr>
        <w:pStyle w:val="Normal"/>
        <w:spacing w:lineRule="exact" w:line="41"/>
        <w:rPr>
          <w:sz w:val="22"/>
        </w:rPr>
      </w:pPr>
      <w:r>
        <w:rPr>
          <w:sz w:val="22"/>
        </w:rPr>
      </w:r>
    </w:p>
    <w:p>
      <w:pPr>
        <w:pStyle w:val="Normal"/>
        <w:numPr>
          <w:ilvl w:val="0"/>
          <w:numId w:val="3"/>
        </w:numPr>
        <w:tabs>
          <w:tab w:val="left" w:pos="720" w:leader="none"/>
        </w:tabs>
        <w:spacing w:lineRule="atLeast" w:line="0"/>
        <w:ind w:hanging="360" w:start="720" w:end="0"/>
        <w:rPr>
          <w:sz w:val="22"/>
        </w:rPr>
      </w:pPr>
      <w:r>
        <w:rPr>
          <w:sz w:val="22"/>
        </w:rPr>
        <w:t>Select the Payment Plans tab</w:t>
      </w:r>
    </w:p>
    <w:p>
      <w:pPr>
        <w:pStyle w:val="Normal"/>
        <w:spacing w:lineRule="exact" w:line="41"/>
        <w:rPr>
          <w:sz w:val="22"/>
        </w:rPr>
      </w:pPr>
      <w:r>
        <w:rPr>
          <w:sz w:val="22"/>
        </w:rPr>
      </w:r>
    </w:p>
    <w:p>
      <w:pPr>
        <w:pStyle w:val="Normal"/>
        <w:numPr>
          <w:ilvl w:val="0"/>
          <w:numId w:val="3"/>
        </w:numPr>
        <w:tabs>
          <w:tab w:val="left" w:pos="720" w:leader="none"/>
        </w:tabs>
        <w:spacing w:lineRule="atLeast" w:line="0"/>
        <w:ind w:hanging="360" w:start="720" w:end="0"/>
        <w:rPr>
          <w:sz w:val="22"/>
        </w:rPr>
      </w:pPr>
      <w:r>
        <w:rPr>
          <w:sz w:val="22"/>
        </w:rPr>
        <w:t>The interface will guides you step-by-step through the enrollment process</w:t>
      </w:r>
    </w:p>
    <w:p>
      <w:pPr>
        <w:pStyle w:val="Normal"/>
        <w:spacing w:lineRule="exact" w:line="41"/>
        <w:rPr>
          <w:sz w:val="22"/>
        </w:rPr>
      </w:pPr>
      <w:r>
        <w:rPr>
          <w:sz w:val="22"/>
        </w:rPr>
      </w:r>
    </w:p>
    <w:p>
      <w:pPr>
        <w:pStyle w:val="Normal"/>
        <w:numPr>
          <w:ilvl w:val="0"/>
          <w:numId w:val="3"/>
        </w:numPr>
        <w:tabs>
          <w:tab w:val="left" w:pos="720" w:leader="none"/>
        </w:tabs>
        <w:spacing w:lineRule="atLeast" w:line="0"/>
        <w:ind w:hanging="360" w:start="720" w:end="0"/>
        <w:rPr>
          <w:sz w:val="22"/>
        </w:rPr>
      </w:pPr>
      <w:r>
        <w:rPr>
          <w:sz w:val="22"/>
        </w:rPr>
        <w:t>Enroll in the deferred payment plan and sign the agreement onlin</w:t>
      </w:r>
      <w:r>
        <w:rPr>
          <w:rFonts w:eastAsia="Verdana" w:cs="Verdana" w:ascii="Verdana" w:hAnsi="Verdana"/>
          <w:color w:val="444444"/>
          <w:sz w:val="19"/>
        </w:rPr>
        <w: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22"/>
        </w:rPr>
      </w:pPr>
      <w:r>
        <w:rPr>
          <w:b/>
          <w:sz w:val="22"/>
        </w:rPr>
        <w:t>If you receive additional credits in your account</w:t>
      </w:r>
    </w:p>
    <w:p>
      <w:pPr>
        <w:pStyle w:val="Normal"/>
        <w:spacing w:lineRule="exact" w:line="3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sz w:val="22"/>
        </w:rPr>
      </w:pPr>
      <w:r>
        <w:rPr>
          <w:sz w:val="22"/>
        </w:rPr>
        <w:t>Your plan will be adjusted and the credits will be applied equally across the outstanding installments.</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Whenever your plan amounts change you will receive an email notification of the changes.</w:t>
      </w:r>
    </w:p>
    <w:p>
      <w:pPr>
        <w:pStyle w:val="Normal"/>
        <w:spacing w:lineRule="exact" w:line="3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rPr>
          <w:sz w:val="22"/>
        </w:rPr>
      </w:pPr>
      <w:r>
        <w:rPr>
          <w:sz w:val="22"/>
        </w:rPr>
        <w:t>If you receive any type of financial awards or loans, the funds will be used to pay registration fees even if the account is on the installment plan.</w:t>
      </w:r>
    </w:p>
    <w:p>
      <w:pPr>
        <w:pStyle w:val="Normal"/>
        <w:spacing w:lineRule="exact" w:line="3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If you withdraw from classes</w:t>
      </w:r>
    </w:p>
    <w:p>
      <w:pPr>
        <w:pStyle w:val="Normal"/>
        <w:spacing w:lineRule="exact" w:line="9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end="920"/>
        <w:rPr>
          <w:color w:val="0000FF"/>
          <w:sz w:val="22"/>
          <w:u w:val="single"/>
        </w:rPr>
      </w:pPr>
      <w:r>
        <w:rPr>
          <w:sz w:val="22"/>
        </w:rPr>
        <w:t>You might still have payments due. Adjustments to your payments will be made based on your withdrawal date and the</w:t>
      </w:r>
      <w:r>
        <w:rPr>
          <w:color w:val="0000FF"/>
          <w:sz w:val="22"/>
        </w:rPr>
        <w:t xml:space="preserve"> </w:t>
      </w:r>
      <w:hyperlink r:id="rId6">
        <w:r>
          <w:rPr>
            <w:rStyle w:val="Hyperlink"/>
            <w:color w:val="0000FF"/>
            <w:sz w:val="22"/>
            <w:u w:val="single"/>
          </w:rPr>
          <w:t>University Refund Schedule</w:t>
        </w:r>
      </w:hyperlink>
    </w:p>
    <w:p>
      <w:pPr>
        <w:pStyle w:val="Normal"/>
        <w:spacing w:lineRule="exact" w:line="399"/>
        <w:rPr>
          <w:rFonts w:ascii="Times New Roman" w:hAnsi="Times New Roman" w:eastAsia="Times New Roman" w:cs="Times New Roman"/>
          <w:color w:val="0000FF"/>
          <w:sz w:val="22"/>
          <w:u w:val="single"/>
        </w:rPr>
      </w:pPr>
      <w:r>
        <w:rPr>
          <w:rFonts w:eastAsia="Times New Roman" w:cs="Times New Roman" w:ascii="Times New Roman" w:hAnsi="Times New Roman"/>
          <w:color w:val="0000FF"/>
          <w:sz w:val="22"/>
          <w:u w:val="single"/>
        </w:rPr>
      </w:r>
    </w:p>
    <w:p>
      <w:pPr>
        <w:pStyle w:val="Normal"/>
        <w:spacing w:lineRule="auto" w:line="235"/>
        <w:ind w:end="40"/>
        <w:rPr>
          <w:sz w:val="22"/>
        </w:rPr>
      </w:pPr>
      <w:r>
        <w:rPr>
          <w:sz w:val="22"/>
        </w:rPr>
        <w:t>Refunds are only issued to students if the adjusted amount they owe is less than what they have already paid. Students cannot receive refunds until all fees on the student account are paid in full.</w:t>
      </w:r>
    </w:p>
    <w:p>
      <w:pPr>
        <w:pStyle w:val="Normal"/>
        <w:spacing w:lineRule="exact" w:line="3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Late fees and penalties</w:t>
      </w:r>
    </w:p>
    <w:p>
      <w:pPr>
        <w:pStyle w:val="Normal"/>
        <w:spacing w:lineRule="exact" w:line="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sz w:val="22"/>
        </w:rPr>
      </w:pPr>
      <w:r>
        <w:rPr>
          <w:sz w:val="22"/>
        </w:rPr>
        <w:t>Students who miss a payment deadline will be charged a $10 late fee per installment.</w:t>
      </w:r>
    </w:p>
    <w:p>
      <w:pPr>
        <w:pStyle w:val="Normal"/>
        <w:spacing w:lineRule="exact" w:line="34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Additional Information</w:t>
      </w:r>
    </w:p>
    <w:p>
      <w:pPr>
        <w:pStyle w:val="Normal"/>
        <w:spacing w:lineRule="exact" w:line="9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end="380"/>
        <w:rPr>
          <w:color w:val="000000"/>
          <w:sz w:val="22"/>
        </w:rPr>
      </w:pPr>
      <w:r>
        <w:rPr>
          <w:sz w:val="22"/>
        </w:rPr>
        <w:t>Under the deferred payment plan, prior-term balances, plus plan application fee and non-deferrable charges must be paid in addition to the first installment in order to avoid</w:t>
      </w:r>
      <w:r>
        <w:rPr>
          <w:color w:val="0000FF"/>
          <w:sz w:val="22"/>
        </w:rPr>
        <w:t xml:space="preserve"> </w:t>
      </w:r>
      <w:hyperlink r:id="rId7">
        <w:r>
          <w:rPr>
            <w:rStyle w:val="Hyperlink"/>
            <w:color w:val="0000FF"/>
            <w:sz w:val="22"/>
            <w:u w:val="single"/>
          </w:rPr>
          <w:t>Drop for Non-Payment</w:t>
        </w:r>
      </w:hyperlink>
      <w:r>
        <w:rPr>
          <w:color w:val="0000FF"/>
          <w:sz w:val="22"/>
          <w:u w:val="single"/>
        </w:rPr>
        <w:t xml:space="preserve"> </w:t>
      </w:r>
      <w:hyperlink r:id="rId8">
        <w:r>
          <w:rPr>
            <w:rStyle w:val="Hyperlink"/>
            <w:color w:val="0000FF"/>
            <w:sz w:val="22"/>
            <w:u w:val="single"/>
          </w:rPr>
          <w:t>process</w:t>
        </w:r>
        <w:r>
          <w:rPr>
            <w:rStyle w:val="Hyperlink"/>
            <w:color w:val="000000"/>
            <w:sz w:val="22"/>
          </w:rPr>
          <w:t>.</w:t>
        </w:r>
      </w:hyperlink>
    </w:p>
    <w:p>
      <w:pPr>
        <w:pStyle w:val="Normal"/>
        <w:spacing w:lineRule="exact" w:line="384"/>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52"/>
        <w:ind w:end="500"/>
        <w:rPr/>
      </w:pPr>
      <w:r>
        <w:rPr>
          <w:sz w:val="22"/>
        </w:rPr>
        <w:t>You will not be fully enrolled in the Deferred Payment Plan until the first payment is received. Subsequent installment amounts will be included in the “Amount Due” figure listed on the monthly billing statement.</w:t>
      </w:r>
    </w:p>
    <w:p>
      <w:pPr>
        <w:pStyle w:val="Normal"/>
        <w:spacing w:lineRule="exact" w:line="335"/>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rPr>
          <w:sz w:val="22"/>
        </w:rPr>
      </w:pPr>
      <w:r>
        <w:rPr>
          <w:sz w:val="22"/>
        </w:rPr>
        <w:t>If the installment payments are not credited to the account by the due date, the following may occur:</w:t>
      </w:r>
    </w:p>
    <w:p>
      <w:pPr>
        <w:pStyle w:val="Normal"/>
        <w:numPr>
          <w:ilvl w:val="0"/>
          <w:numId w:val="4"/>
        </w:numPr>
        <w:tabs>
          <w:tab w:val="left" w:pos="720" w:leader="none"/>
        </w:tabs>
        <w:spacing w:lineRule="atLeast" w:line="0"/>
        <w:ind w:hanging="360" w:start="720" w:end="0"/>
        <w:rPr>
          <w:rFonts w:ascii="Symbol" w:hAnsi="Symbol" w:eastAsia="Symbol" w:cs="Symbol"/>
          <w:sz w:val="22"/>
        </w:rPr>
      </w:pPr>
      <w:bookmarkStart w:id="5" w:name="page4"/>
      <w:bookmarkEnd w:id="5"/>
      <w:r>
        <w:rPr>
          <w:sz w:val="22"/>
        </w:rPr>
        <w:t>Your account will be assessed a late fee</w:t>
      </w:r>
    </w:p>
    <w:p>
      <w:pPr>
        <w:pStyle w:val="Normal"/>
        <w:spacing w:lineRule="exact" w:line="41"/>
        <w:rPr>
          <w:rFonts w:ascii="Symbol" w:hAnsi="Symbol" w:eastAsia="Symbol" w:cs="Symbol"/>
          <w:sz w:val="22"/>
        </w:rPr>
      </w:pPr>
      <w:r>
        <w:rPr>
          <w:rFonts w:eastAsia="Symbol" w:cs="Symbol" w:ascii="Symbol" w:hAnsi="Symbol"/>
          <w:sz w:val="22"/>
        </w:rPr>
      </w:r>
    </w:p>
    <w:p>
      <w:pPr>
        <w:pStyle w:val="Normal"/>
        <w:numPr>
          <w:ilvl w:val="0"/>
          <w:numId w:val="4"/>
        </w:numPr>
        <w:tabs>
          <w:tab w:val="left" w:pos="720" w:leader="none"/>
        </w:tabs>
        <w:spacing w:lineRule="atLeast" w:line="0"/>
        <w:ind w:hanging="360" w:start="720" w:end="0"/>
        <w:rPr>
          <w:rFonts w:ascii="Symbol" w:hAnsi="Symbol" w:eastAsia="Symbol" w:cs="Symbol"/>
          <w:sz w:val="22"/>
        </w:rPr>
      </w:pPr>
      <w:r>
        <w:rPr>
          <w:sz w:val="22"/>
        </w:rPr>
        <w:t>A block may be placed on your transcript, diploma and registration for future terms</w:t>
      </w:r>
    </w:p>
    <w:p>
      <w:pPr>
        <w:pStyle w:val="Normal"/>
        <w:spacing w:lineRule="exact" w:line="38"/>
        <w:rPr>
          <w:rFonts w:ascii="Symbol" w:hAnsi="Symbol" w:eastAsia="Symbol" w:cs="Symbol"/>
          <w:sz w:val="22"/>
        </w:rPr>
      </w:pPr>
      <w:r>
        <w:rPr>
          <w:rFonts w:eastAsia="Symbol" w:cs="Symbol" w:ascii="Symbol" w:hAnsi="Symbol"/>
          <w:sz w:val="22"/>
        </w:rPr>
      </w:r>
    </w:p>
    <w:p>
      <w:pPr>
        <w:pStyle w:val="Normal"/>
        <w:numPr>
          <w:ilvl w:val="0"/>
          <w:numId w:val="4"/>
        </w:numPr>
        <w:tabs>
          <w:tab w:val="left" w:pos="720" w:leader="none"/>
        </w:tabs>
        <w:spacing w:lineRule="atLeast" w:line="0"/>
        <w:ind w:hanging="360" w:start="720" w:end="0"/>
        <w:rPr>
          <w:rFonts w:ascii="Symbol" w:hAnsi="Symbol" w:eastAsia="Symbol" w:cs="Symbol"/>
          <w:sz w:val="22"/>
        </w:rPr>
      </w:pPr>
      <w:r>
        <w:rPr>
          <w:sz w:val="22"/>
        </w:rPr>
        <w:t>You may be dropped from your scheduled classes</w:t>
      </w:r>
    </w:p>
    <w:p>
      <w:pPr>
        <w:pStyle w:val="Normal"/>
        <w:spacing w:lineRule="exact" w:line="41"/>
        <w:rPr>
          <w:rFonts w:ascii="Symbol" w:hAnsi="Symbol" w:eastAsia="Symbol" w:cs="Symbol"/>
          <w:sz w:val="22"/>
        </w:rPr>
      </w:pPr>
      <w:r>
        <w:rPr>
          <w:rFonts w:eastAsia="Symbol" w:cs="Symbol" w:ascii="Symbol" w:hAnsi="Symbol"/>
          <w:sz w:val="22"/>
        </w:rPr>
      </w:r>
    </w:p>
    <w:p>
      <w:pPr>
        <w:pStyle w:val="Normal"/>
        <w:numPr>
          <w:ilvl w:val="0"/>
          <w:numId w:val="4"/>
        </w:numPr>
        <w:tabs>
          <w:tab w:val="left" w:pos="720" w:leader="none"/>
        </w:tabs>
        <w:spacing w:lineRule="atLeast" w:line="0"/>
        <w:ind w:hanging="360" w:start="720" w:end="0"/>
        <w:rPr>
          <w:rFonts w:ascii="Symbol" w:hAnsi="Symbol" w:eastAsia="Symbol" w:cs="Symbol"/>
          <w:sz w:val="22"/>
        </w:rPr>
      </w:pPr>
      <w:r>
        <w:rPr>
          <w:sz w:val="22"/>
        </w:rPr>
        <w:t>You will not be able to register for future terms</w:t>
      </w:r>
    </w:p>
    <w:p>
      <w:pPr>
        <w:pStyle w:val="Normal"/>
        <w:spacing w:lineRule="exact" w:line="38"/>
        <w:rPr>
          <w:rFonts w:ascii="Symbol" w:hAnsi="Symbol" w:eastAsia="Symbol" w:cs="Symbol"/>
          <w:sz w:val="22"/>
        </w:rPr>
      </w:pPr>
      <w:r>
        <w:rPr>
          <w:rFonts w:eastAsia="Symbol" w:cs="Symbol" w:ascii="Symbol" w:hAnsi="Symbol"/>
          <w:sz w:val="22"/>
        </w:rPr>
      </w:r>
    </w:p>
    <w:p>
      <w:pPr>
        <w:pStyle w:val="Normal"/>
        <w:numPr>
          <w:ilvl w:val="0"/>
          <w:numId w:val="4"/>
        </w:numPr>
        <w:tabs>
          <w:tab w:val="left" w:pos="720" w:leader="none"/>
        </w:tabs>
        <w:spacing w:lineRule="atLeast" w:line="0"/>
        <w:ind w:hanging="360" w:start="720" w:end="0"/>
        <w:rPr>
          <w:rFonts w:ascii="Symbol" w:hAnsi="Symbol" w:eastAsia="Symbol" w:cs="Symbol"/>
          <w:sz w:val="22"/>
        </w:rPr>
      </w:pPr>
      <w:r>
        <w:rPr>
          <w:sz w:val="22"/>
        </w:rPr>
        <w:t>Other collection actions as determined by the University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22"/>
        </w:rPr>
      </w:pPr>
      <w:r>
        <w:rPr>
          <w:b/>
          <w:sz w:val="22"/>
        </w:rPr>
        <w:t>Questions</w:t>
      </w:r>
    </w:p>
    <w:p>
      <w:pPr>
        <w:pStyle w:val="Normal"/>
        <w:spacing w:lineRule="exact" w:line="4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end="260"/>
        <w:rPr/>
      </w:pPr>
      <w:r>
        <w:rPr>
          <w:sz w:val="22"/>
        </w:rPr>
        <w:t>Please send us a message through the MyUCD website at:</w:t>
      </w:r>
      <w:r>
        <w:rPr>
          <w:color w:val="0000FF"/>
          <w:sz w:val="22"/>
        </w:rPr>
        <w:t xml:space="preserve"> </w:t>
      </w:r>
      <w:hyperlink r:id="rId9">
        <w:r>
          <w:rPr>
            <w:rStyle w:val="Hyperlink"/>
            <w:color w:val="0000FF"/>
            <w:sz w:val="22"/>
            <w:u w:val="single"/>
          </w:rPr>
          <w:t>https://students.my.ucdavis.edu</w:t>
        </w:r>
        <w:r>
          <w:rPr>
            <w:rStyle w:val="Hyperlink"/>
            <w:sz w:val="22"/>
            <w:u w:val="single"/>
          </w:rPr>
          <w:t xml:space="preserve"> </w:t>
        </w:r>
      </w:hyperlink>
      <w:r>
        <w:rPr>
          <w:sz w:val="22"/>
        </w:rPr>
        <w:t>or call our office at (530) 752-3646. No agreements can be made over the phone, but our staff will be happy to answer your questions and assist you to signup online.</w:t>
      </w:r>
    </w:p>
    <w:sectPr>
      <w:type w:val="nextPage"/>
      <w:pgSz w:w="12240" w:h="15840"/>
      <w:pgMar w:left="1440" w:right="1440" w:gutter="0" w:header="0" w:top="1432"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decimal"/>
      <w:lvlText w:val="%1."/>
      <w:lvlJc w:val="start"/>
      <w:pPr>
        <w:tabs>
          <w:tab w:val="num" w:pos="0"/>
        </w:tabs>
        <w:ind w:start="0" w:hanging="0"/>
      </w:pPr>
    </w:lvl>
  </w:abstractNum>
  <w:abstractNum w:abstractNumId="4">
    <w:lvl w:ilvl="0">
      <w:start w:val="1"/>
      <w:numFmt w:val="bullet"/>
      <w:lvlText w:val="l"/>
      <w:lvlJc w:val="start"/>
      <w:pPr>
        <w:tabs>
          <w:tab w:val="num" w:pos="0"/>
        </w:tabs>
        <w:ind w:start="0" w:hanging="0"/>
      </w:pPr>
      <w:rPr>
        <w:rFonts w:ascii="Wingdings" w:hAnsi="Wingdings" w:cs="Wingdings"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ybill.ucdavis.edu/" TargetMode="External"/><Relationship Id="rId3" Type="http://schemas.openxmlformats.org/officeDocument/2006/relationships/hyperlink" Target="http://budget.ucdavis.edu/studentfees" TargetMode="External"/><Relationship Id="rId4" Type="http://schemas.openxmlformats.org/officeDocument/2006/relationships/hyperlink" Target="http://registrar.ucdavis.edu/" TargetMode="External"/><Relationship Id="rId5" Type="http://schemas.openxmlformats.org/officeDocument/2006/relationships/hyperlink" Target="http://mybill.ucdavis.edu/" TargetMode="External"/><Relationship Id="rId6" Type="http://schemas.openxmlformats.org/officeDocument/2006/relationships/hyperlink" Target="http://registrar.ucdavis.edu/registration/leave/refunds.cfm" TargetMode="External"/><Relationship Id="rId7" Type="http://schemas.openxmlformats.org/officeDocument/2006/relationships/hyperlink" Target="http://registrar.ucdavis.edu/tuition/non-payment.cfm" TargetMode="External"/><Relationship Id="rId8" Type="http://schemas.openxmlformats.org/officeDocument/2006/relationships/hyperlink" Target="http://registrar.ucdavis.edu/tuition/non-payment.cfm" TargetMode="External"/><Relationship Id="rId9" Type="http://schemas.openxmlformats.org/officeDocument/2006/relationships/hyperlink" Target="https://students.my.ucdavis.edu/"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