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u w:val="single"/>
        </w:rPr>
      </w:pPr>
      <w:bookmarkStart w:id="0" w:name="page1"/>
      <w:bookmarkEnd w:id="0"/>
      <w:r>
        <w:rPr>
          <w:rFonts w:eastAsia="Times New Roman" w:cs="Times New Roman" w:ascii="Times New Roman" w:hAnsi="Times New Roman"/>
          <w:b/>
          <w:sz w:val="24"/>
          <w:u w:val="single"/>
        </w:rPr>
        <w:t>ASSIGNMENT AND ASSUMPTION OF CONTRACT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b/>
          <w:sz w:val="24"/>
        </w:rPr>
        <w:t>THIS ASSIGNMENT AND ASSUMPTION AGREEMENT</w:t>
      </w:r>
      <w:r>
        <w:rPr>
          <w:rFonts w:eastAsia="Times New Roman" w:cs="Times New Roman" w:ascii="Times New Roman" w:hAnsi="Times New Roman"/>
          <w:sz w:val="24"/>
        </w:rPr>
        <w:t xml:space="preserve"> (the “Agreement”) is effective as of October 15, 2013, by and between </w:t>
      </w:r>
      <w:r>
        <w:rPr>
          <w:rFonts w:eastAsia="Times New Roman" w:cs="Times New Roman" w:ascii="Times New Roman" w:hAnsi="Times New Roman"/>
          <w:b/>
          <w:sz w:val="24"/>
        </w:rPr>
        <w:t>INDEPENDENT SCHOOL DISTRICT NO. 19</w:t>
      </w:r>
      <w:r>
        <w:rPr>
          <w:rFonts w:eastAsia="Times New Roman" w:cs="Times New Roman" w:ascii="Times New Roman" w:hAnsi="Times New Roman"/>
          <w:sz w:val="24"/>
        </w:rPr>
        <w:t xml:space="preserve"> </w:t>
      </w:r>
      <w:r>
        <w:rPr>
          <w:rFonts w:eastAsia="Times New Roman" w:cs="Times New Roman" w:ascii="Times New Roman" w:hAnsi="Times New Roman"/>
          <w:b/>
          <w:sz w:val="24"/>
        </w:rPr>
        <w:t>OF CARTER COUNTY, OKLAHOMA, a/k/a ARDMORE CITY SCHOOLS (“District”)</w:t>
      </w:r>
      <w:r>
        <w:rPr>
          <w:rFonts w:eastAsia="Times New Roman" w:cs="Times New Roman" w:ascii="Times New Roman" w:hAnsi="Times New Roman"/>
          <w:sz w:val="24"/>
        </w:rPr>
        <w:t xml:space="preserve"> 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TRIGON  GENERAL  CONTRACTORS  AND  CONSTRUCTION  MANAGERS,  INC.</w:t>
      </w:r>
    </w:p>
    <w:p>
      <w:pPr>
        <w:pStyle w:val="Normal"/>
        <w:spacing w:lineRule="atLeast" w:line="0"/>
        <w:rPr/>
      </w:pPr>
      <w:r>
        <w:rPr>
          <w:rFonts w:eastAsia="Times New Roman" w:cs="Times New Roman" w:ascii="Times New Roman" w:hAnsi="Times New Roman"/>
          <w:b/>
          <w:sz w:val="24"/>
        </w:rPr>
        <w:t>(“Trigon”).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b/>
          <w:sz w:val="24"/>
        </w:rPr>
        <w:t>WHEREAS</w:t>
      </w:r>
      <w:r>
        <w:rPr>
          <w:rFonts w:eastAsia="Times New Roman" w:cs="Times New Roman" w:ascii="Times New Roman" w:hAnsi="Times New Roman"/>
          <w:sz w:val="24"/>
        </w:rPr>
        <w:t>, District and Trigon have entered into an Agreement for Construction Management Services dated as of August 23, 2012 (the “Construction Management Agreement”), pursuant to the terms of which Trigon agreed to accept the assignment of and to assume the District’s obligations under certain Construction Contracts representing the roofing bid package issued in connection with the construction of the Jefferson Elementary Renovation and Addition project.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b/>
          <w:sz w:val="24"/>
        </w:rPr>
        <w:t>NOW, THEREFORE</w:t>
      </w:r>
      <w:r>
        <w:rPr>
          <w:rFonts w:eastAsia="Times New Roman" w:cs="Times New Roman" w:ascii="Times New Roman" w:hAnsi="Times New Roman"/>
          <w:sz w:val="24"/>
        </w:rPr>
        <w:t>, for good and valuable consideration, the receipt and sufficiency of which is hereby acknowledged, District hereby assigns to Trigon, and Trigon hereby assumes and undertakes to pay, perform and discharge all of the obligations of District that accrue from and after the date hereof, which relate to the following described Contracts representing the respective projects: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tbl>
      <w:tblPr>
        <w:tblW w:w="9120" w:type="dxa"/>
        <w:jc w:val="start"/>
        <w:tblInd w:w="0" w:type="dxa"/>
        <w:tblLayout w:type="fixed"/>
        <w:tblCellMar>
          <w:top w:w="0" w:type="dxa"/>
          <w:start w:w="0" w:type="dxa"/>
          <w:bottom w:w="0" w:type="dxa"/>
          <w:end w:w="0" w:type="dxa"/>
        </w:tblCellMar>
      </w:tblPr>
      <w:tblGrid>
        <w:gridCol w:w="320"/>
        <w:gridCol w:w="60"/>
        <w:gridCol w:w="780"/>
        <w:gridCol w:w="2320"/>
        <w:gridCol w:w="120"/>
        <w:gridCol w:w="1040"/>
        <w:gridCol w:w="2740"/>
        <w:gridCol w:w="700"/>
        <w:gridCol w:w="60"/>
        <w:gridCol w:w="760"/>
        <w:gridCol w:w="220"/>
      </w:tblGrid>
      <w:tr>
        <w:trPr>
          <w:trHeight w:val="256" w:hRule="atLeast"/>
        </w:trPr>
        <w:tc>
          <w:tcPr>
            <w:tcW w:w="3480" w:type="dxa"/>
            <w:gridSpan w:val="4"/>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Bid Package</w:t>
            </w:r>
          </w:p>
        </w:tc>
        <w:tc>
          <w:tcPr>
            <w:tcW w:w="12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3780" w:type="dxa"/>
            <w:gridSpan w:val="2"/>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Contractor</w:t>
            </w:r>
          </w:p>
        </w:tc>
        <w:tc>
          <w:tcPr>
            <w:tcW w:w="7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gridSpan w:val="2"/>
            <w:tcBorders/>
          </w:tcPr>
          <w:p>
            <w:pPr>
              <w:pStyle w:val="Normal"/>
              <w:spacing w:lineRule="atLeast" w:line="0"/>
              <w:ind w:end="220"/>
              <w:jc w:val="end"/>
              <w:rPr>
                <w:rFonts w:ascii="Times New Roman" w:hAnsi="Times New Roman" w:eastAsia="Times New Roman" w:cs="Times New Roman"/>
                <w:b/>
                <w:w w:val="96"/>
                <w:sz w:val="22"/>
              </w:rPr>
            </w:pPr>
            <w:r>
              <w:rPr>
                <w:rFonts w:eastAsia="Times New Roman" w:cs="Times New Roman" w:ascii="Times New Roman" w:hAnsi="Times New Roman"/>
                <w:b/>
                <w:w w:val="96"/>
                <w:sz w:val="22"/>
              </w:rPr>
              <w:t>Amount</w:t>
            </w:r>
          </w:p>
        </w:tc>
      </w:tr>
      <w:tr>
        <w:trPr>
          <w:trHeight w:val="23" w:hRule="atLeast"/>
        </w:trPr>
        <w:tc>
          <w:tcPr>
            <w:tcW w:w="320" w:type="dxa"/>
            <w:tcBorders/>
          </w:tcPr>
          <w:p>
            <w:pPr>
              <w:pStyle w:val="Normal"/>
              <w:snapToGrid w:val="false"/>
              <w:spacing w:lineRule="exact" w:line="20"/>
              <w:rPr>
                <w:rFonts w:ascii="Times New Roman" w:hAnsi="Times New Roman" w:eastAsia="Times New Roman" w:cs="Times New Roman"/>
                <w:b/>
                <w:w w:val="96"/>
                <w:sz w:val="1"/>
              </w:rPr>
            </w:pPr>
            <w:r>
              <w:rPr>
                <w:rFonts w:eastAsia="Times New Roman" w:cs="Times New Roman" w:ascii="Times New Roman" w:hAnsi="Times New Roman"/>
                <w:b/>
                <w:w w:val="96"/>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85"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2A</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0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Demolition</w:t>
            </w:r>
          </w:p>
        </w:tc>
        <w:tc>
          <w:tcPr>
            <w:tcW w:w="3900" w:type="dxa"/>
            <w:gridSpan w:val="3"/>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Total Demolition</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53,988.00</w:t>
            </w:r>
          </w:p>
        </w:tc>
      </w:tr>
      <w:tr>
        <w:trPr>
          <w:trHeight w:val="253"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3A</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0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Concrete</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Heritage Concrete</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142,500.00</w:t>
            </w:r>
          </w:p>
        </w:tc>
      </w:tr>
      <w:tr>
        <w:trPr>
          <w:trHeight w:val="253"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4A</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0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Masonry &amp; Reinforcing Steel</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Barnes Masonry</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189,500.00</w:t>
            </w:r>
          </w:p>
        </w:tc>
      </w:tr>
      <w:tr>
        <w:trPr>
          <w:trHeight w:val="252"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5A</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0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Structural Steel</w:t>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Alpha Steel</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89,250.00</w:t>
            </w:r>
          </w:p>
        </w:tc>
      </w:tr>
      <w:tr>
        <w:trPr>
          <w:trHeight w:val="253"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6A</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0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Rough Carpentry</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Rekab</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48,000.00</w:t>
            </w:r>
          </w:p>
        </w:tc>
      </w:tr>
      <w:tr>
        <w:trPr>
          <w:trHeight w:val="253"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6B</w:t>
            </w:r>
          </w:p>
        </w:tc>
        <w:tc>
          <w:tcPr>
            <w:tcW w:w="3160" w:type="dxa"/>
            <w:gridSpan w:val="3"/>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Finish Carp., Casework, Counters</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Arnold Brothers</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89,492.00</w:t>
            </w:r>
          </w:p>
        </w:tc>
      </w:tr>
      <w:tr>
        <w:trPr>
          <w:trHeight w:val="253"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7A</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0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Thermal &amp; Moisture Protection</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All Seasons Roofing</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94,500.00</w:t>
            </w:r>
          </w:p>
        </w:tc>
      </w:tr>
      <w:tr>
        <w:trPr>
          <w:trHeight w:val="253"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8A</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0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Hollow Metal &amp; Tornado Doors</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Felix Thomson</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24,363.00</w:t>
            </w:r>
          </w:p>
        </w:tc>
      </w:tr>
      <w:tr>
        <w:trPr>
          <w:trHeight w:val="252" w:hRule="atLeast"/>
        </w:trPr>
        <w:tc>
          <w:tcPr>
            <w:tcW w:w="3480" w:type="dxa"/>
            <w:gridSpan w:val="4"/>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8B Flush Wood Doors</w:t>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Felix Thomson</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7,788.00</w:t>
            </w:r>
          </w:p>
        </w:tc>
      </w:tr>
      <w:tr>
        <w:trPr>
          <w:trHeight w:val="253"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8D</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0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Aluminum Storefront &amp; Glazing</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Ardmore Construction Supply</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34,900.00</w:t>
            </w:r>
          </w:p>
        </w:tc>
      </w:tr>
      <w:tr>
        <w:trPr>
          <w:trHeight w:val="253" w:hRule="atLeast"/>
        </w:trPr>
        <w:tc>
          <w:tcPr>
            <w:tcW w:w="3480" w:type="dxa"/>
            <w:gridSpan w:val="4"/>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8E Door Hardware</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Felix Thomson</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60,587.00</w:t>
            </w:r>
          </w:p>
        </w:tc>
      </w:tr>
      <w:tr>
        <w:trPr>
          <w:trHeight w:val="253" w:hRule="atLeast"/>
        </w:trPr>
        <w:tc>
          <w:tcPr>
            <w:tcW w:w="3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9A</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0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Drywall &amp; Ceilings</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Wiljo Interiors</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172,440.00</w:t>
            </w:r>
          </w:p>
        </w:tc>
      </w:tr>
      <w:tr>
        <w:trPr>
          <w:trHeight w:val="253" w:hRule="atLeast"/>
        </w:trPr>
        <w:tc>
          <w:tcPr>
            <w:tcW w:w="3480" w:type="dxa"/>
            <w:gridSpan w:val="4"/>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9B Paints &amp; Coatings</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BETT</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49,500.00</w:t>
            </w:r>
          </w:p>
        </w:tc>
      </w:tr>
      <w:tr>
        <w:trPr>
          <w:trHeight w:val="253" w:hRule="atLeast"/>
        </w:trPr>
        <w:tc>
          <w:tcPr>
            <w:tcW w:w="380" w:type="dxa"/>
            <w:gridSpan w:val="2"/>
            <w:tcBorders/>
          </w:tcPr>
          <w:p>
            <w:pPr>
              <w:pStyle w:val="Normal"/>
              <w:spacing w:lineRule="atLeast" w:line="0"/>
              <w:rPr>
                <w:rFonts w:ascii="Times New Roman" w:hAnsi="Times New Roman" w:eastAsia="Times New Roman" w:cs="Times New Roman"/>
                <w:w w:val="94"/>
                <w:sz w:val="22"/>
              </w:rPr>
            </w:pPr>
            <w:r>
              <w:rPr>
                <w:rFonts w:eastAsia="Times New Roman" w:cs="Times New Roman" w:ascii="Times New Roman" w:hAnsi="Times New Roman"/>
                <w:w w:val="94"/>
                <w:sz w:val="22"/>
              </w:rPr>
              <w:t>11A</w:t>
            </w:r>
          </w:p>
        </w:tc>
        <w:tc>
          <w:tcPr>
            <w:tcW w:w="3100" w:type="dxa"/>
            <w:gridSpan w:val="2"/>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Foodservice Equipment</w:t>
            </w:r>
          </w:p>
        </w:tc>
        <w:tc>
          <w:tcPr>
            <w:tcW w:w="3900" w:type="dxa"/>
            <w:gridSpan w:val="3"/>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Oswalt Equipment Co.</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69,934.00</w:t>
            </w:r>
          </w:p>
        </w:tc>
      </w:tr>
      <w:tr>
        <w:trPr>
          <w:trHeight w:val="252" w:hRule="atLeast"/>
        </w:trPr>
        <w:tc>
          <w:tcPr>
            <w:tcW w:w="380" w:type="dxa"/>
            <w:gridSpan w:val="2"/>
            <w:tcBorders/>
          </w:tcPr>
          <w:p>
            <w:pPr>
              <w:pStyle w:val="Normal"/>
              <w:spacing w:lineRule="atLeast" w:line="0"/>
              <w:rPr>
                <w:rFonts w:ascii="Times New Roman" w:hAnsi="Times New Roman" w:eastAsia="Times New Roman" w:cs="Times New Roman"/>
                <w:w w:val="94"/>
                <w:sz w:val="22"/>
              </w:rPr>
            </w:pPr>
            <w:r>
              <w:rPr>
                <w:rFonts w:eastAsia="Times New Roman" w:cs="Times New Roman" w:ascii="Times New Roman" w:hAnsi="Times New Roman"/>
                <w:w w:val="94"/>
                <w:sz w:val="22"/>
              </w:rPr>
              <w:t>21A</w:t>
            </w:r>
          </w:p>
        </w:tc>
        <w:tc>
          <w:tcPr>
            <w:tcW w:w="3100" w:type="dxa"/>
            <w:gridSpan w:val="2"/>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Fire Suppression</w:t>
            </w:r>
          </w:p>
        </w:tc>
        <w:tc>
          <w:tcPr>
            <w:tcW w:w="3900" w:type="dxa"/>
            <w:gridSpan w:val="3"/>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All-American Fire Systems</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58,000.00</w:t>
            </w:r>
          </w:p>
        </w:tc>
      </w:tr>
      <w:tr>
        <w:trPr>
          <w:trHeight w:val="253" w:hRule="atLeast"/>
        </w:trPr>
        <w:tc>
          <w:tcPr>
            <w:tcW w:w="380" w:type="dxa"/>
            <w:gridSpan w:val="2"/>
            <w:tcBorders/>
          </w:tcPr>
          <w:p>
            <w:pPr>
              <w:pStyle w:val="Normal"/>
              <w:spacing w:lineRule="atLeast" w:line="0"/>
              <w:rPr>
                <w:rFonts w:ascii="Times New Roman" w:hAnsi="Times New Roman" w:eastAsia="Times New Roman" w:cs="Times New Roman"/>
                <w:w w:val="94"/>
                <w:sz w:val="22"/>
              </w:rPr>
            </w:pPr>
            <w:r>
              <w:rPr>
                <w:rFonts w:eastAsia="Times New Roman" w:cs="Times New Roman" w:ascii="Times New Roman" w:hAnsi="Times New Roman"/>
                <w:w w:val="94"/>
                <w:sz w:val="22"/>
              </w:rPr>
              <w:t>22A</w:t>
            </w:r>
          </w:p>
        </w:tc>
        <w:tc>
          <w:tcPr>
            <w:tcW w:w="3100" w:type="dxa"/>
            <w:gridSpan w:val="2"/>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Plumbing</w:t>
            </w:r>
          </w:p>
        </w:tc>
        <w:tc>
          <w:tcPr>
            <w:tcW w:w="3900" w:type="dxa"/>
            <w:gridSpan w:val="3"/>
            <w:tcBorders/>
          </w:tcPr>
          <w:p>
            <w:pPr>
              <w:pStyle w:val="Normal"/>
              <w:spacing w:lineRule="atLeast" w:line="0"/>
              <w:ind w:start="120" w:end="0"/>
              <w:rPr/>
            </w:pPr>
            <w:r>
              <w:rPr>
                <w:rFonts w:eastAsia="Times New Roman" w:cs="Times New Roman" w:ascii="Times New Roman" w:hAnsi="Times New Roman"/>
                <w:sz w:val="22"/>
              </w:rPr>
              <w:t>Vernon’s Plumbing, Heating, &amp; A/C</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136,200.00</w:t>
            </w:r>
          </w:p>
        </w:tc>
      </w:tr>
      <w:tr>
        <w:trPr>
          <w:trHeight w:val="253" w:hRule="atLeast"/>
        </w:trPr>
        <w:tc>
          <w:tcPr>
            <w:tcW w:w="380" w:type="dxa"/>
            <w:gridSpan w:val="2"/>
            <w:tcBorders/>
          </w:tcPr>
          <w:p>
            <w:pPr>
              <w:pStyle w:val="Normal"/>
              <w:spacing w:lineRule="atLeast" w:line="0"/>
              <w:rPr>
                <w:rFonts w:ascii="Times New Roman" w:hAnsi="Times New Roman" w:eastAsia="Times New Roman" w:cs="Times New Roman"/>
                <w:w w:val="94"/>
                <w:sz w:val="22"/>
              </w:rPr>
            </w:pPr>
            <w:r>
              <w:rPr>
                <w:rFonts w:eastAsia="Times New Roman" w:cs="Times New Roman" w:ascii="Times New Roman" w:hAnsi="Times New Roman"/>
                <w:w w:val="94"/>
                <w:sz w:val="22"/>
              </w:rPr>
              <w:t>23A</w:t>
            </w:r>
          </w:p>
        </w:tc>
        <w:tc>
          <w:tcPr>
            <w:tcW w:w="3100" w:type="dxa"/>
            <w:gridSpan w:val="2"/>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HVAC</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Allied Service</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126,500.00</w:t>
            </w:r>
          </w:p>
        </w:tc>
      </w:tr>
      <w:tr>
        <w:trPr>
          <w:trHeight w:val="294" w:hRule="atLeast"/>
        </w:trPr>
        <w:tc>
          <w:tcPr>
            <w:tcW w:w="380" w:type="dxa"/>
            <w:gridSpan w:val="2"/>
            <w:tcBorders/>
          </w:tcPr>
          <w:p>
            <w:pPr>
              <w:pStyle w:val="Normal"/>
              <w:spacing w:lineRule="atLeast" w:line="0"/>
              <w:rPr>
                <w:rFonts w:ascii="Times New Roman" w:hAnsi="Times New Roman" w:eastAsia="Times New Roman" w:cs="Times New Roman"/>
                <w:w w:val="94"/>
                <w:sz w:val="22"/>
              </w:rPr>
            </w:pPr>
            <w:r>
              <w:rPr>
                <w:rFonts w:eastAsia="Times New Roman" w:cs="Times New Roman" w:ascii="Times New Roman" w:hAnsi="Times New Roman"/>
                <w:w w:val="94"/>
                <w:sz w:val="22"/>
              </w:rPr>
              <w:t>26A</w:t>
            </w:r>
          </w:p>
        </w:tc>
        <w:tc>
          <w:tcPr>
            <w:tcW w:w="3100" w:type="dxa"/>
            <w:gridSpan w:val="2"/>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Electrical</w:t>
            </w:r>
          </w:p>
        </w:tc>
        <w:tc>
          <w:tcPr>
            <w:tcW w:w="3900" w:type="dxa"/>
            <w:gridSpan w:val="3"/>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Quality Electric</w:t>
            </w:r>
          </w:p>
        </w:tc>
        <w:tc>
          <w:tcPr>
            <w:tcW w:w="70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04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139,420.00</w:t>
            </w:r>
          </w:p>
        </w:tc>
      </w:tr>
    </w:tbl>
    <w:p>
      <w:pPr>
        <w:sectPr>
          <w:type w:val="nextPage"/>
          <w:pgSz w:w="12240" w:h="15840"/>
          <w:pgMar w:left="1300" w:right="1300" w:gutter="0" w:header="0" w:top="1267"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Page 1 of 2</w:t>
      </w:r>
    </w:p>
    <w:p>
      <w:pPr>
        <w:sectPr>
          <w:type w:val="continuous"/>
          <w:pgSz w:w="12240" w:h="15840"/>
          <w:pgMar w:left="1300" w:right="1300" w:gutter="0" w:header="0" w:top="1267" w:footer="0" w:bottom="181"/>
          <w:formProt w:val="false"/>
          <w:textDirection w:val="lrTb"/>
          <w:docGrid w:type="default" w:linePitch="360" w:charSpace="0"/>
        </w:sectPr>
      </w:pPr>
    </w:p>
    <w:p>
      <w:pPr>
        <w:pStyle w:val="Normal"/>
        <w:spacing w:lineRule="auto" w:line="276"/>
        <w:ind w:firstLine="720" w:end="0"/>
        <w:rPr/>
      </w:pPr>
      <w:bookmarkStart w:id="1" w:name="page2"/>
      <w:bookmarkEnd w:id="1"/>
      <w:r>
        <w:rPr>
          <w:rFonts w:eastAsia="Times New Roman" w:cs="Times New Roman" w:ascii="Times New Roman" w:hAnsi="Times New Roman"/>
          <w:sz w:val="24"/>
        </w:rPr>
        <w:t>Copies of the Contract are attached hereto as Exhibit “A”, and incorporated herein by reference.</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720" w:end="0"/>
        <w:rPr>
          <w:rFonts w:ascii="Times New Roman" w:hAnsi="Times New Roman" w:eastAsia="Times New Roman" w:cs="Times New Roman"/>
          <w:sz w:val="24"/>
        </w:rPr>
      </w:pPr>
      <w:r>
        <w:rPr>
          <w:rFonts w:eastAsia="Times New Roman" w:cs="Times New Roman" w:ascii="Times New Roman" w:hAnsi="Times New Roman"/>
          <w:sz w:val="24"/>
        </w:rPr>
        <w:t>This Agreement shall be binding upon, and inure to the benefit of, the parties hereto and their respective successors in interest and permitted assigns.</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720" w:end="0"/>
        <w:rPr/>
      </w:pPr>
      <w:r>
        <w:rPr>
          <w:rFonts w:eastAsia="Times New Roman" w:cs="Times New Roman" w:ascii="Times New Roman" w:hAnsi="Times New Roman"/>
          <w:b/>
          <w:sz w:val="24"/>
        </w:rPr>
        <w:t>IN WITNESS WHEREOF</w:t>
      </w:r>
      <w:r>
        <w:rPr>
          <w:rFonts w:eastAsia="Times New Roman" w:cs="Times New Roman" w:ascii="Times New Roman" w:hAnsi="Times New Roman"/>
          <w:sz w:val="24"/>
        </w:rPr>
        <w:t>, the parties hereto have caused this Agreement to be executed as of the date first above written.</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4320" w:end="480"/>
        <w:rPr>
          <w:rFonts w:ascii="Times New Roman" w:hAnsi="Times New Roman" w:eastAsia="Times New Roman" w:cs="Times New Roman"/>
          <w:b/>
          <w:sz w:val="24"/>
        </w:rPr>
      </w:pPr>
      <w:r>
        <w:rPr>
          <w:rFonts w:eastAsia="Times New Roman" w:cs="Times New Roman" w:ascii="Times New Roman" w:hAnsi="Times New Roman"/>
          <w:b/>
          <w:sz w:val="24"/>
        </w:rPr>
        <w:t>INDEPENDENT SCHOOL DISTRICT NO. 19 OF CARTER COUNTY, OKLAHOMA, a/k/a ARDMORE CITY SCHOOLS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By:</w:t>
      </w:r>
    </w:p>
    <w:p>
      <w:pPr>
        <w:pStyle w:val="Normal"/>
        <w:spacing w:lineRule="atLeast" w:line="0"/>
        <w:ind w:start="5320" w:end="0"/>
        <w:rPr>
          <w:rFonts w:ascii="Times New Roman" w:hAnsi="Times New Roman" w:eastAsia="Times New Roman" w:cs="Times New Roman"/>
          <w:b/>
          <w:sz w:val="24"/>
        </w:rPr>
      </w:pPr>
      <w:r>
        <w:rPr>
          <w:rFonts w:eastAsia="Times New Roman" w:cs="Times New Roman" w:ascii="Times New Roman" w:hAnsi="Times New Roman"/>
          <w:b/>
          <w:sz w:val="24"/>
        </w:rPr>
        <w:t>President of the Board of Education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3050540</wp:posOffset>
                </wp:positionH>
                <wp:positionV relativeFrom="paragraph">
                  <wp:posOffset>-163195</wp:posOffset>
                </wp:positionV>
                <wp:extent cx="2890520" cy="0"/>
                <wp:effectExtent l="0" t="7620" r="0" b="7620"/>
                <wp:wrapNone/>
                <wp:docPr id="1" name=""/>
                <a:graphic xmlns:a="http://schemas.openxmlformats.org/drawingml/2006/main">
                  <a:graphicData uri="http://schemas.microsoft.com/office/word/2010/wordprocessingShape">
                    <wps:wsp>
                      <wps:cNvSpPr/>
                      <wps:spPr>
                        <a:xfrm>
                          <a:off x="0" y="0"/>
                          <a:ext cx="2890440" cy="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240.2pt,-12.85pt" to="467.75pt,-12.85pt" stroked="t" o:allowincell="f" style="position:absolute">
                <v:stroke color="black" weight="147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ATTEST: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___________________________</w:t>
      </w:r>
    </w:p>
    <w:p>
      <w:pPr>
        <w:pStyle w:val="Normal"/>
        <w:spacing w:lineRule="auto" w:line="223"/>
        <w:rPr>
          <w:rFonts w:ascii="Times New Roman" w:hAnsi="Times New Roman" w:eastAsia="Times New Roman" w:cs="Times New Roman"/>
          <w:b/>
          <w:sz w:val="24"/>
        </w:rPr>
      </w:pPr>
      <w:r>
        <w:rPr>
          <w:rFonts w:eastAsia="Times New Roman" w:cs="Times New Roman" w:ascii="Times New Roman" w:hAnsi="Times New Roman"/>
          <w:b/>
          <w:sz w:val="24"/>
        </w:rPr>
        <w:t>Clerk of the Board of Education</w:t>
      </w:r>
    </w:p>
    <w:p>
      <w:pPr>
        <w:pStyle w:val="Normal"/>
        <w:spacing w:lineRule="atLeast" w:line="0"/>
        <w:rPr/>
      </w:pPr>
      <w:r>
        <w:rPr>
          <w:rFonts w:eastAsia="Times New Roman" w:cs="Times New Roman" w:ascii="Times New Roman" w:hAnsi="Times New Roman"/>
          <w:b/>
          <w:sz w:val="24"/>
        </w:rPr>
        <w:t>“</w:t>
      </w:r>
      <w:r>
        <w:rPr>
          <w:rFonts w:eastAsia="Times New Roman" w:cs="Times New Roman" w:ascii="Times New Roman" w:hAnsi="Times New Roman"/>
          <w:b/>
          <w:sz w:val="24"/>
        </w:rPr>
        <w:t>DISTRICT”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firstLine="8" w:start="4320" w:end="0"/>
        <w:rPr>
          <w:rFonts w:ascii="Times New Roman" w:hAnsi="Times New Roman" w:eastAsia="Times New Roman" w:cs="Times New Roman"/>
          <w:b/>
          <w:sz w:val="24"/>
        </w:rPr>
      </w:pPr>
      <w:r>
        <w:rPr>
          <w:rFonts w:eastAsia="Times New Roman" w:cs="Times New Roman" w:ascii="Times New Roman" w:hAnsi="Times New Roman"/>
          <w:b/>
          <w:sz w:val="24"/>
        </w:rPr>
        <w:t>TRIGON GENERAL CONTRACTORS AND CONSTRUCTION MANAGERS, INC.</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By:</w:t>
      </w:r>
    </w:p>
    <w:p>
      <w:pPr>
        <w:pStyle w:val="Normal"/>
        <w:spacing w:lineRule="auto" w:line="223"/>
        <w:ind w:start="6480" w:end="0"/>
        <w:rPr>
          <w:rFonts w:ascii="Times New Roman" w:hAnsi="Times New Roman" w:eastAsia="Times New Roman" w:cs="Times New Roman"/>
          <w:b/>
          <w:sz w:val="24"/>
        </w:rPr>
      </w:pPr>
      <w:r>
        <w:rPr>
          <w:rFonts w:eastAsia="Times New Roman" w:cs="Times New Roman" w:ascii="Times New Roman" w:hAnsi="Times New Roman"/>
          <w:b/>
          <w:sz w:val="24"/>
        </w:rPr>
        <w:t>Vice President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3050540</wp:posOffset>
                </wp:positionH>
                <wp:positionV relativeFrom="paragraph">
                  <wp:posOffset>-152400</wp:posOffset>
                </wp:positionV>
                <wp:extent cx="2890520" cy="0"/>
                <wp:effectExtent l="0" t="7620" r="0" b="7620"/>
                <wp:wrapNone/>
                <wp:docPr id="2" name=""/>
                <a:graphic xmlns:a="http://schemas.openxmlformats.org/drawingml/2006/main">
                  <a:graphicData uri="http://schemas.microsoft.com/office/word/2010/wordprocessingShape">
                    <wps:wsp>
                      <wps:cNvSpPr/>
                      <wps:spPr>
                        <a:xfrm>
                          <a:off x="0" y="0"/>
                          <a:ext cx="2890440" cy="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240.2pt,-12pt" to="467.75pt,-12pt" stroked="t" o:allowincell="f" style="position:absolute">
                <v:stroke color="black" weight="14760" joinstyle="miter" endcap="flat"/>
                <v:fill o:detectmouseclick="t" on="false"/>
                <w10:wrap type="none"/>
              </v:line>
            </w:pict>
          </mc:Fallback>
        </mc:AlternateContent>
      </w:r>
    </w:p>
    <w:p>
      <w:pPr>
        <w:pStyle w:val="Normal"/>
        <w:spacing w:lineRule="atLeast" w:line="0"/>
        <w:ind w:end="-219"/>
        <w:jc w:val="center"/>
        <w:rPr/>
      </w:pPr>
      <w:r>
        <w:rPr>
          <w:rFonts w:eastAsia="Times New Roman" w:cs="Times New Roman" w:ascii="Times New Roman" w:hAnsi="Times New Roman"/>
          <w:b/>
          <w:sz w:val="24"/>
        </w:rPr>
        <w:t>“</w:t>
      </w:r>
      <w:r>
        <w:rPr>
          <w:rFonts w:eastAsia="Times New Roman" w:cs="Times New Roman" w:ascii="Times New Roman" w:hAnsi="Times New Roman"/>
          <w:b/>
          <w:sz w:val="24"/>
        </w:rPr>
        <w:t>TRIGON”</w:t>
      </w:r>
    </w:p>
    <w:p>
      <w:pPr>
        <w:sectPr>
          <w:type w:val="nextPage"/>
          <w:pgSz w:w="12240" w:h="15840"/>
          <w:pgMar w:left="1300" w:right="1300" w:gutter="0" w:header="0" w:top="1268"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Page 2 of 2</w:t>
      </w:r>
    </w:p>
    <w:sectPr>
      <w:type w:val="continuous"/>
      <w:pgSz w:w="12240" w:h="15840"/>
      <w:pgMar w:left="1300" w:right="1300" w:gutter="0" w:header="0" w:top="1268" w:footer="0" w:bottom="18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