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start"/>
        <w:rPr>
          <w:rFonts w:ascii="Century Gothic" w:hAnsi="Century Gothic" w:cs="Century Gothic"/>
          <w:b/>
          <w:sz w:val="20"/>
          <w:lang w:val="en-US" w:eastAsia="en-US"/>
        </w:rPr>
      </w:pPr>
      <w:r>
        <w:rPr>
          <w:rFonts w:cs="Century Gothic" w:ascii="Century Gothic" w:hAnsi="Century Gothic"/>
          <w:b/>
          <w:sz w:val="20"/>
          <w:lang w:val="en-US" w:eastAsia="en-US"/>
        </w:rPr>
        <w:drawing>
          <wp:anchor behindDoc="0" distT="0" distB="0" distL="114935" distR="114935" simplePos="0" locked="0" layoutInCell="1" allowOverlap="1" relativeHeight="2">
            <wp:simplePos x="0" y="0"/>
            <wp:positionH relativeFrom="column">
              <wp:posOffset>0</wp:posOffset>
            </wp:positionH>
            <wp:positionV relativeFrom="paragraph">
              <wp:posOffset>-800100</wp:posOffset>
            </wp:positionV>
            <wp:extent cx="1781810" cy="58420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4" t="-13" r="-4" b="-13"/>
                    <a:stretch>
                      <a:fillRect/>
                    </a:stretch>
                  </pic:blipFill>
                  <pic:spPr bwMode="auto">
                    <a:xfrm>
                      <a:off x="0" y="0"/>
                      <a:ext cx="1781810" cy="584200"/>
                    </a:xfrm>
                    <a:prstGeom prst="rect">
                      <a:avLst/>
                    </a:prstGeom>
                  </pic:spPr>
                </pic:pic>
              </a:graphicData>
            </a:graphic>
          </wp:anchor>
        </w:drawing>
      </w:r>
      <w:r>
        <mc:AlternateContent>
          <mc:Choice Requires="wps">
            <w:drawing>
              <wp:anchor behindDoc="0" distT="0" distB="0" distL="114935" distR="114935" simplePos="0" locked="0" layoutInCell="0" allowOverlap="1" relativeHeight="3">
                <wp:simplePos x="0" y="0"/>
                <wp:positionH relativeFrom="column">
                  <wp:posOffset>2251075</wp:posOffset>
                </wp:positionH>
                <wp:positionV relativeFrom="paragraph">
                  <wp:posOffset>-739140</wp:posOffset>
                </wp:positionV>
                <wp:extent cx="3612515" cy="914400"/>
                <wp:effectExtent l="0" t="0" r="0" b="0"/>
                <wp:wrapTight wrapText="bothSides">
                  <wp:wrapPolygon edited="0">
                    <wp:start x="0" y="0"/>
                    <wp:lineTo x="21600" y="0"/>
                    <wp:lineTo x="21600" y="21600"/>
                    <wp:lineTo x="0" y="21600"/>
                    <wp:lineTo x="0" y="0"/>
                  </wp:wrapPolygon>
                </wp:wrapTight>
                <wp:docPr id="2" name="Frame1"/>
                <a:graphic xmlns:a="http://schemas.openxmlformats.org/drawingml/2006/main">
                  <a:graphicData uri="http://schemas.microsoft.com/office/word/2010/wordprocessingShape">
                    <wps:wsp>
                      <wps:cNvSpPr txBox="1"/>
                      <wps:spPr>
                        <a:xfrm>
                          <a:off x="0" y="0"/>
                          <a:ext cx="3612515" cy="914400"/>
                        </a:xfrm>
                        <a:prstGeom prst="rect"/>
                        <a:solidFill>
                          <a:srgbClr val="FFFFFF">
                            <a:alpha val="0"/>
                          </a:srgbClr>
                        </a:solidFill>
                      </wps:spPr>
                      <wps:txbx>
                        <w:txbxContent>
                          <w:p>
                            <w:pPr>
                              <w:pStyle w:val="Normal"/>
                              <w:jc w:val="center"/>
                              <w:rPr/>
                            </w:pPr>
                            <w:r>
                              <w:rPr>
                                <w:rFonts w:cs="Arial" w:ascii="Arial" w:hAnsi="Arial"/>
                                <w:sz w:val="28"/>
                                <w:szCs w:val="28"/>
                              </w:rPr>
                              <w:t>Amendment to Agreement</w:t>
                            </w:r>
                          </w:p>
                          <w:p>
                            <w:pPr>
                              <w:pStyle w:val="Normal"/>
                              <w:jc w:val="center"/>
                              <w:rPr>
                                <w:rFonts w:ascii="Arial" w:hAnsi="Arial" w:cs="Arial"/>
                                <w:sz w:val="28"/>
                                <w:szCs w:val="28"/>
                              </w:rPr>
                            </w:pPr>
                            <w:r>
                              <w:rPr>
                                <w:rFonts w:cs="Arial" w:ascii="Arial" w:hAnsi="Arial"/>
                                <w:sz w:val="28"/>
                                <w:szCs w:val="28"/>
                              </w:rPr>
                              <w:t>Patient Protection and Affordable Care Act</w:t>
                            </w:r>
                          </w:p>
                          <w:p>
                            <w:pPr>
                              <w:pStyle w:val="Normal"/>
                              <w:jc w:val="center"/>
                              <w:rPr>
                                <w:rFonts w:ascii="Arial" w:hAnsi="Arial" w:cs="Arial"/>
                                <w:sz w:val="28"/>
                                <w:szCs w:val="28"/>
                              </w:rPr>
                            </w:pPr>
                            <w:r>
                              <w:rPr>
                                <w:rFonts w:cs="Arial" w:ascii="Arial" w:hAnsi="Arial"/>
                                <w:sz w:val="28"/>
                                <w:szCs w:val="28"/>
                              </w:rPr>
                            </w:r>
                          </w:p>
                        </w:txbxContent>
                      </wps:txbx>
                      <wps:bodyPr anchor="t" lIns="92075" tIns="92075" rIns="92075" bIns="92075">
                        <a:noAutofit/>
                      </wps:bodyPr>
                    </wps:wsp>
                  </a:graphicData>
                </a:graphic>
              </wp:anchor>
            </w:drawing>
          </mc:Choice>
          <mc:Fallback>
            <w:pict>
              <v:rect fillcolor="#FFFFFF" style="position:absolute;rotation:-0;width:284.45pt;height:72pt;mso-wrap-distance-left:9.05pt;mso-wrap-distance-right:9.05pt;mso-wrap-distance-top:0pt;mso-wrap-distance-bottom:0pt;margin-top:-58.2pt;mso-position-vertical-relative:text;margin-left:177.25pt;mso-position-horizontal-relative:text">
                <v:fill opacity="0f"/>
                <v:textbox inset="0.100694444444444in,0.100694444444444in,0.100694444444444in,0.100694444444444in">
                  <w:txbxContent>
                    <w:p>
                      <w:pPr>
                        <w:pStyle w:val="Normal"/>
                        <w:jc w:val="center"/>
                        <w:rPr/>
                      </w:pPr>
                      <w:r>
                        <w:rPr>
                          <w:rFonts w:cs="Arial" w:ascii="Arial" w:hAnsi="Arial"/>
                          <w:sz w:val="28"/>
                          <w:szCs w:val="28"/>
                        </w:rPr>
                        <w:t>Amendment to Agreement</w:t>
                      </w:r>
                    </w:p>
                    <w:p>
                      <w:pPr>
                        <w:pStyle w:val="Normal"/>
                        <w:jc w:val="center"/>
                        <w:rPr>
                          <w:rFonts w:ascii="Arial" w:hAnsi="Arial" w:cs="Arial"/>
                          <w:sz w:val="28"/>
                          <w:szCs w:val="28"/>
                        </w:rPr>
                      </w:pPr>
                      <w:r>
                        <w:rPr>
                          <w:rFonts w:cs="Arial" w:ascii="Arial" w:hAnsi="Arial"/>
                          <w:sz w:val="28"/>
                          <w:szCs w:val="28"/>
                        </w:rPr>
                        <w:t>Patient Protection and Affordable Care Act</w:t>
                      </w:r>
                    </w:p>
                    <w:p>
                      <w:pPr>
                        <w:pStyle w:val="Normal"/>
                        <w:jc w:val="center"/>
                        <w:rPr>
                          <w:rFonts w:ascii="Arial" w:hAnsi="Arial" w:cs="Arial"/>
                          <w:sz w:val="28"/>
                          <w:szCs w:val="28"/>
                        </w:rPr>
                      </w:pPr>
                      <w:r>
                        <w:rPr>
                          <w:rFonts w:cs="Arial" w:ascii="Arial" w:hAnsi="Arial"/>
                          <w:sz w:val="28"/>
                          <w:szCs w:val="28"/>
                        </w:rPr>
                      </w:r>
                    </w:p>
                  </w:txbxContent>
                </v:textbox>
                <w10:wrap type="square"/>
              </v:rect>
            </w:pict>
          </mc:Fallback>
        </mc:AlternateContent>
      </w:r>
    </w:p>
    <w:p>
      <w:pPr>
        <w:pStyle w:val="Normal"/>
        <w:rPr>
          <w:rFonts w:ascii="Calibri" w:hAnsi="Calibri" w:cs="Calibri"/>
          <w:b/>
          <w:color w:val="000000"/>
          <w:sz w:val="22"/>
          <w:szCs w:val="22"/>
        </w:rPr>
      </w:pPr>
      <w:r>
        <w:rPr>
          <w:rFonts w:cs="Calibri" w:ascii="Calibri" w:hAnsi="Calibri"/>
          <w:b/>
          <w:color w:val="000000"/>
          <w:sz w:val="22"/>
          <w:szCs w:val="22"/>
        </w:rPr>
      </w:r>
    </w:p>
    <w:p>
      <w:pPr>
        <w:pStyle w:val="Normal"/>
        <w:rPr>
          <w:rFonts w:ascii="Calibri" w:hAnsi="Calibri" w:cs="Calibri"/>
          <w:color w:val="000000"/>
          <w:sz w:val="22"/>
          <w:szCs w:val="22"/>
        </w:rPr>
      </w:pPr>
      <w:r>
        <w:rPr>
          <w:rFonts w:cs="Calibri" w:ascii="Calibri" w:hAnsi="Calibri"/>
          <w:color w:val="000000"/>
          <w:sz w:val="22"/>
          <w:szCs w:val="22"/>
        </w:rPr>
        <w:t xml:space="preserve">This Amendment </w:t>
      </w:r>
      <w:r>
        <w:rPr>
          <w:rFonts w:cs="Calibri" w:ascii="Calibri" w:hAnsi="Calibri"/>
          <w:color w:val="FF0000"/>
          <w:sz w:val="22"/>
          <w:szCs w:val="22"/>
        </w:rPr>
        <w:t xml:space="preserve">#___ </w:t>
      </w:r>
      <w:r>
        <w:rPr>
          <w:rFonts w:cs="Calibri" w:ascii="Calibri" w:hAnsi="Calibri"/>
          <w:sz w:val="22"/>
          <w:szCs w:val="22"/>
        </w:rPr>
        <w:t>to Agreement</w:t>
      </w:r>
      <w:r>
        <w:rPr>
          <w:rFonts w:cs="Calibri" w:ascii="Calibri" w:hAnsi="Calibri"/>
          <w:color w:val="FF0000"/>
          <w:sz w:val="22"/>
          <w:szCs w:val="22"/>
        </w:rPr>
        <w:t xml:space="preserve"> #_____</w:t>
      </w:r>
      <w:r>
        <w:rPr>
          <w:rFonts w:cs="Calibri" w:ascii="Calibri" w:hAnsi="Calibri"/>
          <w:sz w:val="22"/>
          <w:szCs w:val="22"/>
        </w:rPr>
        <w:t xml:space="preserve"> (“Agreement”) is entered into between </w:t>
      </w:r>
      <w:r>
        <w:rPr>
          <w:rFonts w:cs="Calibri" w:ascii="Calibri" w:hAnsi="Calibri"/>
          <w:color w:val="000000"/>
          <w:sz w:val="22"/>
          <w:szCs w:val="22"/>
        </w:rPr>
        <w:t>The Regents of the University of California (UC)</w:t>
      </w:r>
      <w:r>
        <w:rPr>
          <w:rFonts w:cs="Calibri" w:ascii="Calibri" w:hAnsi="Calibri"/>
          <w:sz w:val="22"/>
          <w:szCs w:val="22"/>
        </w:rPr>
        <w:t xml:space="preserve"> and Supplier.</w:t>
      </w:r>
    </w:p>
    <w:p>
      <w:pPr>
        <w:pStyle w:val="Normal"/>
        <w:rPr>
          <w:rFonts w:ascii="Calibri" w:hAnsi="Calibri" w:cs="Calibri"/>
          <w:color w:val="000000"/>
          <w:sz w:val="22"/>
          <w:szCs w:val="22"/>
        </w:rPr>
      </w:pPr>
      <w:r>
        <w:rPr>
          <w:rFonts w:cs="Calibri" w:ascii="Calibri" w:hAnsi="Calibri"/>
          <w:color w:val="000000"/>
          <w:sz w:val="22"/>
          <w:szCs w:val="22"/>
        </w:rPr>
      </w:r>
    </w:p>
    <w:p>
      <w:pPr>
        <w:pStyle w:val="Normal"/>
        <w:rPr>
          <w:rFonts w:ascii="Calibri" w:hAnsi="Calibri" w:cs="Calibri"/>
          <w:b/>
          <w:color w:val="000000"/>
          <w:sz w:val="22"/>
          <w:szCs w:val="22"/>
        </w:rPr>
      </w:pPr>
      <w:r>
        <w:rPr>
          <w:rFonts w:cs="Calibri" w:ascii="Calibri" w:hAnsi="Calibri"/>
          <w:b/>
          <w:color w:val="000000"/>
          <w:sz w:val="22"/>
          <w:szCs w:val="22"/>
        </w:rPr>
        <w:t>RECITALS</w:t>
      </w:r>
    </w:p>
    <w:p>
      <w:pPr>
        <w:pStyle w:val="Normal"/>
        <w:rPr>
          <w:rFonts w:ascii="Calibri" w:hAnsi="Calibri" w:cs="Calibri"/>
          <w:color w:val="000000"/>
          <w:sz w:val="22"/>
          <w:szCs w:val="22"/>
        </w:rPr>
      </w:pPr>
      <w:r>
        <w:rPr>
          <w:rFonts w:cs="Calibri" w:ascii="Calibri" w:hAnsi="Calibri"/>
          <w:color w:val="000000"/>
          <w:sz w:val="22"/>
          <w:szCs w:val="22"/>
        </w:rPr>
        <w:t xml:space="preserve">WHEREAS, UC is required to comply with the Patient Protection and Affordable Care Act (PPACA) Employer Shared Responsibility provisions, which have the potential to construe employees of temporary or supplementary staffing firms as being UC employees; </w:t>
      </w:r>
    </w:p>
    <w:p>
      <w:pPr>
        <w:pStyle w:val="Normal"/>
        <w:rPr>
          <w:rFonts w:ascii="Calibri" w:hAnsi="Calibri" w:cs="Calibri"/>
          <w:color w:val="000000"/>
          <w:sz w:val="22"/>
          <w:szCs w:val="22"/>
        </w:rPr>
      </w:pPr>
      <w:r>
        <w:rPr>
          <w:rFonts w:cs="Calibri" w:ascii="Calibri" w:hAnsi="Calibri"/>
          <w:color w:val="000000"/>
          <w:sz w:val="22"/>
          <w:szCs w:val="22"/>
        </w:rPr>
      </w:r>
    </w:p>
    <w:p>
      <w:pPr>
        <w:pStyle w:val="Normal"/>
        <w:rPr>
          <w:rFonts w:ascii="Calibri" w:hAnsi="Calibri" w:cs="Calibri"/>
          <w:color w:val="000000"/>
          <w:sz w:val="22"/>
          <w:szCs w:val="22"/>
        </w:rPr>
      </w:pPr>
      <w:r>
        <w:rPr>
          <w:rFonts w:cs="Calibri" w:ascii="Calibri" w:hAnsi="Calibri"/>
          <w:color w:val="000000"/>
          <w:sz w:val="22"/>
          <w:szCs w:val="22"/>
        </w:rPr>
        <w:t xml:space="preserve">WHEREAS, the Agreement contemplates that Supplier will furnish UC with temporary or supplementary staff; </w:t>
      </w:r>
    </w:p>
    <w:p>
      <w:pPr>
        <w:pStyle w:val="Normal"/>
        <w:rPr>
          <w:rFonts w:ascii="Calibri" w:hAnsi="Calibri" w:cs="Calibri"/>
          <w:color w:val="000000"/>
          <w:sz w:val="22"/>
          <w:szCs w:val="22"/>
        </w:rPr>
      </w:pPr>
      <w:r>
        <w:rPr>
          <w:rFonts w:cs="Calibri" w:ascii="Calibri" w:hAnsi="Calibri"/>
          <w:color w:val="000000"/>
          <w:sz w:val="22"/>
          <w:szCs w:val="22"/>
        </w:rPr>
      </w:r>
    </w:p>
    <w:p>
      <w:pPr>
        <w:pStyle w:val="Normal"/>
        <w:rPr>
          <w:rFonts w:ascii="Calibri" w:hAnsi="Calibri" w:cs="Calibri"/>
          <w:color w:val="000000"/>
          <w:sz w:val="22"/>
          <w:szCs w:val="22"/>
        </w:rPr>
      </w:pPr>
      <w:r>
        <w:rPr>
          <w:rFonts w:cs="Calibri" w:ascii="Calibri" w:hAnsi="Calibri"/>
          <w:color w:val="000000"/>
          <w:sz w:val="22"/>
          <w:szCs w:val="22"/>
        </w:rPr>
        <w:t xml:space="preserve">WHEREAS, the Agreement does not obligate UC to obtain Services from Supplier; and </w:t>
      </w:r>
    </w:p>
    <w:p>
      <w:pPr>
        <w:pStyle w:val="Normal"/>
        <w:rPr>
          <w:rFonts w:ascii="Calibri" w:hAnsi="Calibri" w:cs="Calibri"/>
          <w:color w:val="000000"/>
          <w:sz w:val="22"/>
          <w:szCs w:val="22"/>
        </w:rPr>
      </w:pPr>
      <w:r>
        <w:rPr>
          <w:rFonts w:cs="Calibri" w:ascii="Calibri" w:hAnsi="Calibri"/>
          <w:color w:val="000000"/>
          <w:sz w:val="22"/>
          <w:szCs w:val="22"/>
        </w:rPr>
      </w:r>
    </w:p>
    <w:p>
      <w:pPr>
        <w:pStyle w:val="Normal"/>
        <w:rPr>
          <w:rFonts w:ascii="Calibri" w:hAnsi="Calibri" w:cs="Calibri"/>
          <w:color w:val="000000"/>
          <w:sz w:val="22"/>
          <w:szCs w:val="22"/>
        </w:rPr>
      </w:pPr>
      <w:r>
        <w:rPr>
          <w:rFonts w:cs="Calibri" w:ascii="Calibri" w:hAnsi="Calibri"/>
          <w:color w:val="000000"/>
          <w:sz w:val="22"/>
          <w:szCs w:val="22"/>
        </w:rPr>
        <w:t xml:space="preserve">WHEREAS, UC has determined that the only way to ensure PPACA compliance is to obtain certain representations from its suppliers of temporary or supplementary services.    </w:t>
      </w:r>
    </w:p>
    <w:p>
      <w:pPr>
        <w:pStyle w:val="Normal"/>
        <w:ind w:hanging="360" w:start="360" w:end="0"/>
        <w:rPr>
          <w:rFonts w:ascii="Calibri" w:hAnsi="Calibri" w:cs="Calibri"/>
          <w:color w:val="000000"/>
          <w:sz w:val="22"/>
          <w:szCs w:val="22"/>
        </w:rPr>
      </w:pPr>
      <w:r>
        <w:rPr>
          <w:rFonts w:cs="Calibri" w:ascii="Calibri" w:hAnsi="Calibri"/>
          <w:color w:val="000000"/>
          <w:sz w:val="22"/>
          <w:szCs w:val="22"/>
        </w:rPr>
      </w:r>
    </w:p>
    <w:p>
      <w:pPr>
        <w:pStyle w:val="Normal"/>
        <w:rPr>
          <w:rFonts w:ascii="Calibri" w:hAnsi="Calibri" w:cs="Calibri"/>
          <w:b/>
          <w:color w:val="000000"/>
          <w:sz w:val="22"/>
          <w:szCs w:val="22"/>
        </w:rPr>
      </w:pPr>
      <w:r>
        <w:rPr>
          <w:rFonts w:cs="Calibri" w:ascii="Calibri" w:hAnsi="Calibri"/>
          <w:b/>
          <w:color w:val="000000"/>
          <w:sz w:val="22"/>
          <w:szCs w:val="22"/>
        </w:rPr>
        <w:t>AMENDMENT TO AGREEMENT</w:t>
      </w:r>
    </w:p>
    <w:p>
      <w:pPr>
        <w:pStyle w:val="Normal"/>
        <w:rPr>
          <w:rFonts w:ascii="Calibri" w:hAnsi="Calibri" w:cs="Calibri"/>
          <w:color w:val="000000"/>
          <w:sz w:val="22"/>
          <w:szCs w:val="22"/>
        </w:rPr>
      </w:pPr>
      <w:r>
        <w:rPr>
          <w:rFonts w:cs="Calibri" w:ascii="Calibri" w:hAnsi="Calibri"/>
          <w:color w:val="000000"/>
          <w:sz w:val="22"/>
          <w:szCs w:val="22"/>
        </w:rPr>
        <w:t>NOW, THEREFORE, in consideration of UC continuing to obtain temporary or supplementary staffing from Supplier, Supplier agrees to amend the Agreement as follows:</w:t>
      </w:r>
    </w:p>
    <w:p>
      <w:pPr>
        <w:pStyle w:val="Normal"/>
        <w:rPr>
          <w:rFonts w:ascii="Calibri" w:hAnsi="Calibri" w:cs="Calibri"/>
          <w:color w:val="000000"/>
          <w:sz w:val="22"/>
          <w:szCs w:val="22"/>
        </w:rPr>
      </w:pPr>
      <w:r>
        <w:rPr>
          <w:rFonts w:cs="Calibri" w:ascii="Calibri" w:hAnsi="Calibri"/>
          <w:color w:val="000000"/>
          <w:sz w:val="22"/>
          <w:szCs w:val="22"/>
        </w:rPr>
      </w:r>
    </w:p>
    <w:p>
      <w:pPr>
        <w:pStyle w:val="Normal"/>
        <w:rPr>
          <w:rFonts w:ascii="Calibri" w:hAnsi="Calibri" w:cs="Calibri"/>
          <w:i/>
          <w:i/>
          <w:color w:val="000000"/>
          <w:sz w:val="22"/>
          <w:szCs w:val="22"/>
        </w:rPr>
      </w:pPr>
      <w:r>
        <w:rPr>
          <w:rFonts w:cs="Calibri" w:ascii="Calibri" w:hAnsi="Calibri"/>
          <w:i/>
          <w:color w:val="000000"/>
          <w:sz w:val="22"/>
          <w:szCs w:val="22"/>
        </w:rPr>
        <w:t>Revise the Warranties Article to read in full as follows:</w:t>
      </w:r>
    </w:p>
    <w:p>
      <w:pPr>
        <w:pStyle w:val="Normal"/>
        <w:rPr>
          <w:rFonts w:ascii="Calibri" w:hAnsi="Calibri" w:cs="Calibri"/>
          <w:i/>
          <w:i/>
          <w:color w:val="000000"/>
          <w:sz w:val="22"/>
          <w:szCs w:val="22"/>
        </w:rPr>
      </w:pPr>
      <w:r>
        <w:rPr>
          <w:rFonts w:cs="Calibri" w:ascii="Calibri" w:hAnsi="Calibri"/>
          <w:i/>
          <w:color w:val="000000"/>
          <w:sz w:val="22"/>
          <w:szCs w:val="22"/>
        </w:rPr>
      </w:r>
    </w:p>
    <w:p>
      <w:pPr>
        <w:pStyle w:val="Normal"/>
        <w:rPr>
          <w:rFonts w:ascii="Calibri" w:hAnsi="Calibri" w:cs="Calibri"/>
          <w:color w:val="000000"/>
          <w:sz w:val="22"/>
          <w:szCs w:val="22"/>
        </w:rPr>
      </w:pPr>
      <w:r>
        <w:rPr>
          <w:rFonts w:cs="Calibri" w:ascii="Calibri" w:hAnsi="Calibri"/>
          <w:color w:val="000000"/>
          <w:sz w:val="22"/>
          <w:szCs w:val="22"/>
        </w:rPr>
        <w:t>In addition to the warranties set forth in other Articles of the Agreement, Supplier makes the following warranties.  Supplier acknowledges that failure to comply with any of the warranties in the Agreement will constitute a material breach of the Agreement and UC will have the right to terminate the Agreement without damage, penalty, cost or further obligation.</w:t>
      </w:r>
    </w:p>
    <w:p>
      <w:pPr>
        <w:pStyle w:val="Normal"/>
        <w:numPr>
          <w:ilvl w:val="0"/>
          <w:numId w:val="2"/>
        </w:numPr>
        <w:rPr>
          <w:rFonts w:ascii="Calibri" w:hAnsi="Calibri" w:cs="Calibri"/>
          <w:color w:val="000000"/>
          <w:sz w:val="22"/>
          <w:szCs w:val="22"/>
        </w:rPr>
      </w:pPr>
      <w:bookmarkStart w:id="0" w:name="_DV_M39"/>
      <w:bookmarkEnd w:id="0"/>
      <w:r>
        <w:rPr>
          <w:rFonts w:cs="Calibri" w:ascii="Calibri" w:hAnsi="Calibri"/>
          <w:color w:val="000000"/>
          <w:sz w:val="22"/>
          <w:szCs w:val="22"/>
          <w:u w:val="single"/>
        </w:rPr>
        <w:t>General Warranties</w:t>
      </w:r>
      <w:r>
        <w:rPr>
          <w:rFonts w:cs="Calibri" w:ascii="Calibri" w:hAnsi="Calibri"/>
          <w:color w:val="000000"/>
          <w:sz w:val="22"/>
          <w:szCs w:val="22"/>
        </w:rPr>
        <w:t>.  Supplier agrees that the</w:t>
      </w:r>
      <w:bookmarkStart w:id="1" w:name="_DV_M40"/>
      <w:bookmarkEnd w:id="1"/>
      <w:r>
        <w:rPr>
          <w:rFonts w:cs="Calibri" w:ascii="Calibri" w:hAnsi="Calibri"/>
          <w:color w:val="000000"/>
          <w:sz w:val="22"/>
          <w:szCs w:val="22"/>
        </w:rPr>
        <w:t xml:space="preserve"> Services furnished under the Agreement will be covered by the most favorable warranties Supplier gives to any customer for the same or substantially similar services, or such other more favorable warranties as specified in the Agreement.  The rights and remedies so provided are in addition to and do not limit any rights afforded to UC by any other article of the Agreement.</w:t>
      </w:r>
    </w:p>
    <w:p>
      <w:pPr>
        <w:pStyle w:val="Normal"/>
        <w:numPr>
          <w:ilvl w:val="0"/>
          <w:numId w:val="2"/>
        </w:numPr>
        <w:rPr>
          <w:rFonts w:ascii="Calibri" w:hAnsi="Calibri" w:cs="Calibri"/>
          <w:color w:val="000000"/>
          <w:sz w:val="22"/>
          <w:szCs w:val="22"/>
        </w:rPr>
      </w:pPr>
      <w:bookmarkStart w:id="2" w:name="_DV_M41"/>
      <w:bookmarkEnd w:id="2"/>
      <w:r>
        <w:rPr>
          <w:rFonts w:cs="Calibri" w:ascii="Calibri" w:hAnsi="Calibri"/>
          <w:color w:val="000000"/>
          <w:sz w:val="22"/>
          <w:szCs w:val="22"/>
          <w:u w:val="single"/>
        </w:rPr>
        <w:t>Permits and Licenses</w:t>
      </w:r>
      <w:r>
        <w:rPr>
          <w:rFonts w:cs="Calibri" w:ascii="Calibri" w:hAnsi="Calibri"/>
          <w:color w:val="000000"/>
          <w:sz w:val="22"/>
          <w:szCs w:val="22"/>
        </w:rPr>
        <w:t xml:space="preserve">.  Supplier agrees to procure all necessary permits or licenses and abide by all applicable laws, regulations and ordinances of the United States and of the state, territory and political subdivision or any other country in which the </w:t>
      </w:r>
      <w:bookmarkStart w:id="3" w:name="_DV_M42"/>
      <w:bookmarkEnd w:id="3"/>
      <w:r>
        <w:rPr>
          <w:rFonts w:cs="Calibri" w:ascii="Calibri" w:hAnsi="Calibri"/>
          <w:color w:val="000000"/>
          <w:sz w:val="22"/>
          <w:szCs w:val="22"/>
        </w:rPr>
        <w:t>Services are provided.</w:t>
      </w:r>
    </w:p>
    <w:p>
      <w:pPr>
        <w:pStyle w:val="Normal"/>
        <w:numPr>
          <w:ilvl w:val="0"/>
          <w:numId w:val="2"/>
        </w:numPr>
        <w:rPr>
          <w:rFonts w:ascii="Calibri" w:hAnsi="Calibri" w:cs="Calibri"/>
          <w:color w:val="000000"/>
          <w:sz w:val="22"/>
          <w:szCs w:val="22"/>
        </w:rPr>
      </w:pPr>
      <w:bookmarkStart w:id="4" w:name="_DV_M43"/>
      <w:bookmarkEnd w:id="4"/>
      <w:r>
        <w:rPr>
          <w:rFonts w:cs="Calibri" w:ascii="Calibri" w:hAnsi="Calibri"/>
          <w:color w:val="000000"/>
          <w:sz w:val="22"/>
          <w:szCs w:val="22"/>
          <w:u w:val="single"/>
        </w:rPr>
        <w:t>Federal and State Water and Air Pollution Laws</w:t>
      </w:r>
      <w:r>
        <w:rPr>
          <w:rFonts w:cs="Calibri" w:ascii="Calibri" w:hAnsi="Calibri"/>
          <w:color w:val="000000"/>
          <w:sz w:val="22"/>
          <w:szCs w:val="22"/>
        </w:rPr>
        <w:t xml:space="preserve">.  Where applicable, Supplier warrants that it complies with the requirements in </w:t>
      </w:r>
      <w:hyperlink r:id="rId3">
        <w:bookmarkStart w:id="5" w:name="_DV_C57"/>
        <w:r>
          <w:rPr>
            <w:rStyle w:val="Hyperlink"/>
            <w:rFonts w:cs="Calibri" w:ascii="Calibri" w:hAnsi="Calibri"/>
            <w:sz w:val="22"/>
            <w:szCs w:val="22"/>
          </w:rPr>
          <w:t>UC Business and Finance Bulletin BUS-56 (Materiel Management; Purchases from Entities Violating State or Federal Water or Air Pollution Laws</w:t>
        </w:r>
      </w:hyperlink>
      <w:bookmarkStart w:id="6" w:name="_DV_M44"/>
      <w:bookmarkEnd w:id="5"/>
      <w:bookmarkEnd w:id="6"/>
      <w:r>
        <w:rPr>
          <w:rFonts w:cs="Calibri" w:ascii="Calibri" w:hAnsi="Calibri"/>
          <w:color w:val="000000"/>
          <w:sz w:val="22"/>
          <w:szCs w:val="22"/>
        </w:rPr>
        <w:t xml:space="preserve">).  </w:t>
      </w:r>
      <w:bookmarkStart w:id="7" w:name="_DV_M46"/>
      <w:bookmarkEnd w:id="7"/>
      <w:r>
        <w:rPr>
          <w:rFonts w:cs="Calibri" w:ascii="Calibri" w:hAnsi="Calibri"/>
          <w:color w:val="000000"/>
          <w:sz w:val="22"/>
          <w:szCs w:val="22"/>
        </w:rPr>
        <w:t>Consistent with California Government Code 4477, these requirements do not permit UC to contract with entities in violation of Federal or State water or air pollution laws.</w:t>
      </w:r>
    </w:p>
    <w:p>
      <w:pPr>
        <w:pStyle w:val="Normal"/>
        <w:numPr>
          <w:ilvl w:val="0"/>
          <w:numId w:val="2"/>
        </w:numPr>
        <w:rPr>
          <w:rFonts w:ascii="Calibri" w:hAnsi="Calibri" w:cs="Calibri"/>
          <w:color w:val="000000"/>
          <w:sz w:val="22"/>
          <w:szCs w:val="22"/>
        </w:rPr>
      </w:pPr>
      <w:bookmarkStart w:id="8" w:name="_DV_M47"/>
      <w:bookmarkEnd w:id="8"/>
      <w:r>
        <w:rPr>
          <w:rFonts w:cs="Calibri" w:ascii="Calibri" w:hAnsi="Calibri"/>
          <w:color w:val="000000"/>
          <w:sz w:val="22"/>
          <w:szCs w:val="22"/>
          <w:u w:val="single"/>
        </w:rPr>
        <w:t>Accessibility Requirements</w:t>
      </w:r>
      <w:r>
        <w:rPr>
          <w:rFonts w:cs="Calibri" w:ascii="Calibri" w:hAnsi="Calibri"/>
          <w:color w:val="000000"/>
          <w:sz w:val="22"/>
          <w:szCs w:val="22"/>
        </w:rPr>
        <w:t>.  Supplier warrants that:</w:t>
      </w:r>
    </w:p>
    <w:p>
      <w:pPr>
        <w:pStyle w:val="Normal"/>
        <w:numPr>
          <w:ilvl w:val="1"/>
          <w:numId w:val="2"/>
        </w:numPr>
        <w:rPr>
          <w:rFonts w:ascii="Calibri" w:hAnsi="Calibri" w:cs="Calibri"/>
          <w:color w:val="000000"/>
          <w:sz w:val="22"/>
          <w:szCs w:val="22"/>
        </w:rPr>
      </w:pPr>
      <w:bookmarkStart w:id="9" w:name="_DV_M48"/>
      <w:bookmarkEnd w:id="9"/>
      <w:r>
        <w:rPr>
          <w:rFonts w:cs="Calibri" w:ascii="Calibri" w:hAnsi="Calibri"/>
          <w:color w:val="000000"/>
          <w:sz w:val="22"/>
          <w:szCs w:val="22"/>
        </w:rPr>
        <w:t>It complies with California and federal disabilities laws and regulations; and</w:t>
      </w:r>
    </w:p>
    <w:p>
      <w:pPr>
        <w:pStyle w:val="Normal"/>
        <w:numPr>
          <w:ilvl w:val="1"/>
          <w:numId w:val="2"/>
        </w:numPr>
        <w:rPr>
          <w:rFonts w:ascii="Calibri" w:hAnsi="Calibri" w:cs="Calibri"/>
          <w:color w:val="000000"/>
          <w:sz w:val="22"/>
          <w:szCs w:val="22"/>
        </w:rPr>
      </w:pPr>
      <w:bookmarkStart w:id="10" w:name="_DV_M49"/>
      <w:bookmarkEnd w:id="10"/>
      <w:r>
        <w:rPr>
          <w:rFonts w:cs="Calibri" w:ascii="Calibri" w:hAnsi="Calibri"/>
          <w:color w:val="000000"/>
          <w:sz w:val="22"/>
          <w:szCs w:val="22"/>
        </w:rPr>
        <w:t xml:space="preserve">The </w:t>
      </w:r>
      <w:bookmarkStart w:id="11" w:name="_DV_C59"/>
      <w:r>
        <w:rPr>
          <w:rFonts w:cs="Calibri" w:ascii="Calibri" w:hAnsi="Calibri"/>
          <w:color w:val="000000"/>
          <w:sz w:val="22"/>
          <w:szCs w:val="22"/>
        </w:rPr>
        <w:t>Services</w:t>
      </w:r>
      <w:bookmarkStart w:id="12" w:name="_DV_M50"/>
      <w:bookmarkEnd w:id="11"/>
      <w:bookmarkEnd w:id="12"/>
      <w:r>
        <w:rPr>
          <w:rFonts w:cs="Calibri" w:ascii="Calibri" w:hAnsi="Calibri"/>
          <w:color w:val="000000"/>
          <w:sz w:val="22"/>
          <w:szCs w:val="22"/>
        </w:rPr>
        <w:t xml:space="preserve"> will conform to the accessibility requirements of WCAG 2.0AA.</w:t>
      </w:r>
      <w:bookmarkStart w:id="13" w:name="_DV_M53"/>
      <w:bookmarkStart w:id="14" w:name="_DV_M52"/>
      <w:bookmarkEnd w:id="13"/>
      <w:bookmarkEnd w:id="14"/>
    </w:p>
    <w:p>
      <w:pPr>
        <w:pStyle w:val="Normal"/>
        <w:ind w:start="720" w:end="0"/>
        <w:rPr>
          <w:rFonts w:ascii="Calibri" w:hAnsi="Calibri" w:cs="Calibri"/>
          <w:color w:val="000000"/>
          <w:sz w:val="22"/>
          <w:szCs w:val="22"/>
        </w:rPr>
      </w:pPr>
      <w:r>
        <w:rPr>
          <w:rFonts w:cs="Calibri" w:ascii="Calibri" w:hAnsi="Calibri"/>
          <w:color w:val="000000"/>
          <w:sz w:val="22"/>
          <w:szCs w:val="22"/>
        </w:rPr>
        <w:t xml:space="preserve">Supplier agrees to promptly respond to and resolve any complaint regarding accessibility of its </w:t>
      </w:r>
      <w:bookmarkStart w:id="15" w:name="_DV_C61"/>
      <w:r>
        <w:rPr>
          <w:rFonts w:cs="Calibri" w:ascii="Calibri" w:hAnsi="Calibri"/>
          <w:color w:val="000000"/>
          <w:sz w:val="22"/>
          <w:szCs w:val="22"/>
        </w:rPr>
        <w:t>Services.</w:t>
      </w:r>
      <w:bookmarkStart w:id="16" w:name="_DV_M54"/>
      <w:bookmarkEnd w:id="15"/>
      <w:bookmarkEnd w:id="16"/>
    </w:p>
    <w:p>
      <w:pPr>
        <w:pStyle w:val="Normal"/>
        <w:numPr>
          <w:ilvl w:val="0"/>
          <w:numId w:val="2"/>
        </w:numPr>
        <w:rPr>
          <w:rFonts w:ascii="Calibri" w:hAnsi="Calibri" w:cs="Calibri"/>
          <w:color w:val="000000"/>
          <w:sz w:val="22"/>
          <w:szCs w:val="22"/>
        </w:rPr>
      </w:pPr>
      <w:bookmarkStart w:id="17" w:name="_DV_M55"/>
      <w:bookmarkEnd w:id="17"/>
      <w:r>
        <w:rPr>
          <w:rFonts w:cs="Calibri" w:ascii="Calibri" w:hAnsi="Calibri"/>
          <w:color w:val="000000"/>
          <w:sz w:val="22"/>
          <w:szCs w:val="22"/>
          <w:u w:val="single"/>
        </w:rPr>
        <w:t>Warranty of Quiet Enjoyment</w:t>
      </w:r>
      <w:r>
        <w:rPr>
          <w:rFonts w:cs="Calibri" w:ascii="Calibri" w:hAnsi="Calibri"/>
          <w:color w:val="000000"/>
          <w:sz w:val="22"/>
          <w:szCs w:val="22"/>
        </w:rPr>
        <w:t>.  Supplier warrants that Supplier has the right to use all intellectual property that will be needed to provide the</w:t>
      </w:r>
      <w:bookmarkStart w:id="18" w:name="_DV_M56"/>
      <w:bookmarkEnd w:id="18"/>
      <w:r>
        <w:rPr>
          <w:rFonts w:cs="Calibri" w:ascii="Calibri" w:hAnsi="Calibri"/>
          <w:color w:val="000000"/>
          <w:sz w:val="22"/>
          <w:szCs w:val="22"/>
        </w:rPr>
        <w:t xml:space="preserve"> Services.</w:t>
      </w:r>
    </w:p>
    <w:p>
      <w:pPr>
        <w:pStyle w:val="Normal"/>
        <w:numPr>
          <w:ilvl w:val="0"/>
          <w:numId w:val="2"/>
        </w:numPr>
        <w:rPr>
          <w:rFonts w:ascii="Calibri" w:hAnsi="Calibri" w:cs="Calibri"/>
          <w:color w:val="000000"/>
          <w:sz w:val="22"/>
          <w:szCs w:val="22"/>
        </w:rPr>
      </w:pPr>
      <w:bookmarkStart w:id="19" w:name="_DV_M60"/>
      <w:bookmarkStart w:id="20" w:name="_DV_M57"/>
      <w:bookmarkEnd w:id="19"/>
      <w:bookmarkEnd w:id="20"/>
      <w:r>
        <w:rPr>
          <w:rFonts w:cs="Calibri" w:ascii="Calibri" w:hAnsi="Calibri"/>
          <w:color w:val="000000"/>
          <w:sz w:val="22"/>
          <w:szCs w:val="22"/>
          <w:u w:val="single"/>
        </w:rPr>
        <w:t>California Child Abuse and Neglect Reporting Act ("CANRA")</w:t>
      </w:r>
      <w:r>
        <w:rPr>
          <w:rFonts w:cs="Calibri" w:ascii="Calibri" w:hAnsi="Calibri"/>
          <w:color w:val="000000"/>
          <w:sz w:val="22"/>
          <w:szCs w:val="22"/>
        </w:rPr>
        <w:t>.  Where applicable, Supplier warrants that it complies with CANRA.</w:t>
      </w:r>
    </w:p>
    <w:p>
      <w:pPr>
        <w:pStyle w:val="Normal"/>
        <w:numPr>
          <w:ilvl w:val="0"/>
          <w:numId w:val="2"/>
        </w:numPr>
        <w:overflowPunct w:val="true"/>
        <w:spacing w:before="0" w:after="0"/>
        <w:contextualSpacing/>
        <w:textAlignment w:val="auto"/>
        <w:rPr>
          <w:rFonts w:ascii="Calibri" w:hAnsi="Calibri" w:cs="Calibri"/>
          <w:sz w:val="22"/>
          <w:szCs w:val="22"/>
        </w:rPr>
      </w:pPr>
      <w:r>
        <w:rPr>
          <w:rFonts w:cs="Calibri" w:ascii="Calibri" w:hAnsi="Calibri"/>
          <w:sz w:val="22"/>
          <w:szCs w:val="22"/>
          <w:u w:val="single"/>
        </w:rPr>
        <w:t>Debarment and Suspension</w:t>
      </w:r>
      <w:r>
        <w:rPr>
          <w:rFonts w:cs="Calibri" w:ascii="Calibri" w:hAnsi="Calibri"/>
          <w:sz w:val="22"/>
          <w:szCs w:val="22"/>
        </w:rPr>
        <w:t>. Supplier warrants that it is not presently debarred, suspended, proposed for debarment, or declared ineligible for award of federal contracts or participation in federal assistance programs or activities.</w:t>
      </w:r>
    </w:p>
    <w:p>
      <w:pPr>
        <w:pStyle w:val="Normal"/>
        <w:numPr>
          <w:ilvl w:val="0"/>
          <w:numId w:val="2"/>
        </w:numPr>
        <w:overflowPunct w:val="true"/>
        <w:spacing w:before="0" w:after="0"/>
        <w:contextualSpacing/>
        <w:textAlignment w:val="auto"/>
        <w:rPr>
          <w:rFonts w:ascii="Calibri" w:hAnsi="Calibri" w:cs="Calibri"/>
          <w:sz w:val="22"/>
          <w:szCs w:val="22"/>
        </w:rPr>
      </w:pPr>
      <w:r>
        <w:rPr>
          <w:rFonts w:cs="Calibri" w:ascii="Calibri" w:hAnsi="Calibri"/>
          <w:sz w:val="22"/>
          <w:szCs w:val="22"/>
          <w:u w:val="single"/>
        </w:rPr>
        <w:t>UC Trademark Licensing Code of Conduct</w:t>
      </w:r>
      <w:r>
        <w:rPr>
          <w:rFonts w:cs="Calibri" w:ascii="Calibri" w:hAnsi="Calibri"/>
          <w:sz w:val="22"/>
          <w:szCs w:val="22"/>
        </w:rPr>
        <w:t>. If the Goods will bear UC’s name and/or trademarks, Supplier warrants that it holds a valid license from UC and complies with the UC Code of Conduct for Trademark Licensees, which may be found at ucop.edu.</w:t>
      </w:r>
    </w:p>
    <w:p>
      <w:pPr>
        <w:pStyle w:val="Normal"/>
        <w:rPr>
          <w:rFonts w:ascii="Calibri" w:hAnsi="Calibri" w:cs="Calibri"/>
          <w:color w:val="000000"/>
          <w:sz w:val="22"/>
          <w:szCs w:val="22"/>
        </w:rPr>
      </w:pPr>
      <w:r>
        <w:rPr>
          <w:rFonts w:cs="Calibri" w:ascii="Calibri" w:hAnsi="Calibri"/>
          <w:color w:val="000000"/>
          <w:sz w:val="22"/>
          <w:szCs w:val="22"/>
        </w:rPr>
      </w:r>
    </w:p>
    <w:p>
      <w:pPr>
        <w:pStyle w:val="Normal"/>
        <w:rPr>
          <w:rFonts w:ascii="Calibri" w:hAnsi="Calibri" w:cs="Calibri"/>
          <w:i/>
          <w:i/>
          <w:color w:val="000000"/>
          <w:sz w:val="22"/>
          <w:szCs w:val="22"/>
        </w:rPr>
      </w:pPr>
      <w:r>
        <w:rPr>
          <w:rFonts w:cs="Calibri" w:ascii="Calibri" w:hAnsi="Calibri"/>
          <w:i/>
          <w:color w:val="000000"/>
          <w:sz w:val="22"/>
          <w:szCs w:val="22"/>
        </w:rPr>
        <w:t>Add the following Article to the Agreement, to read in full as follows:</w:t>
      </w:r>
    </w:p>
    <w:p>
      <w:pPr>
        <w:pStyle w:val="Normal"/>
        <w:keepNext w:val="true"/>
        <w:spacing w:before="240" w:after="120"/>
        <w:rPr/>
      </w:pPr>
      <w:r>
        <w:rPr>
          <w:rFonts w:cs="Calibri" w:ascii="Calibri" w:hAnsi="Calibri"/>
          <w:b/>
          <w:sz w:val="22"/>
          <w:szCs w:val="22"/>
        </w:rPr>
        <w:t>PATIENT PROTECTION AND AFFORDABLE CARE ACT (PPACA) EMPLOYER SHARED RESPONSIBILITY</w:t>
      </w:r>
      <w:r>
        <w:rPr>
          <w:rFonts w:cs="Calibri" w:ascii="Calibri" w:hAnsi="Calibri"/>
          <w:sz w:val="22"/>
          <w:szCs w:val="22"/>
        </w:rPr>
        <w:t xml:space="preserve">  </w:t>
      </w:r>
    </w:p>
    <w:p>
      <w:pPr>
        <w:pStyle w:val="Normal"/>
        <w:rPr>
          <w:rFonts w:ascii="Calibri" w:hAnsi="Calibri" w:cs="Calibri"/>
          <w:sz w:val="22"/>
          <w:szCs w:val="22"/>
        </w:rPr>
      </w:pPr>
      <w:r>
        <w:rPr>
          <w:rFonts w:cs="Calibri" w:ascii="Calibri" w:hAnsi="Calibri"/>
          <w:sz w:val="22"/>
          <w:szCs w:val="22"/>
        </w:rPr>
        <w:t>If the Services involve Supplier furnishing UC with temporary or supplementary staffing, Supplier warrants that:</w:t>
      </w:r>
    </w:p>
    <w:p>
      <w:pPr>
        <w:pStyle w:val="Normal"/>
        <w:rPr>
          <w:rFonts w:ascii="Calibri" w:hAnsi="Calibri" w:cs="Calibri"/>
          <w:sz w:val="22"/>
          <w:szCs w:val="22"/>
        </w:rPr>
      </w:pPr>
      <w:r>
        <w:rPr>
          <w:rFonts w:cs="Calibri" w:ascii="Calibri" w:hAnsi="Calibri"/>
          <w:sz w:val="22"/>
          <w:szCs w:val="22"/>
        </w:rPr>
        <w:t>A.  If Supplier is an Applicable Large Employer (as defined under Treasury Regulation Section 54.4980H-1(a)(4)):</w:t>
      </w:r>
    </w:p>
    <w:p>
      <w:pPr>
        <w:pStyle w:val="Normal"/>
        <w:tabs>
          <w:tab w:val="clear" w:pos="720"/>
          <w:tab w:val="left" w:pos="630" w:leader="none"/>
        </w:tabs>
        <w:ind w:firstLine="360" w:end="0"/>
        <w:rPr>
          <w:rFonts w:ascii="Calibri" w:hAnsi="Calibri" w:cs="Calibri"/>
          <w:sz w:val="22"/>
          <w:szCs w:val="22"/>
        </w:rPr>
      </w:pPr>
      <w:r>
        <w:rPr>
          <w:rFonts w:cs="Calibri" w:ascii="Calibri" w:hAnsi="Calibri"/>
          <w:sz w:val="22"/>
          <w:szCs w:val="22"/>
        </w:rPr>
        <w:t>1.</w:t>
        <w:tab/>
        <w:t>Supplier offers health coverage to its full-time employees who are performing Services for UC;</w:t>
      </w:r>
    </w:p>
    <w:p>
      <w:pPr>
        <w:pStyle w:val="Normal"/>
        <w:ind w:hanging="270" w:start="630" w:end="0"/>
        <w:rPr>
          <w:rFonts w:ascii="Calibri" w:hAnsi="Calibri" w:cs="Calibri"/>
          <w:sz w:val="22"/>
          <w:szCs w:val="22"/>
        </w:rPr>
      </w:pPr>
      <w:r>
        <w:rPr>
          <w:rFonts w:cs="Calibri" w:ascii="Calibri" w:hAnsi="Calibri"/>
          <w:sz w:val="22"/>
          <w:szCs w:val="22"/>
        </w:rPr>
        <w:t>2.</w:t>
        <w:tab/>
        <w:t>Supplier’s cost of enrolling such employees in Supplier’s health plan is factored into the fees for the Services; and</w:t>
      </w:r>
    </w:p>
    <w:p>
      <w:pPr>
        <w:pStyle w:val="Normal"/>
        <w:ind w:hanging="270" w:start="630" w:end="0"/>
        <w:rPr>
          <w:rFonts w:ascii="Calibri" w:hAnsi="Calibri" w:cs="Calibri"/>
          <w:sz w:val="22"/>
          <w:szCs w:val="22"/>
        </w:rPr>
      </w:pPr>
      <w:r>
        <w:rPr>
          <w:rFonts w:cs="Calibri" w:ascii="Calibri" w:hAnsi="Calibri"/>
          <w:sz w:val="22"/>
          <w:szCs w:val="22"/>
        </w:rPr>
        <w:t>3.</w:t>
        <w:tab/>
        <w:t>The fees for the Services are higher than what the Services would cost if Supplier did not offer health coverage to such full-time employees.</w:t>
      </w:r>
    </w:p>
    <w:p>
      <w:pPr>
        <w:pStyle w:val="Normal"/>
        <w:rPr>
          <w:rFonts w:ascii="Calibri" w:hAnsi="Calibri" w:cs="Calibri"/>
          <w:sz w:val="22"/>
          <w:szCs w:val="22"/>
        </w:rPr>
      </w:pPr>
      <w:r>
        <w:rPr>
          <w:rFonts w:cs="Calibri" w:ascii="Calibri" w:hAnsi="Calibri"/>
          <w:sz w:val="22"/>
          <w:szCs w:val="22"/>
        </w:rPr>
        <w:t>B.  If Supplier is not an Applicable Large Employer (as defined above):</w:t>
      </w:r>
    </w:p>
    <w:p>
      <w:pPr>
        <w:pStyle w:val="Normal"/>
        <w:ind w:hanging="270" w:start="630" w:end="0"/>
        <w:rPr>
          <w:rFonts w:ascii="Calibri" w:hAnsi="Calibri" w:cs="Calibri"/>
          <w:sz w:val="22"/>
          <w:szCs w:val="22"/>
        </w:rPr>
      </w:pPr>
      <w:r>
        <w:rPr>
          <w:rFonts w:cs="Calibri" w:ascii="Calibri" w:hAnsi="Calibri"/>
          <w:sz w:val="22"/>
          <w:szCs w:val="22"/>
        </w:rPr>
        <w:t xml:space="preserve">1.  Supplier offers group health coverage to its full-time employees who are performing Services for UC and such coverage is considered Minimum Essential Coverage (as defined under Treasury Regulation Section 1-5000A-2) and is Affordable (as defined under Treasury Regulation Section 54.4980H-5(e)); or </w:t>
      </w:r>
    </w:p>
    <w:p>
      <w:pPr>
        <w:pStyle w:val="Normal"/>
        <w:ind w:hanging="270" w:start="630" w:end="0"/>
        <w:rPr>
          <w:rFonts w:ascii="Calibri" w:hAnsi="Calibri" w:cs="Calibri"/>
          <w:sz w:val="22"/>
          <w:szCs w:val="22"/>
        </w:rPr>
      </w:pPr>
      <w:r>
        <w:rPr>
          <w:rFonts w:cs="Calibri" w:ascii="Calibri" w:hAnsi="Calibri"/>
          <w:sz w:val="22"/>
          <w:szCs w:val="22"/>
        </w:rPr>
        <w:t>2.  Supplier’s full-time employees who are performing services for UC have individual coverage and such coverage satisfies the PPACA requirements for mandated individual coverage.</w:t>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t>Supplier acknowledges that UC is relying on these warranties to ensure UC’s compliance with the PPACA Employer Shared Responsibility provision.</w:t>
      </w:r>
    </w:p>
    <w:p>
      <w:pPr>
        <w:pStyle w:val="Normal"/>
        <w:rPr>
          <w:rFonts w:ascii="Calibri" w:hAnsi="Calibri" w:cs="Calibri"/>
          <w:color w:val="000000"/>
          <w:sz w:val="22"/>
          <w:szCs w:val="22"/>
        </w:rPr>
      </w:pPr>
      <w:r>
        <w:rPr>
          <w:rFonts w:cs="Calibri" w:ascii="Calibri" w:hAnsi="Calibri"/>
          <w:color w:val="000000"/>
          <w:sz w:val="22"/>
          <w:szCs w:val="22"/>
        </w:rPr>
      </w:r>
    </w:p>
    <w:p>
      <w:pPr>
        <w:pStyle w:val="Normal"/>
        <w:rPr>
          <w:rFonts w:ascii="Calibri" w:hAnsi="Calibri" w:cs="Calibri"/>
          <w:color w:val="000000"/>
          <w:sz w:val="22"/>
          <w:szCs w:val="22"/>
        </w:rPr>
      </w:pPr>
      <w:r>
        <w:rPr>
          <w:rFonts w:cs="Calibri" w:ascii="Calibri" w:hAnsi="Calibri"/>
          <w:sz w:val="22"/>
          <w:szCs w:val="22"/>
        </w:rPr>
        <w:t>All other terms, conditions and provisions of the Agreement shall remain in full force and effect.</w:t>
      </w:r>
    </w:p>
    <w:p>
      <w:pPr>
        <w:pStyle w:val="Normal"/>
        <w:rPr>
          <w:rFonts w:ascii="Calibri" w:hAnsi="Calibri" w:cs="Calibri"/>
          <w:color w:val="000000"/>
          <w:sz w:val="22"/>
          <w:szCs w:val="22"/>
        </w:rPr>
      </w:pPr>
      <w:r>
        <w:rPr>
          <w:rFonts w:cs="Calibri" w:ascii="Calibri" w:hAnsi="Calibri"/>
          <w:color w:val="000000"/>
          <w:sz w:val="22"/>
          <w:szCs w:val="22"/>
        </w:rPr>
      </w:r>
    </w:p>
    <w:p>
      <w:pPr>
        <w:pStyle w:val="Normal"/>
        <w:rPr/>
      </w:pPr>
      <w:r>
        <w:rPr>
          <w:rFonts w:cs="Calibri" w:ascii="Calibri" w:hAnsi="Calibri"/>
          <w:sz w:val="22"/>
          <w:szCs w:val="22"/>
        </w:rPr>
        <w:t xml:space="preserve">This Amendment is signed by the parties’ duly authorized representatives, and shall be effective as of </w:t>
      </w:r>
      <w:r>
        <w:rPr>
          <w:rFonts w:cs="Calibri" w:ascii="Calibri" w:hAnsi="Calibri"/>
          <w:color w:val="FF0000"/>
          <w:sz w:val="22"/>
          <w:szCs w:val="22"/>
        </w:rPr>
        <w:t>________________________</w:t>
      </w:r>
      <w:r>
        <w:rPr>
          <w:rFonts w:cs="Calibri" w:ascii="Calibri" w:hAnsi="Calibri"/>
          <w:sz w:val="22"/>
          <w:szCs w:val="22"/>
        </w:rPr>
        <w:t>.</w:t>
      </w:r>
    </w:p>
    <w:p>
      <w:pPr>
        <w:pStyle w:val="Normal"/>
        <w:spacing w:before="120" w:after="0"/>
        <w:rPr>
          <w:rFonts w:ascii="Calibri" w:hAnsi="Calibri" w:cs="Calibri"/>
          <w:color w:val="000000"/>
          <w:sz w:val="22"/>
          <w:szCs w:val="22"/>
        </w:rPr>
      </w:pPr>
      <w:r>
        <w:rPr>
          <w:rFonts w:cs="Calibri" w:ascii="Calibri" w:hAnsi="Calibri"/>
          <w:color w:val="000000"/>
          <w:sz w:val="22"/>
          <w:szCs w:val="22"/>
        </w:rPr>
      </w:r>
    </w:p>
    <w:p>
      <w:pPr>
        <w:pStyle w:val="Normal"/>
        <w:rPr>
          <w:rFonts w:ascii="Century Gothic" w:hAnsi="Century Gothic" w:cs="Century Gothic"/>
          <w:color w:val="000000"/>
          <w:sz w:val="20"/>
          <w:szCs w:val="22"/>
        </w:rPr>
      </w:pPr>
      <w:r>
        <w:rPr>
          <w:rFonts w:cs="Century Gothic" w:ascii="Century Gothic" w:hAnsi="Century Gothic"/>
          <w:color w:val="000000"/>
          <w:sz w:val="20"/>
          <w:szCs w:val="22"/>
        </w:rPr>
      </w:r>
    </w:p>
    <w:tbl>
      <w:tblPr>
        <w:tblW w:w="10070" w:type="dxa"/>
        <w:jc w:val="start"/>
        <w:tblInd w:w="0" w:type="dxa"/>
        <w:tblLayout w:type="fixed"/>
        <w:tblCellMar>
          <w:top w:w="0" w:type="dxa"/>
          <w:start w:w="80" w:type="dxa"/>
          <w:bottom w:w="0" w:type="dxa"/>
          <w:end w:w="80" w:type="dxa"/>
        </w:tblCellMar>
      </w:tblPr>
      <w:tblGrid>
        <w:gridCol w:w="620"/>
        <w:gridCol w:w="4410"/>
        <w:gridCol w:w="183"/>
        <w:gridCol w:w="4857"/>
      </w:tblGrid>
      <w:tr>
        <w:trPr>
          <w:trHeight w:val="480" w:hRule="atLeast"/>
          <w:cantSplit w:val="true"/>
        </w:trPr>
        <w:tc>
          <w:tcPr>
            <w:tcW w:w="5030" w:type="dxa"/>
            <w:gridSpan w:val="2"/>
            <w:tcBorders/>
            <w:vAlign w:val="center"/>
          </w:tcPr>
          <w:p>
            <w:pPr>
              <w:pStyle w:val="Normal"/>
              <w:jc w:val="center"/>
              <w:rPr>
                <w:rFonts w:ascii="Century Gothic" w:hAnsi="Century Gothic" w:cs="Century Gothic"/>
                <w:b/>
                <w:color w:val="FF0000"/>
                <w:sz w:val="20"/>
              </w:rPr>
            </w:pPr>
            <w:r>
              <w:rPr>
                <w:rFonts w:cs="Century Gothic" w:ascii="Century Gothic" w:hAnsi="Century Gothic"/>
                <w:b/>
                <w:smallCaps/>
                <w:color w:val="FF0000"/>
                <w:sz w:val="20"/>
              </w:rPr>
              <w:t>[SUPPLIER’S NAME]</w:t>
            </w:r>
          </w:p>
        </w:tc>
        <w:tc>
          <w:tcPr>
            <w:tcW w:w="5040" w:type="dxa"/>
            <w:gridSpan w:val="2"/>
            <w:tcBorders/>
            <w:vAlign w:val="center"/>
          </w:tcPr>
          <w:p>
            <w:pPr>
              <w:pStyle w:val="Normal"/>
              <w:keepNext w:val="true"/>
              <w:numPr>
                <w:ilvl w:val="0"/>
                <w:numId w:val="0"/>
              </w:numPr>
              <w:ind w:start="196" w:end="0"/>
              <w:jc w:val="center"/>
              <w:outlineLvl w:val="0"/>
              <w:rPr>
                <w:rFonts w:ascii="Century Gothic" w:hAnsi="Century Gothic" w:cs="Century Gothic"/>
                <w:b/>
                <w:smallCaps/>
                <w:sz w:val="20"/>
              </w:rPr>
            </w:pPr>
            <w:r>
              <w:rPr>
                <w:rFonts w:cs="Century Gothic" w:ascii="Century Gothic" w:hAnsi="Century Gothic"/>
                <w:b/>
                <w:smallCaps/>
                <w:sz w:val="20"/>
              </w:rPr>
              <w:t>THE REGENTS OF THE</w:t>
            </w:r>
          </w:p>
          <w:p>
            <w:pPr>
              <w:pStyle w:val="Normal"/>
              <w:jc w:val="center"/>
              <w:rPr>
                <w:rFonts w:ascii="Century Gothic" w:hAnsi="Century Gothic" w:cs="Century Gothic"/>
                <w:b/>
                <w:sz w:val="20"/>
              </w:rPr>
            </w:pPr>
            <w:r>
              <w:rPr>
                <w:rFonts w:cs="Century Gothic" w:ascii="Century Gothic" w:hAnsi="Century Gothic"/>
                <w:b/>
                <w:smallCaps/>
                <w:sz w:val="20"/>
              </w:rPr>
              <w:t>UNIVERSITY OF CALIFORNIA</w:t>
            </w:r>
          </w:p>
        </w:tc>
      </w:tr>
      <w:tr>
        <w:trPr>
          <w:trHeight w:val="480" w:hRule="atLeast"/>
          <w:cantSplit w:val="true"/>
        </w:trPr>
        <w:tc>
          <w:tcPr>
            <w:tcW w:w="620" w:type="dxa"/>
            <w:tcBorders/>
            <w:vAlign w:val="bottom"/>
          </w:tcPr>
          <w:p>
            <w:pPr>
              <w:pStyle w:val="Normal"/>
              <w:ind w:start="-90" w:end="-80"/>
              <w:rPr>
                <w:rFonts w:ascii="Century Gothic" w:hAnsi="Century Gothic" w:cs="Century Gothic"/>
                <w:sz w:val="18"/>
                <w:szCs w:val="18"/>
              </w:rPr>
            </w:pPr>
            <w:r>
              <w:rPr>
                <w:rFonts w:cs="Century Gothic" w:ascii="Century Gothic" w:hAnsi="Century Gothic"/>
                <w:sz w:val="18"/>
                <w:szCs w:val="18"/>
              </w:rPr>
              <w:t>By:</w:t>
            </w:r>
          </w:p>
        </w:tc>
        <w:tc>
          <w:tcPr>
            <w:tcW w:w="4410" w:type="dxa"/>
            <w:tcBorders>
              <w:bottom w:val="single" w:sz="4" w:space="0" w:color="000000"/>
            </w:tcBorders>
          </w:tcPr>
          <w:p>
            <w:pPr>
              <w:pStyle w:val="Normal"/>
              <w:snapToGrid w:val="false"/>
              <w:rPr>
                <w:rFonts w:ascii="Century Gothic" w:hAnsi="Century Gothic" w:cs="Century Gothic"/>
                <w:sz w:val="20"/>
                <w:szCs w:val="18"/>
              </w:rPr>
            </w:pPr>
            <w:r>
              <w:rPr>
                <w:rFonts w:cs="Century Gothic" w:ascii="Century Gothic" w:hAnsi="Century Gothic"/>
                <w:sz w:val="20"/>
                <w:szCs w:val="18"/>
              </w:rPr>
            </w:r>
          </w:p>
        </w:tc>
        <w:tc>
          <w:tcPr>
            <w:tcW w:w="183" w:type="dxa"/>
            <w:tcBorders/>
            <w:vAlign w:val="bottom"/>
          </w:tcPr>
          <w:p>
            <w:pPr>
              <w:pStyle w:val="Normal"/>
              <w:snapToGrid w:val="false"/>
              <w:ind w:start="-90" w:end="0"/>
              <w:rPr>
                <w:rFonts w:ascii="Century Gothic" w:hAnsi="Century Gothic" w:cs="Century Gothic"/>
                <w:sz w:val="18"/>
                <w:szCs w:val="18"/>
              </w:rPr>
            </w:pPr>
            <w:r>
              <w:rPr>
                <w:rFonts w:cs="Century Gothic" w:ascii="Century Gothic" w:hAnsi="Century Gothic"/>
                <w:sz w:val="18"/>
                <w:szCs w:val="18"/>
              </w:rPr>
            </w:r>
          </w:p>
        </w:tc>
        <w:tc>
          <w:tcPr>
            <w:tcW w:w="4857" w:type="dxa"/>
            <w:tcBorders>
              <w:bottom w:val="single" w:sz="4" w:space="0" w:color="000000"/>
            </w:tcBorders>
          </w:tcPr>
          <w:p>
            <w:pPr>
              <w:pStyle w:val="Normal"/>
              <w:snapToGrid w:val="false"/>
              <w:rPr>
                <w:rFonts w:ascii="Century Gothic" w:hAnsi="Century Gothic" w:cs="Century Gothic"/>
                <w:sz w:val="20"/>
                <w:szCs w:val="18"/>
              </w:rPr>
            </w:pPr>
            <w:r>
              <w:rPr>
                <w:rFonts w:cs="Century Gothic" w:ascii="Century Gothic" w:hAnsi="Century Gothic"/>
                <w:sz w:val="20"/>
                <w:szCs w:val="18"/>
              </w:rPr>
            </w:r>
          </w:p>
        </w:tc>
      </w:tr>
      <w:tr>
        <w:trPr>
          <w:trHeight w:val="480" w:hRule="atLeast"/>
          <w:cantSplit w:val="true"/>
        </w:trPr>
        <w:tc>
          <w:tcPr>
            <w:tcW w:w="620" w:type="dxa"/>
            <w:tcBorders/>
            <w:vAlign w:val="bottom"/>
          </w:tcPr>
          <w:p>
            <w:pPr>
              <w:pStyle w:val="Normal"/>
              <w:ind w:start="-90" w:end="-80"/>
              <w:rPr>
                <w:rFonts w:ascii="Century Gothic" w:hAnsi="Century Gothic" w:cs="Century Gothic"/>
                <w:sz w:val="18"/>
                <w:szCs w:val="18"/>
              </w:rPr>
            </w:pPr>
            <w:r>
              <w:rPr>
                <w:rFonts w:cs="Century Gothic" w:ascii="Century Gothic" w:hAnsi="Century Gothic"/>
                <w:sz w:val="18"/>
                <w:szCs w:val="18"/>
              </w:rPr>
              <w:t>Name:</w:t>
            </w:r>
          </w:p>
        </w:tc>
        <w:tc>
          <w:tcPr>
            <w:tcW w:w="4410" w:type="dxa"/>
            <w:tcBorders>
              <w:top w:val="single" w:sz="4" w:space="0" w:color="000000"/>
              <w:bottom w:val="single" w:sz="4" w:space="0" w:color="000000"/>
            </w:tcBorders>
          </w:tcPr>
          <w:p>
            <w:pPr>
              <w:pStyle w:val="Normal"/>
              <w:snapToGrid w:val="false"/>
              <w:rPr>
                <w:rFonts w:ascii="Century Gothic" w:hAnsi="Century Gothic" w:cs="Century Gothic"/>
                <w:sz w:val="20"/>
                <w:szCs w:val="18"/>
              </w:rPr>
            </w:pPr>
            <w:r>
              <w:rPr>
                <w:rFonts w:cs="Century Gothic" w:ascii="Century Gothic" w:hAnsi="Century Gothic"/>
                <w:sz w:val="20"/>
                <w:szCs w:val="18"/>
              </w:rPr>
            </w:r>
          </w:p>
        </w:tc>
        <w:tc>
          <w:tcPr>
            <w:tcW w:w="183" w:type="dxa"/>
            <w:tcBorders/>
            <w:vAlign w:val="bottom"/>
          </w:tcPr>
          <w:p>
            <w:pPr>
              <w:pStyle w:val="Normal"/>
              <w:snapToGrid w:val="false"/>
              <w:ind w:start="-90" w:end="0"/>
              <w:rPr>
                <w:rFonts w:ascii="Century Gothic" w:hAnsi="Century Gothic" w:cs="Century Gothic"/>
                <w:sz w:val="18"/>
                <w:szCs w:val="18"/>
              </w:rPr>
            </w:pPr>
            <w:r>
              <w:rPr>
                <w:rFonts w:cs="Century Gothic" w:ascii="Century Gothic" w:hAnsi="Century Gothic"/>
                <w:sz w:val="18"/>
                <w:szCs w:val="18"/>
              </w:rPr>
            </w:r>
          </w:p>
        </w:tc>
        <w:tc>
          <w:tcPr>
            <w:tcW w:w="4857" w:type="dxa"/>
            <w:tcBorders>
              <w:top w:val="single" w:sz="4" w:space="0" w:color="000000"/>
              <w:bottom w:val="single" w:sz="4" w:space="0" w:color="000000"/>
            </w:tcBorders>
          </w:tcPr>
          <w:p>
            <w:pPr>
              <w:pStyle w:val="Normal"/>
              <w:snapToGrid w:val="false"/>
              <w:rPr>
                <w:rFonts w:ascii="Century Gothic" w:hAnsi="Century Gothic" w:cs="Century Gothic"/>
                <w:sz w:val="20"/>
                <w:szCs w:val="18"/>
              </w:rPr>
            </w:pPr>
            <w:r>
              <w:rPr>
                <w:rFonts w:cs="Century Gothic" w:ascii="Century Gothic" w:hAnsi="Century Gothic"/>
                <w:sz w:val="20"/>
                <w:szCs w:val="18"/>
              </w:rPr>
            </w:r>
          </w:p>
        </w:tc>
      </w:tr>
      <w:tr>
        <w:trPr>
          <w:trHeight w:val="480" w:hRule="atLeast"/>
          <w:cantSplit w:val="true"/>
        </w:trPr>
        <w:tc>
          <w:tcPr>
            <w:tcW w:w="620" w:type="dxa"/>
            <w:tcBorders/>
            <w:vAlign w:val="bottom"/>
          </w:tcPr>
          <w:p>
            <w:pPr>
              <w:pStyle w:val="Normal"/>
              <w:ind w:start="-90" w:end="-80"/>
              <w:rPr>
                <w:rFonts w:ascii="Century Gothic" w:hAnsi="Century Gothic" w:cs="Century Gothic"/>
                <w:sz w:val="18"/>
                <w:szCs w:val="18"/>
              </w:rPr>
            </w:pPr>
            <w:r>
              <w:rPr>
                <w:rFonts w:cs="Century Gothic" w:ascii="Century Gothic" w:hAnsi="Century Gothic"/>
                <w:sz w:val="18"/>
                <w:szCs w:val="18"/>
              </w:rPr>
              <w:t>Title:</w:t>
            </w:r>
          </w:p>
        </w:tc>
        <w:tc>
          <w:tcPr>
            <w:tcW w:w="4410" w:type="dxa"/>
            <w:tcBorders>
              <w:top w:val="single" w:sz="4" w:space="0" w:color="000000"/>
              <w:bottom w:val="single" w:sz="4" w:space="0" w:color="000000"/>
            </w:tcBorders>
          </w:tcPr>
          <w:p>
            <w:pPr>
              <w:pStyle w:val="Normal"/>
              <w:snapToGrid w:val="false"/>
              <w:rPr>
                <w:rFonts w:ascii="Century Gothic" w:hAnsi="Century Gothic" w:cs="Century Gothic"/>
                <w:sz w:val="20"/>
                <w:szCs w:val="18"/>
              </w:rPr>
            </w:pPr>
            <w:r>
              <w:rPr>
                <w:rFonts w:cs="Century Gothic" w:ascii="Century Gothic" w:hAnsi="Century Gothic"/>
                <w:sz w:val="20"/>
                <w:szCs w:val="18"/>
              </w:rPr>
            </w:r>
          </w:p>
        </w:tc>
        <w:tc>
          <w:tcPr>
            <w:tcW w:w="183" w:type="dxa"/>
            <w:tcBorders/>
            <w:vAlign w:val="bottom"/>
          </w:tcPr>
          <w:p>
            <w:pPr>
              <w:pStyle w:val="Normal"/>
              <w:snapToGrid w:val="false"/>
              <w:ind w:start="-90" w:end="0"/>
              <w:rPr>
                <w:rFonts w:ascii="Century Gothic" w:hAnsi="Century Gothic" w:cs="Century Gothic"/>
                <w:sz w:val="18"/>
                <w:szCs w:val="18"/>
              </w:rPr>
            </w:pPr>
            <w:r>
              <w:rPr>
                <w:rFonts w:cs="Century Gothic" w:ascii="Century Gothic" w:hAnsi="Century Gothic"/>
                <w:sz w:val="18"/>
                <w:szCs w:val="18"/>
              </w:rPr>
            </w:r>
          </w:p>
        </w:tc>
        <w:tc>
          <w:tcPr>
            <w:tcW w:w="4857" w:type="dxa"/>
            <w:tcBorders>
              <w:top w:val="single" w:sz="4" w:space="0" w:color="000000"/>
              <w:bottom w:val="single" w:sz="4" w:space="0" w:color="000000"/>
            </w:tcBorders>
          </w:tcPr>
          <w:p>
            <w:pPr>
              <w:pStyle w:val="Normal"/>
              <w:snapToGrid w:val="false"/>
              <w:rPr>
                <w:rFonts w:ascii="Century Gothic" w:hAnsi="Century Gothic" w:cs="Century Gothic"/>
                <w:sz w:val="20"/>
                <w:szCs w:val="18"/>
              </w:rPr>
            </w:pPr>
            <w:r>
              <w:rPr>
                <w:rFonts w:cs="Century Gothic" w:ascii="Century Gothic" w:hAnsi="Century Gothic"/>
                <w:sz w:val="20"/>
                <w:szCs w:val="18"/>
              </w:rPr>
            </w:r>
          </w:p>
        </w:tc>
      </w:tr>
      <w:tr>
        <w:trPr>
          <w:trHeight w:val="480" w:hRule="atLeast"/>
          <w:cantSplit w:val="true"/>
        </w:trPr>
        <w:tc>
          <w:tcPr>
            <w:tcW w:w="620" w:type="dxa"/>
            <w:tcBorders/>
            <w:vAlign w:val="bottom"/>
          </w:tcPr>
          <w:p>
            <w:pPr>
              <w:pStyle w:val="Normal"/>
              <w:ind w:start="-90" w:end="-80"/>
              <w:rPr>
                <w:rFonts w:ascii="Century Gothic" w:hAnsi="Century Gothic" w:cs="Century Gothic"/>
                <w:sz w:val="18"/>
                <w:szCs w:val="18"/>
              </w:rPr>
            </w:pPr>
            <w:r>
              <w:rPr>
                <w:rFonts w:cs="Century Gothic" w:ascii="Century Gothic" w:hAnsi="Century Gothic"/>
                <w:sz w:val="18"/>
                <w:szCs w:val="18"/>
              </w:rPr>
              <w:t>Date:</w:t>
            </w:r>
          </w:p>
        </w:tc>
        <w:tc>
          <w:tcPr>
            <w:tcW w:w="4410" w:type="dxa"/>
            <w:tcBorders>
              <w:top w:val="single" w:sz="4" w:space="0" w:color="000000"/>
              <w:bottom w:val="single" w:sz="4" w:space="0" w:color="000000"/>
            </w:tcBorders>
          </w:tcPr>
          <w:p>
            <w:pPr>
              <w:pStyle w:val="Normal"/>
              <w:snapToGrid w:val="false"/>
              <w:rPr>
                <w:rFonts w:ascii="Century Gothic" w:hAnsi="Century Gothic" w:cs="Century Gothic"/>
                <w:sz w:val="20"/>
                <w:szCs w:val="18"/>
              </w:rPr>
            </w:pPr>
            <w:r>
              <w:rPr>
                <w:rFonts w:cs="Century Gothic" w:ascii="Century Gothic" w:hAnsi="Century Gothic"/>
                <w:sz w:val="20"/>
                <w:szCs w:val="18"/>
              </w:rPr>
            </w:r>
          </w:p>
        </w:tc>
        <w:tc>
          <w:tcPr>
            <w:tcW w:w="183" w:type="dxa"/>
            <w:tcBorders/>
            <w:vAlign w:val="bottom"/>
          </w:tcPr>
          <w:p>
            <w:pPr>
              <w:pStyle w:val="Normal"/>
              <w:snapToGrid w:val="false"/>
              <w:ind w:start="-90" w:end="0"/>
              <w:rPr>
                <w:rFonts w:ascii="Century Gothic" w:hAnsi="Century Gothic" w:cs="Century Gothic"/>
                <w:sz w:val="18"/>
                <w:szCs w:val="18"/>
              </w:rPr>
            </w:pPr>
            <w:r>
              <w:rPr>
                <w:rFonts w:cs="Century Gothic" w:ascii="Century Gothic" w:hAnsi="Century Gothic"/>
                <w:sz w:val="18"/>
                <w:szCs w:val="18"/>
              </w:rPr>
            </w:r>
          </w:p>
        </w:tc>
        <w:tc>
          <w:tcPr>
            <w:tcW w:w="4857" w:type="dxa"/>
            <w:tcBorders>
              <w:top w:val="single" w:sz="4" w:space="0" w:color="000000"/>
              <w:bottom w:val="single" w:sz="4" w:space="0" w:color="000000"/>
            </w:tcBorders>
          </w:tcPr>
          <w:p>
            <w:pPr>
              <w:pStyle w:val="Normal"/>
              <w:snapToGrid w:val="false"/>
              <w:rPr>
                <w:rFonts w:ascii="Century Gothic" w:hAnsi="Century Gothic" w:cs="Century Gothic"/>
                <w:sz w:val="20"/>
                <w:szCs w:val="18"/>
              </w:rPr>
            </w:pPr>
            <w:r>
              <w:rPr>
                <w:rFonts w:cs="Century Gothic" w:ascii="Century Gothic" w:hAnsi="Century Gothic"/>
                <w:sz w:val="20"/>
                <w:szCs w:val="18"/>
              </w:rPr>
            </w:r>
          </w:p>
        </w:tc>
      </w:tr>
    </w:tbl>
    <w:p>
      <w:pPr>
        <w:pStyle w:val="Normal"/>
        <w:rPr>
          <w:rFonts w:ascii="Century Gothic" w:hAnsi="Century Gothic" w:cs="Century Gothic"/>
          <w:sz w:val="20"/>
        </w:rPr>
      </w:pPr>
      <w:r>
        <w:rPr>
          <w:rFonts w:cs="Century Gothic" w:ascii="Century Gothic" w:hAnsi="Century Gothic"/>
          <w:sz w:val="20"/>
        </w:rPr>
      </w:r>
    </w:p>
    <w:p>
      <w:pPr>
        <w:pStyle w:val="Normal"/>
        <w:rPr>
          <w:rFonts w:ascii="Century Gothic" w:hAnsi="Century Gothic" w:cs="Century Gothic"/>
          <w:b/>
          <w:sz w:val="20"/>
        </w:rPr>
      </w:pPr>
      <w:r>
        <w:rPr>
          <w:rFonts w:cs="Century Gothic" w:ascii="Century Gothic" w:hAnsi="Century Gothic"/>
          <w:b/>
          <w:sz w:val="20"/>
        </w:rPr>
      </w:r>
    </w:p>
    <w:sectPr>
      <w:footerReference w:type="default" r:id="rId4"/>
      <w:type w:val="nextPage"/>
      <w:pgSz w:w="12240" w:h="15840"/>
      <w:pgMar w:left="1080" w:right="1080" w:gutter="0" w:header="0" w:top="1440" w:footer="720" w:bottom="108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mbria">
    <w:charset w:val="00" w:characterSet="windows-1252"/>
    <w:family w:val="roman"/>
    <w:pitch w:val="variable"/>
  </w:font>
  <w:font w:name="Courier New">
    <w:charset w:val="00" w:characterSet="windows-1252"/>
    <w:family w:val="modern"/>
    <w:pitch w:val="default"/>
  </w:font>
  <w:font w:name="Wingdings">
    <w:charset w:val="02"/>
    <w:family w:val="auto"/>
    <w:pitch w:val="variable"/>
  </w:font>
  <w:font w:name="Tahoma">
    <w:charset w:val="00" w:characterSet="windows-1252"/>
    <w:family w:val="swiss"/>
    <w:pitch w:val="variable"/>
  </w:font>
  <w:font w:name="Liberation Sans">
    <w:altName w:val="Arial"/>
    <w:charset w:val="01" w:characterSet="utf-8"/>
    <w:family w:val="swiss"/>
    <w:pitch w:val="variable"/>
  </w:font>
  <w:font w:name="Times">
    <w:altName w:val="Times New Roman"/>
    <w:charset w:val="00" w:characterSet="windows-1252"/>
    <w:family w:val="roman"/>
    <w:pitch w:val="variable"/>
  </w:font>
  <w:font w:name="Century Gothic">
    <w:charset w:val="00" w:characterSet="windows-1252"/>
    <w:family w:val="swiss"/>
    <w:pitch w:val="variable"/>
  </w:font>
  <w:font w:name="Calibri">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40" w:after="0"/>
      <w:jc w:val="end"/>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sz w:val="18"/>
        <w:szCs w:val="18"/>
      </w:rPr>
      <w:t>3</w:t>
    </w:r>
    <w:r>
      <w:rPr>
        <w:sz w:val="18"/>
        <w:szCs w:val="18"/>
      </w:rPr>
      <w:fldChar w:fldCharType="end"/>
    </w:r>
    <w:r>
      <w:rPr>
        <w:sz w:val="18"/>
        <w:szCs w:val="18"/>
      </w:rPr>
      <w:t xml:space="preserve"> of </w:t>
    </w:r>
    <w:r>
      <w:rPr>
        <w:sz w:val="18"/>
        <w:szCs w:val="18"/>
      </w:rPr>
      <w:fldChar w:fldCharType="begin"/>
    </w:r>
    <w:r>
      <w:rPr>
        <w:sz w:val="18"/>
        <w:szCs w:val="18"/>
      </w:rPr>
      <w:instrText xml:space="preserve"> NUMPAGES \* ARABIC </w:instrText>
    </w:r>
    <w:r>
      <w:rPr>
        <w:sz w:val="18"/>
        <w:szCs w:val="18"/>
      </w:rPr>
      <w:fldChar w:fldCharType="separate"/>
    </w:r>
    <w:r>
      <w:rPr>
        <w:sz w:val="18"/>
        <w:szCs w:val="18"/>
      </w:rPr>
      <w:t>3</w:t>
    </w:r>
    <w:r>
      <w:rPr>
        <w:sz w:val="18"/>
        <w:szCs w:val="18"/>
      </w:rPr>
      <w:fldChar w:fldCharType="end"/>
    </w:r>
  </w:p>
  <w:p>
    <w:pPr>
      <w:pStyle w:val="Footer"/>
      <w:jc w:val="start"/>
      <w:rPr/>
    </w:pPr>
    <w:r>
      <w:rPr>
        <w:sz w:val="18"/>
        <w:szCs w:val="18"/>
      </w:rPr>
      <w:t>Template revised on 10/15/15</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upperLetter"/>
      <w:lvlText w:val="%1."/>
      <w:lvlJc w:val="start"/>
      <w:pPr>
        <w:tabs>
          <w:tab w:val="num" w:pos="0"/>
        </w:tabs>
        <w:ind w:start="720" w:hanging="360"/>
      </w:pPr>
    </w:lvl>
    <w:lvl w:ilvl="1">
      <w:start w:val="1"/>
      <w:numFmt w:val="decimal"/>
      <w:lvlText w:val="%2."/>
      <w:lvlJc w:val="start"/>
      <w:pPr>
        <w:tabs>
          <w:tab w:val="num" w:pos="0"/>
        </w:tabs>
        <w:ind w:start="1440" w:hanging="360"/>
      </w:pPr>
    </w:lvl>
    <w:lvl w:ilvl="2">
      <w:start w:val="1"/>
      <w:numFmt w:val="lowerRoman"/>
      <w:lvlText w:val="%3."/>
      <w:lvlJc w:val="end"/>
      <w:pPr>
        <w:tabs>
          <w:tab w:val="num" w:pos="0"/>
        </w:tabs>
        <w:ind w:start="2160" w:hanging="180"/>
      </w:pPr>
    </w:lvl>
    <w:lvl w:ilvl="3">
      <w:start w:val="1"/>
      <w:numFmt w:val="decimal"/>
      <w:lvlText w:val="%4."/>
      <w:lvlJc w:val="start"/>
      <w:pPr>
        <w:tabs>
          <w:tab w:val="num" w:pos="0"/>
        </w:tabs>
        <w:ind w:start="2880" w:hanging="360"/>
      </w:pPr>
    </w:lvl>
    <w:lvl w:ilvl="4">
      <w:start w:val="1"/>
      <w:numFmt w:val="lowerLetter"/>
      <w:lvlText w:val="%5."/>
      <w:lvlJc w:val="start"/>
      <w:pPr>
        <w:tabs>
          <w:tab w:val="num" w:pos="0"/>
        </w:tabs>
        <w:ind w:start="3600" w:hanging="360"/>
      </w:pPr>
    </w:lvl>
    <w:lvl w:ilvl="5">
      <w:start w:val="1"/>
      <w:numFmt w:val="lowerRoman"/>
      <w:lvlText w:val="%6."/>
      <w:lvlJc w:val="end"/>
      <w:pPr>
        <w:tabs>
          <w:tab w:val="num" w:pos="0"/>
        </w:tabs>
        <w:ind w:start="4320" w:hanging="180"/>
      </w:pPr>
    </w:lvl>
    <w:lvl w:ilvl="6">
      <w:start w:val="1"/>
      <w:numFmt w:val="decimal"/>
      <w:lvlText w:val="%7."/>
      <w:lvlJc w:val="start"/>
      <w:pPr>
        <w:tabs>
          <w:tab w:val="num" w:pos="0"/>
        </w:tabs>
        <w:ind w:start="5040" w:hanging="360"/>
      </w:pPr>
    </w:lvl>
    <w:lvl w:ilvl="7">
      <w:start w:val="1"/>
      <w:numFmt w:val="lowerLetter"/>
      <w:lvlText w:val="%8."/>
      <w:lvlJc w:val="start"/>
      <w:pPr>
        <w:tabs>
          <w:tab w:val="num" w:pos="0"/>
        </w:tabs>
        <w:ind w:start="5760" w:hanging="360"/>
      </w:pPr>
    </w:lvl>
    <w:lvl w:ilvl="8">
      <w:start w:val="1"/>
      <w:numFmt w:val="lowerRoman"/>
      <w:lvlText w:val="%9."/>
      <w:lvlJc w:val="end"/>
      <w:pPr>
        <w:tabs>
          <w:tab w:val="num" w:pos="0"/>
        </w:tabs>
        <w:ind w:start="6480" w:hanging="180"/>
      </w:pPr>
    </w:lvl>
  </w:abstractNum>
  <w:num w:numId="1">
    <w:abstractNumId w:val="1"/>
  </w:num>
  <w:num w:numId="2">
    <w:abstractNumId w:val="2"/>
  </w:num>
</w:numbering>
</file>

<file path=word/settings.xml><?xml version="1.0" encoding="utf-8"?>
<w:settings xmlns:w="http://schemas.openxmlformats.org/wordprocessingml/2006/main">
  <w:zoom w:percent="90"/>
  <w:defaultTabStop w:val="720"/>
  <w:autoHyphenation w:val="true"/>
  <w:compat>
    <w:compatSetting w:name="compatibilityMode" w:uri="http://schemas.microsoft.com/office/word" w:val="11"/>
  </w:compat>
  <w:docVars>
    <w:docVar w:name="NewDocStampType" w:val="1"/>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overflowPunct w:val="false"/>
      <w:autoSpaceDE w:val="false"/>
      <w:bidi w:val="0"/>
      <w:jc w:val="both"/>
      <w:textAlignment w:val="baseline"/>
    </w:pPr>
    <w:rPr>
      <w:rFonts w:ascii="Times New Roman" w:hAnsi="Times New Roman" w:eastAsia="Times New Roman" w:cs="Times New Roman"/>
      <w:color w:val="auto"/>
      <w:sz w:val="24"/>
      <w:szCs w:val="20"/>
      <w:lang w:val="en-US" w:bidi="ar-SA" w:eastAsia="zh-CN"/>
    </w:rPr>
  </w:style>
  <w:style w:type="paragraph" w:styleId="Heading1">
    <w:name w:val="Heading 1"/>
    <w:basedOn w:val="Normal"/>
    <w:next w:val="Normal"/>
    <w:qFormat/>
    <w:pPr>
      <w:keepNext w:val="true"/>
      <w:numPr>
        <w:ilvl w:val="0"/>
        <w:numId w:val="1"/>
      </w:numPr>
      <w:spacing w:before="240" w:after="60"/>
      <w:outlineLvl w:val="0"/>
    </w:pPr>
    <w:rPr>
      <w:rFonts w:ascii="Cambria" w:hAnsi="Cambria" w:eastAsia="Times New Roman" w:cs="Times New Roman"/>
      <w:b/>
      <w:bCs/>
      <w:kern w:val="2"/>
      <w:sz w:val="32"/>
      <w:szCs w:val="32"/>
    </w:rPr>
  </w:style>
  <w:style w:type="paragraph" w:styleId="Heading2">
    <w:name w:val="Heading 2"/>
    <w:basedOn w:val="Normal"/>
    <w:next w:val="Normal"/>
    <w:qFormat/>
    <w:pPr>
      <w:keepNext w:val="true"/>
      <w:numPr>
        <w:ilvl w:val="1"/>
        <w:numId w:val="1"/>
      </w:numPr>
      <w:spacing w:before="240" w:after="60"/>
      <w:outlineLvl w:val="1"/>
    </w:pPr>
    <w:rPr>
      <w:rFonts w:ascii="Arial" w:hAnsi="Arial" w:cs="Arial"/>
      <w:b/>
      <w:i/>
      <w:sz w:val="28"/>
    </w:rPr>
  </w:style>
  <w:style w:type="character" w:styleId="WW8Num1z0">
    <w:name w:val="WW8Num1z0"/>
    <w:qFormat/>
    <w:rPr>
      <w:rFonts w:ascii="Symbol" w:hAnsi="Symbol" w:cs="Symbol"/>
    </w:rPr>
  </w:style>
  <w:style w:type="character" w:styleId="WW8Num1z2">
    <w:name w:val="WW8Num1z2"/>
    <w:qFormat/>
    <w:rPr>
      <w:rFonts w:ascii="Courier New" w:hAnsi="Courier New" w:cs="Courier New"/>
    </w:rPr>
  </w:style>
  <w:style w:type="character" w:styleId="WW8Num1z3">
    <w:name w:val="WW8Num1z3"/>
    <w:qFormat/>
    <w:rPr>
      <w:rFonts w:ascii="Wingdings" w:hAnsi="Wingdings" w:cs="Wingdings"/>
    </w:rPr>
  </w:style>
  <w:style w:type="character" w:styleId="WW8Num2z0">
    <w:name w:val="WW8Num2z0"/>
    <w:qFormat/>
    <w:rPr/>
  </w:style>
  <w:style w:type="character" w:styleId="WW8Num2z1">
    <w:name w:val="WW8Num2z1"/>
    <w:qFormat/>
    <w:rPr>
      <w:b w:val="false"/>
      <w:sz w:val="20"/>
      <w:szCs w:val="20"/>
    </w:rPr>
  </w:style>
  <w:style w:type="character" w:styleId="WW8Num4z0">
    <w:name w:val="WW8Num4z0"/>
    <w:qFormat/>
    <w:rPr/>
  </w:style>
  <w:style w:type="character" w:styleId="WW8Num4z1">
    <w:name w:val="WW8Num4z1"/>
    <w:qFormat/>
    <w:rPr>
      <w:b w:val="false"/>
      <w:i w:val="false"/>
    </w:rPr>
  </w:style>
  <w:style w:type="character" w:styleId="DefaultParagraphFont">
    <w:name w:val="Default Paragraph Font"/>
    <w:qFormat/>
    <w:rPr/>
  </w:style>
  <w:style w:type="character" w:styleId="PageNumber">
    <w:name w:val="Page Number"/>
    <w:basedOn w:val="DefaultParagraphFont"/>
    <w:rPr/>
  </w:style>
  <w:style w:type="character" w:styleId="BalloonTextChar">
    <w:name w:val="Balloon Text Char"/>
    <w:qFormat/>
    <w:rPr>
      <w:rFonts w:ascii="Tahoma" w:hAnsi="Tahoma" w:cs="Tahoma"/>
      <w:sz w:val="16"/>
      <w:szCs w:val="16"/>
    </w:rPr>
  </w:style>
  <w:style w:type="character" w:styleId="CommentReference">
    <w:name w:val="Comment Reference"/>
    <w:qFormat/>
    <w:rPr>
      <w:sz w:val="16"/>
      <w:szCs w:val="16"/>
    </w:rPr>
  </w:style>
  <w:style w:type="character" w:styleId="CommentTextChar">
    <w:name w:val="Comment Text Char"/>
    <w:basedOn w:val="DefaultParagraphFont"/>
    <w:qFormat/>
    <w:rPr/>
  </w:style>
  <w:style w:type="character" w:styleId="CommentSubjectChar">
    <w:name w:val="Comment Subject Char"/>
    <w:qFormat/>
    <w:rPr>
      <w:b/>
      <w:bCs/>
    </w:rPr>
  </w:style>
  <w:style w:type="character" w:styleId="Hyperlink">
    <w:name w:val="Hyperlink"/>
    <w:rPr>
      <w:color w:val="0000FF"/>
      <w:u w:val="single"/>
    </w:rPr>
  </w:style>
  <w:style w:type="character" w:styleId="FooterChar">
    <w:name w:val="Footer Char"/>
    <w:qFormat/>
    <w:rPr>
      <w:sz w:val="24"/>
    </w:rPr>
  </w:style>
  <w:style w:type="character" w:styleId="Heading1Char">
    <w:name w:val="Heading 1 Char"/>
    <w:qFormat/>
    <w:rPr>
      <w:rFonts w:ascii="Cambria" w:hAnsi="Cambria" w:eastAsia="Times New Roman" w:cs="Times New Roman"/>
      <w:b/>
      <w:bCs/>
      <w:kern w:val="2"/>
      <w:sz w:val="32"/>
      <w:szCs w:val="32"/>
    </w:rPr>
  </w:style>
  <w:style w:type="character" w:styleId="Emphasis">
    <w:name w:val="Emphasis"/>
    <w:qFormat/>
    <w:rPr>
      <w:i/>
      <w:iCs/>
    </w:rPr>
  </w:style>
  <w:style w:type="character" w:styleId="DeltaViewInsertion">
    <w:name w:val="DeltaView Insertion"/>
    <w:qFormat/>
    <w:rPr>
      <w:color w:val="0000FF"/>
      <w:u w:val="doub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Header">
    <w:name w:val="Header"/>
    <w:basedOn w:val="Normal"/>
    <w:pPr>
      <w:tabs>
        <w:tab w:val="clear" w:pos="720"/>
        <w:tab w:val="center" w:pos="4320" w:leader="none"/>
        <w:tab w:val="right" w:pos="8640" w:leader="none"/>
      </w:tabs>
    </w:pPr>
    <w:rPr/>
  </w:style>
  <w:style w:type="paragraph" w:styleId="Footer">
    <w:name w:val="Footer"/>
    <w:basedOn w:val="Normal"/>
    <w:pPr>
      <w:tabs>
        <w:tab w:val="clear" w:pos="720"/>
        <w:tab w:val="center" w:pos="4320" w:leader="none"/>
        <w:tab w:val="right" w:pos="8640" w:leader="none"/>
      </w:tabs>
    </w:pPr>
    <w:rPr/>
  </w:style>
  <w:style w:type="paragraph" w:styleId="BalloonText">
    <w:name w:val="Balloon Text"/>
    <w:basedOn w:val="Normal"/>
    <w:qFormat/>
    <w:pPr/>
    <w:rPr>
      <w:rFonts w:ascii="Tahoma" w:hAnsi="Tahoma" w:cs="Tahoma"/>
      <w:sz w:val="16"/>
      <w:szCs w:val="16"/>
    </w:rPr>
  </w:style>
  <w:style w:type="paragraph" w:styleId="CommentText">
    <w:name w:val="Comment Text"/>
    <w:basedOn w:val="Normal"/>
    <w:qFormat/>
    <w:pPr/>
    <w:rPr>
      <w:sz w:val="20"/>
    </w:rPr>
  </w:style>
  <w:style w:type="paragraph" w:styleId="CommentSubject">
    <w:name w:val="Comment Subject"/>
    <w:basedOn w:val="CommentText"/>
    <w:next w:val="CommentText"/>
    <w:qFormat/>
    <w:pPr/>
    <w:rPr>
      <w:b/>
      <w:bCs/>
    </w:rPr>
  </w:style>
  <w:style w:type="paragraph" w:styleId="ListParagraph">
    <w:name w:val="List Paragraph"/>
    <w:basedOn w:val="Normal"/>
    <w:qFormat/>
    <w:pPr>
      <w:overflowPunct w:val="true"/>
      <w:autoSpaceDE w:val="true"/>
      <w:spacing w:before="0" w:after="0"/>
      <w:ind w:hanging="0" w:start="720" w:end="0"/>
      <w:contextualSpacing/>
      <w:jc w:val="start"/>
      <w:textAlignment w:val="auto"/>
    </w:pPr>
    <w:rPr>
      <w:rFonts w:ascii="Times" w:hAnsi="Times" w:cs="Times"/>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policy.ucop.edu/doc/3220482/BFB-BUS-56" TargetMode="Externa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2017-05-18T17:53:00Z</dcterms:created>
  <dc:creator>ARKong</dc:creator>
  <dc:description/>
  <dc:language>en-US</dc:language>
  <cp:lastModifiedBy>Windows User</cp:lastModifiedBy>
  <cp:lastPrinted>2011-12-13T09:24:00Z</cp:lastPrinted>
  <dcterms:modified xsi:type="dcterms:W3CDTF">2017-05-18T17:53:00Z</dcterms:modified>
  <cp:revision>2</cp:revision>
  <dc:subject/>
  <dc:title/>
</cp:coreProperties>
</file>