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footer1.xml.rels" ContentType="application/vnd.openxmlformats-package.relationships+xml"/>
  <Override PartName="/word/header6.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footer6.xml" ContentType="application/vnd.openxmlformats-officedocument.wordprocessingml.footer+xml"/>
  <Override PartName="/word/header5.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footer5.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cs="Arial"/>
        </w:rPr>
      </w:pPr>
      <w:r>
        <w:rPr>
          <w:rFonts w:cs="Arial"/>
        </w:rPr>
      </w:r>
    </w:p>
    <w:p>
      <w:pPr>
        <w:pStyle w:val="Normal"/>
        <w:rPr>
          <w:rFonts w:cs="Arial"/>
        </w:rPr>
      </w:pPr>
      <w:r>
        <w:rPr>
          <w:rFonts w:cs="Arial"/>
        </w:rPr>
      </w:r>
    </w:p>
    <w:p>
      <w:pPr>
        <w:pStyle w:val="Normal"/>
        <w:rPr>
          <w:rFonts w:cs="Arial"/>
        </w:rPr>
      </w:pPr>
      <w:r>
        <w:rPr>
          <w:rFonts w:cs="Arial"/>
        </w:rPr>
      </w:r>
    </w:p>
    <w:p>
      <w:pPr>
        <w:pStyle w:val="Normal"/>
        <w:rPr>
          <w:rFonts w:cs="Arial"/>
        </w:rPr>
      </w:pPr>
      <w:r>
        <w:rPr>
          <w:rFonts w:cs="Arial"/>
        </w:rPr>
      </w:r>
    </w:p>
    <w:p>
      <w:pPr>
        <w:pStyle w:val="Normal"/>
        <w:jc w:val="center"/>
        <w:rPr>
          <w:rFonts w:cs="Arial"/>
          <w:b/>
          <w:bCs/>
        </w:rPr>
      </w:pPr>
      <w:r>
        <w:rPr>
          <w:rFonts w:cs="Arial"/>
          <w:b/>
          <w:bCs/>
        </w:rPr>
      </w:r>
    </w:p>
    <w:p>
      <w:pPr>
        <w:pStyle w:val="Normal"/>
        <w:jc w:val="center"/>
        <w:rPr>
          <w:rFonts w:cs="Arial"/>
          <w:b/>
          <w:bCs/>
        </w:rPr>
      </w:pPr>
      <w:r>
        <w:rPr>
          <w:rFonts w:cs="Arial"/>
          <w:b/>
          <w:bCs/>
        </w:rPr>
      </w:r>
    </w:p>
    <w:p>
      <w:pPr>
        <w:pStyle w:val="Normal"/>
        <w:jc w:val="center"/>
        <w:rPr>
          <w:rFonts w:cs="Arial"/>
          <w:b/>
          <w:bCs/>
          <w:sz w:val="28"/>
        </w:rPr>
      </w:pPr>
      <w:r>
        <w:rPr>
          <w:rFonts w:cs="Arial"/>
          <w:b/>
          <w:bCs/>
          <w:sz w:val="28"/>
        </w:rPr>
        <w:t>TEMPLATE AMENDMENT AGREEMENT</w:t>
      </w:r>
    </w:p>
    <w:p>
      <w:pPr>
        <w:pStyle w:val="Normal"/>
        <w:jc w:val="center"/>
        <w:rPr>
          <w:rFonts w:cs="Arial"/>
          <w:b/>
          <w:bCs/>
          <w:sz w:val="28"/>
        </w:rPr>
      </w:pPr>
      <w:r>
        <w:rPr>
          <w:rFonts w:cs="Arial"/>
          <w:b/>
          <w:bCs/>
          <w:sz w:val="28"/>
        </w:rPr>
      </w:r>
    </w:p>
    <w:p>
      <w:pPr>
        <w:pStyle w:val="Normal"/>
        <w:jc w:val="center"/>
        <w:rPr>
          <w:rFonts w:cs="Arial"/>
          <w:b/>
          <w:bCs/>
          <w:sz w:val="28"/>
        </w:rPr>
      </w:pPr>
      <w:r>
        <w:rPr>
          <w:rFonts w:cs="Arial"/>
          <w:b/>
          <w:bCs/>
          <w:sz w:val="24"/>
        </w:rPr>
        <w:t>(Replacing Version 2.1 with Version 3.0)</w:t>
      </w:r>
    </w:p>
    <w:p>
      <w:pPr>
        <w:pStyle w:val="PARA"/>
        <w:rPr>
          <w:rFonts w:cs="Arial"/>
          <w:b/>
          <w:bCs/>
          <w:sz w:val="28"/>
          <w:szCs w:val="24"/>
          <w:lang w:val="en-GB"/>
        </w:rPr>
      </w:pPr>
      <w:r>
        <w:rPr>
          <w:rFonts w:cs="Arial"/>
          <w:b/>
          <w:bCs/>
          <w:sz w:val="28"/>
          <w:szCs w:val="24"/>
          <w:lang w:val="en-GB"/>
        </w:rPr>
      </w:r>
    </w:p>
    <w:p>
      <w:pPr>
        <w:pStyle w:val="BodyText3"/>
        <w:spacing w:before="0" w:after="240"/>
        <w:jc w:val="center"/>
        <w:rPr>
          <w:rFonts w:cs="Arial"/>
          <w:b/>
          <w:bCs/>
        </w:rPr>
      </w:pPr>
      <w:r>
        <w:rPr>
          <w:rFonts w:cs="Arial"/>
        </w:rPr>
        <w:t>DATED AS OF: ……………………</w:t>
      </w:r>
    </w:p>
    <w:p>
      <w:pPr>
        <w:pStyle w:val="Normal"/>
        <w:spacing w:before="0" w:after="240"/>
        <w:jc w:val="center"/>
        <w:rPr>
          <w:rFonts w:cs="Arial"/>
          <w:b/>
          <w:bCs/>
        </w:rPr>
      </w:pPr>
      <w:r>
        <w:rPr>
          <w:rFonts w:cs="Arial"/>
          <w:b/>
          <w:bCs/>
        </w:rPr>
      </w:r>
    </w:p>
    <w:p>
      <w:pPr>
        <w:pStyle w:val="Normal"/>
        <w:spacing w:before="0" w:after="240"/>
        <w:jc w:val="center"/>
        <w:rPr>
          <w:rFonts w:cs="Arial"/>
        </w:rPr>
      </w:pPr>
      <w:r>
        <w:rPr>
          <w:rFonts w:cs="Arial"/>
        </w:rPr>
        <w:t>BETWEEN</w:t>
      </w:r>
    </w:p>
    <w:p>
      <w:pPr>
        <w:pStyle w:val="Normal"/>
        <w:spacing w:before="0" w:after="240"/>
        <w:jc w:val="center"/>
        <w:rPr>
          <w:rFonts w:cs="Arial"/>
        </w:rPr>
      </w:pPr>
      <w:r>
        <w:rPr>
          <w:rFonts w:cs="Arial"/>
        </w:rPr>
      </w:r>
    </w:p>
    <w:p>
      <w:pPr>
        <w:pStyle w:val="Normal"/>
        <w:spacing w:before="0" w:after="240"/>
        <w:jc w:val="center"/>
        <w:rPr>
          <w:rFonts w:cs="Arial"/>
        </w:rPr>
      </w:pPr>
      <w:r>
        <w:rPr>
          <w:rFonts w:cs="Arial"/>
        </w:rPr>
        <w:t>…………………………………………</w:t>
      </w:r>
    </w:p>
    <w:p>
      <w:pPr>
        <w:pStyle w:val="Normal"/>
        <w:spacing w:before="0" w:after="240"/>
        <w:jc w:val="center"/>
        <w:rPr>
          <w:rFonts w:cs="Arial"/>
        </w:rPr>
      </w:pPr>
      <w:r>
        <w:rPr>
          <w:rFonts w:cs="Arial"/>
        </w:rPr>
        <w:t>("Party A")</w:t>
      </w:r>
    </w:p>
    <w:p>
      <w:pPr>
        <w:pStyle w:val="Normal"/>
        <w:spacing w:before="0" w:after="240"/>
        <w:jc w:val="center"/>
        <w:rPr>
          <w:rFonts w:cs="Arial"/>
        </w:rPr>
      </w:pPr>
      <w:r>
        <w:rPr>
          <w:rFonts w:cs="Arial"/>
        </w:rPr>
      </w:r>
    </w:p>
    <w:p>
      <w:pPr>
        <w:pStyle w:val="Normal"/>
        <w:spacing w:before="0" w:after="240"/>
        <w:jc w:val="center"/>
        <w:rPr>
          <w:rFonts w:cs="Arial"/>
        </w:rPr>
      </w:pPr>
      <w:r>
        <w:rPr>
          <w:rFonts w:cs="Arial"/>
        </w:rPr>
        <w:t>AND</w:t>
      </w:r>
    </w:p>
    <w:p>
      <w:pPr>
        <w:pStyle w:val="Normal"/>
        <w:spacing w:before="0" w:after="240"/>
        <w:jc w:val="center"/>
        <w:rPr>
          <w:rFonts w:cs="Arial"/>
        </w:rPr>
      </w:pPr>
      <w:r>
        <w:rPr>
          <w:rFonts w:cs="Arial"/>
        </w:rPr>
      </w:r>
    </w:p>
    <w:p>
      <w:pPr>
        <w:pStyle w:val="Normal"/>
        <w:spacing w:before="0" w:after="240"/>
        <w:jc w:val="center"/>
        <w:rPr>
          <w:rFonts w:cs="Arial"/>
        </w:rPr>
      </w:pPr>
      <w:r>
        <w:rPr>
          <w:rFonts w:cs="Arial"/>
        </w:rPr>
        <w:t>…………………………………………</w:t>
      </w:r>
    </w:p>
    <w:p>
      <w:pPr>
        <w:pStyle w:val="Normal"/>
        <w:jc w:val="center"/>
        <w:rPr>
          <w:rFonts w:cs="Arial"/>
          <w:b/>
          <w:bCs/>
        </w:rPr>
      </w:pPr>
      <w:r>
        <w:rPr>
          <w:rFonts w:cs="Arial"/>
        </w:rPr>
        <w:t>("Party B")</w:t>
      </w:r>
    </w:p>
    <w:p>
      <w:pPr>
        <w:pStyle w:val="Normal"/>
        <w:spacing w:before="0" w:after="120"/>
        <w:jc w:val="center"/>
        <w:rPr>
          <w:rFonts w:cs="Arial"/>
          <w:b/>
          <w:bCs/>
        </w:rPr>
      </w:pPr>
      <w:r>
        <w:rPr>
          <w:rFonts w:cs="Arial"/>
          <w:b/>
          <w:bCs/>
        </w:rPr>
      </w:r>
    </w:p>
    <w:p>
      <w:pPr>
        <w:pStyle w:val="Normal"/>
        <w:spacing w:before="0" w:after="120"/>
        <w:jc w:val="center"/>
        <w:rPr>
          <w:rFonts w:cs="Arial"/>
        </w:rPr>
      </w:pPr>
      <w:r>
        <w:rPr>
          <w:rFonts w:cs="Arial"/>
        </w:rPr>
      </w:r>
    </w:p>
    <w:p>
      <w:pPr>
        <w:pStyle w:val="Normal"/>
        <w:spacing w:before="0" w:after="120"/>
        <w:jc w:val="center"/>
        <w:rPr>
          <w:rFonts w:cs="Arial"/>
          <w:sz w:val="24"/>
        </w:rPr>
      </w:pPr>
      <w:r>
        <w:rPr>
          <w:rFonts w:cs="Arial"/>
          <w:sz w:val="24"/>
        </w:rPr>
      </w:r>
    </w:p>
    <w:p>
      <w:pPr>
        <w:pStyle w:val="Normal"/>
        <w:jc w:val="center"/>
        <w:rPr>
          <w:rFonts w:cs="Arial"/>
          <w:b/>
          <w:bCs/>
          <w:sz w:val="24"/>
        </w:rPr>
      </w:pPr>
      <w:r>
        <w:rPr>
          <w:rFonts w:cs="Arial"/>
          <w:b/>
          <w:bCs/>
          <w:sz w:val="24"/>
        </w:rPr>
        <w:t>IN RESPECT OF</w:t>
      </w:r>
    </w:p>
    <w:p>
      <w:pPr>
        <w:pStyle w:val="Normal"/>
        <w:jc w:val="center"/>
        <w:rPr>
          <w:rFonts w:cs="Arial"/>
          <w:b/>
          <w:bCs/>
          <w:sz w:val="24"/>
        </w:rPr>
      </w:pPr>
      <w:r>
        <w:rPr>
          <w:rFonts w:cs="Arial"/>
          <w:b/>
          <w:bCs/>
          <w:sz w:val="24"/>
        </w:rPr>
      </w:r>
    </w:p>
    <w:p>
      <w:pPr>
        <w:pStyle w:val="Normal"/>
        <w:jc w:val="center"/>
        <w:rPr>
          <w:rFonts w:cs="Arial"/>
          <w:b/>
          <w:bCs/>
          <w:sz w:val="28"/>
        </w:rPr>
      </w:pPr>
      <w:r>
        <w:rPr>
          <w:rFonts w:cs="Arial"/>
          <w:b/>
          <w:bCs/>
          <w:sz w:val="24"/>
        </w:rPr>
        <w:t>EMISSIONS TRADING MASTER AGREEMENT</w:t>
        <w:br/>
        <w:t>FOR THE EU SCHEME</w:t>
      </w:r>
      <w:r>
        <w:rPr>
          <w:rFonts w:cs="Arial"/>
          <w:b/>
          <w:bCs/>
          <w:sz w:val="24"/>
          <w:vertAlign w:val="superscript"/>
        </w:rPr>
        <w:t>©</w:t>
      </w:r>
    </w:p>
    <w:p>
      <w:pPr>
        <w:pStyle w:val="Normal"/>
        <w:spacing w:before="0" w:after="120"/>
        <w:jc w:val="center"/>
        <w:rPr>
          <w:rFonts w:cs="Arial"/>
          <w:b/>
          <w:bCs/>
          <w:sz w:val="24"/>
        </w:rPr>
      </w:pPr>
      <w:r>
        <w:rPr>
          <w:rFonts w:cs="Arial"/>
          <w:b/>
          <w:bCs/>
          <w:sz w:val="24"/>
        </w:rPr>
      </w:r>
    </w:p>
    <w:p>
      <w:pPr>
        <w:pStyle w:val="Normal"/>
        <w:spacing w:before="0" w:after="120"/>
        <w:jc w:val="center"/>
        <w:rPr>
          <w:rFonts w:cs="Arial"/>
        </w:rPr>
      </w:pPr>
      <w:r>
        <w:rPr>
          <w:rFonts w:cs="Arial"/>
        </w:rPr>
        <w:t>DATED AS OF: ……………………</w:t>
      </w:r>
    </w:p>
    <w:p>
      <w:pPr>
        <w:pStyle w:val="Normal"/>
        <w:spacing w:before="0" w:after="120"/>
        <w:jc w:val="center"/>
        <w:rPr>
          <w:rFonts w:cs="Arial"/>
        </w:rPr>
      </w:pPr>
      <w:r>
        <w:rPr>
          <w:rFonts w:cs="Arial"/>
        </w:rPr>
      </w:r>
    </w:p>
    <w:p>
      <w:pPr>
        <w:pStyle w:val="Normal"/>
        <w:spacing w:before="0" w:after="120"/>
        <w:jc w:val="center"/>
        <w:rPr>
          <w:rFonts w:cs="Arial"/>
        </w:rPr>
      </w:pPr>
      <w:r>
        <w:rPr>
          <w:rFonts w:cs="Arial"/>
        </w:rPr>
      </w:r>
    </w:p>
    <w:p>
      <w:pPr>
        <w:pStyle w:val="Normal"/>
        <w:spacing w:before="0" w:after="120"/>
        <w:jc w:val="center"/>
        <w:rPr>
          <w:rFonts w:cs="Arial"/>
        </w:rPr>
      </w:pPr>
      <w:r>
        <w:rPr>
          <w:rFonts w:cs="Arial"/>
        </w:rPr>
      </w:r>
    </w:p>
    <w:p>
      <w:pPr>
        <w:pStyle w:val="Normal"/>
        <w:spacing w:before="0" w:after="120"/>
        <w:jc w:val="center"/>
        <w:rPr>
          <w:rFonts w:cs="Arial"/>
        </w:rPr>
      </w:pPr>
      <w:r>
        <w:rPr>
          <w:rFonts w:cs="Arial"/>
        </w:rPr>
      </w:r>
    </w:p>
    <w:p>
      <w:pPr>
        <w:pStyle w:val="Normal"/>
        <w:spacing w:before="0" w:after="120"/>
        <w:jc w:val="center"/>
        <w:rPr>
          <w:rFonts w:cs="Arial"/>
        </w:rPr>
      </w:pPr>
      <w:r>
        <w:rPr>
          <w:rFonts w:cs="Arial"/>
        </w:rPr>
      </w:r>
    </w:p>
    <w:p>
      <w:pPr>
        <w:pStyle w:val="BlockText"/>
        <w:ind w:hanging="0" w:start="0" w:end="237"/>
        <w:rPr/>
      </w:pPr>
      <w:r>
        <w:rPr/>
        <w:t>© International Emission Trading Association (IETA).  This document may be freely used, copied and distributed on the condition that each copy shall contain this copyright notice.</w:t>
      </w:r>
      <w:r>
        <w:br w:type="page"/>
      </w:r>
    </w:p>
    <w:p>
      <w:pPr>
        <w:pStyle w:val="BlockText"/>
        <w:ind w:start="0" w:end="237"/>
        <w:rPr/>
      </w:pPr>
      <w:r>
        <w:rPr/>
      </w:r>
    </w:p>
    <w:p>
      <w:pPr>
        <w:pStyle w:val="Normal"/>
        <w:spacing w:before="0" w:after="120"/>
        <w:jc w:val="center"/>
        <w:rPr/>
      </w:pPr>
      <w:r>
        <w:rPr/>
        <w:t>Table of Contents</w:t>
      </w:r>
    </w:p>
    <w:sdt>
      <w:sdtPr>
        <w:docPartObj>
          <w:docPartGallery w:val="Table of Contents"/>
          <w:docPartUnique w:val="true"/>
        </w:docPartObj>
      </w:sdtPr>
      <w:sdtContent>
        <w:p>
          <w:pPr>
            <w:pStyle w:val="TOC1"/>
            <w:tabs>
              <w:tab w:val="clear" w:pos="709"/>
              <w:tab w:val="clear" w:pos="9016"/>
              <w:tab w:val="left" w:pos="426" w:leader="none"/>
            </w:tabs>
            <w:rPr/>
          </w:pPr>
          <w:r>
            <w:fldChar w:fldCharType="begin"/>
          </w:r>
          <w:r>
            <w:rPr>
              <w:rStyle w:val="IndexLink"/>
            </w:rPr>
            <w:instrText xml:space="preserve"> TOC \h \z \t "HEAD-ART,2,HEAD-CENT,1" </w:instrText>
          </w:r>
          <w:r>
            <w:rPr>
              <w:rStyle w:val="IndexLink"/>
            </w:rPr>
            <w:fldChar w:fldCharType="separate"/>
          </w:r>
          <w:hyperlink w:anchor="__RefHeading___Toc196285442">
            <w:r>
              <w:rPr>
                <w:rStyle w:val="IndexLink"/>
              </w:rPr>
              <w:t>1 Interpretation and Definitions</w:t>
              <w:tab/>
            </w:r>
            <w:r>
              <w:rPr>
                <w:rStyle w:val="IndexLink"/>
              </w:rPr>
              <w:t>3</w:t>
            </w:r>
          </w:hyperlink>
        </w:p>
        <w:p>
          <w:pPr>
            <w:pStyle w:val="TOC1"/>
            <w:tabs>
              <w:tab w:val="clear" w:pos="709"/>
              <w:tab w:val="clear" w:pos="9016"/>
              <w:tab w:val="left" w:pos="426" w:leader="none"/>
            </w:tabs>
            <w:rPr/>
          </w:pPr>
          <w:hyperlink w:anchor="__RefHeading___Toc196285443">
            <w:r>
              <w:rPr>
                <w:rStyle w:val="IndexLink"/>
              </w:rPr>
              <w:t>2 Amendments</w:t>
              <w:tab/>
            </w:r>
            <w:r>
              <w:rPr>
                <w:rStyle w:val="IndexLink"/>
              </w:rPr>
              <w:t>3</w:t>
            </w:r>
          </w:hyperlink>
        </w:p>
        <w:p>
          <w:pPr>
            <w:pStyle w:val="TOC1"/>
            <w:tabs>
              <w:tab w:val="clear" w:pos="709"/>
              <w:tab w:val="clear" w:pos="9016"/>
              <w:tab w:val="left" w:pos="426" w:leader="none"/>
            </w:tabs>
            <w:rPr/>
          </w:pPr>
          <w:hyperlink w:anchor="__RefHeading___Toc196285444">
            <w:r>
              <w:rPr>
                <w:rStyle w:val="IndexLink"/>
              </w:rPr>
              <w:t>3 Representations and Warranties</w:t>
              <w:tab/>
            </w:r>
            <w:r>
              <w:rPr>
                <w:rStyle w:val="IndexLink"/>
              </w:rPr>
              <w:t>6</w:t>
            </w:r>
          </w:hyperlink>
        </w:p>
        <w:p>
          <w:pPr>
            <w:pStyle w:val="TOC1"/>
            <w:tabs>
              <w:tab w:val="clear" w:pos="709"/>
              <w:tab w:val="clear" w:pos="9016"/>
              <w:tab w:val="left" w:pos="426" w:leader="none"/>
            </w:tabs>
            <w:rPr/>
          </w:pPr>
          <w:hyperlink w:anchor="__RefHeading___Toc196285445">
            <w:r>
              <w:rPr>
                <w:rStyle w:val="IndexLink"/>
              </w:rPr>
              <w:t>4 Confidentiality</w:t>
              <w:tab/>
            </w:r>
            <w:r>
              <w:rPr>
                <w:rStyle w:val="IndexLink"/>
              </w:rPr>
              <w:t>6</w:t>
            </w:r>
          </w:hyperlink>
        </w:p>
        <w:p>
          <w:pPr>
            <w:pStyle w:val="TOC1"/>
            <w:tabs>
              <w:tab w:val="clear" w:pos="709"/>
              <w:tab w:val="clear" w:pos="9016"/>
              <w:tab w:val="left" w:pos="426" w:leader="none"/>
            </w:tabs>
            <w:rPr/>
          </w:pPr>
          <w:hyperlink w:anchor="__RefHeading___Toc196285446">
            <w:r>
              <w:rPr>
                <w:rStyle w:val="IndexLink"/>
              </w:rPr>
              <w:t>5 Miscellaneous</w:t>
              <w:tab/>
            </w:r>
            <w:r>
              <w:rPr>
                <w:rStyle w:val="IndexLink"/>
              </w:rPr>
              <w:t>7</w:t>
            </w:r>
          </w:hyperlink>
          <w:r>
            <w:rPr>
              <w:rStyle w:val="IndexLink"/>
            </w:rPr>
            <w:fldChar w:fldCharType="end"/>
          </w:r>
        </w:p>
      </w:sdtContent>
    </w:sdt>
    <w:p>
      <w:pPr>
        <w:pStyle w:val="TOC1"/>
        <w:rPr>
          <w:rFonts w:ascii="Times New Roman" w:hAnsi="Times New Roman" w:cs="Times New Roman"/>
          <w:sz w:val="22"/>
          <w:szCs w:val="24"/>
        </w:rPr>
      </w:pPr>
      <w:r>
        <w:rPr>
          <w:rFonts w:cs="Times New Roman" w:ascii="Times New Roman" w:hAnsi="Times New Roman"/>
          <w:sz w:val="22"/>
          <w:szCs w:val="24"/>
        </w:rPr>
      </w:r>
    </w:p>
    <w:p>
      <w:pPr>
        <w:sectPr>
          <w:headerReference w:type="default" r:id="rId2"/>
          <w:headerReference w:type="first" r:id="rId3"/>
          <w:footerReference w:type="default" r:id="rId4"/>
          <w:footerReference w:type="first" r:id="rId5"/>
          <w:type w:val="nextPage"/>
          <w:pgSz w:w="11906" w:h="16838"/>
          <w:pgMar w:left="1440" w:right="1440" w:gutter="0" w:header="720" w:top="1440" w:footer="1080" w:bottom="1440"/>
          <w:pgNumType w:start="1" w:fmt="decimal"/>
          <w:formProt w:val="false"/>
          <w:titlePg/>
          <w:textDirection w:val="lrTb"/>
          <w:docGrid w:type="default" w:linePitch="299" w:charSpace="0"/>
        </w:sectPr>
        <w:pStyle w:val="Normal"/>
        <w:spacing w:before="0" w:after="240"/>
        <w:rPr>
          <w:rFonts w:eastAsia="Arial" w:cs="Arial"/>
        </w:rPr>
      </w:pPr>
      <w:r>
        <w:rPr>
          <w:rFonts w:eastAsia="Arial" w:cs="Arial"/>
        </w:rPr>
        <w:t xml:space="preserve"> </w:t>
      </w:r>
    </w:p>
    <w:p>
      <w:pPr>
        <w:pStyle w:val="HEAD-ART"/>
        <w:rPr>
          <w:rFonts w:cs="Arial"/>
          <w:szCs w:val="24"/>
          <w:lang w:val="en-GB" w:eastAsia="en-US"/>
        </w:rPr>
      </w:pPr>
      <w:r>
        <w:rPr>
          <w:rFonts w:cs="Arial"/>
          <w:szCs w:val="24"/>
          <w:lang w:val="en-GB" w:eastAsia="en-US"/>
        </w:rPr>
      </w:r>
    </w:p>
    <w:p>
      <w:pPr>
        <w:pStyle w:val="BodyText"/>
        <w:jc w:val="center"/>
        <w:rPr>
          <w:b/>
          <w:bCs/>
        </w:rPr>
      </w:pPr>
      <w:r>
        <w:rPr>
          <w:b/>
          <w:bCs/>
        </w:rPr>
        <w:t>AMENDMENT AGREEMENT RELATING TO EMISSIONS TRADING MASTER AGREEMENT FOR THE EU SCHEME</w:t>
      </w:r>
    </w:p>
    <w:p>
      <w:pPr>
        <w:pStyle w:val="BodyText"/>
        <w:jc w:val="center"/>
        <w:rPr>
          <w:b/>
          <w:bCs/>
        </w:rPr>
      </w:pPr>
      <w:r>
        <w:rPr>
          <w:b/>
          <w:bCs/>
        </w:rPr>
        <w:t>("Amendment Agreement")</w:t>
      </w:r>
    </w:p>
    <w:p>
      <w:pPr>
        <w:pStyle w:val="BodyText"/>
        <w:jc w:val="center"/>
        <w:rPr>
          <w:b/>
          <w:bCs/>
        </w:rPr>
      </w:pPr>
      <w:r>
        <w:rPr>
          <w:b/>
          <w:bCs/>
        </w:rPr>
      </w:r>
    </w:p>
    <w:p>
      <w:pPr>
        <w:pStyle w:val="BodyText"/>
        <w:jc w:val="center"/>
        <w:rPr>
          <w:b/>
          <w:bCs/>
        </w:rPr>
      </w:pPr>
      <w:r>
        <w:rPr>
          <w:b/>
          <w:bCs/>
        </w:rPr>
        <w:t xml:space="preserve">Dated as of </w:t>
      </w:r>
      <w:r>
        <w:rPr>
          <w:rFonts w:cs="Arial"/>
        </w:rPr>
        <w:t>……………………</w:t>
      </w:r>
    </w:p>
    <w:p>
      <w:pPr>
        <w:pStyle w:val="BodyText"/>
        <w:jc w:val="center"/>
        <w:rPr>
          <w:b/>
          <w:bCs/>
        </w:rPr>
      </w:pPr>
      <w:r>
        <w:rPr>
          <w:b/>
          <w:bCs/>
        </w:rPr>
      </w:r>
    </w:p>
    <w:p>
      <w:pPr>
        <w:pStyle w:val="PARA"/>
        <w:rPr>
          <w:rFonts w:cs="Arial"/>
          <w:b/>
          <w:bCs/>
          <w:lang w:val="en-GB"/>
        </w:rPr>
      </w:pPr>
      <w:r>
        <w:rPr>
          <w:rFonts w:cs="Arial"/>
          <w:b/>
          <w:bCs/>
          <w:lang w:val="en-GB"/>
        </w:rPr>
        <w:t>Between</w:t>
      </w:r>
    </w:p>
    <w:p>
      <w:pPr>
        <w:pStyle w:val="QUOTE"/>
        <w:jc w:val="center"/>
        <w:rPr/>
      </w:pPr>
      <w:r>
        <w:rPr>
          <w:rFonts w:cs="Arial"/>
        </w:rPr>
        <w:t>……………………</w:t>
      </w:r>
      <w:r>
        <w:rPr>
          <w:rFonts w:eastAsia="Arial" w:cs="Arial"/>
          <w:sz w:val="20"/>
          <w:lang w:val="en-GB"/>
        </w:rPr>
        <w:t xml:space="preserve"> </w:t>
      </w:r>
      <w:r>
        <w:rPr>
          <w:rFonts w:cs="Arial"/>
        </w:rPr>
        <w:t>……………………</w:t>
      </w:r>
      <w:r>
        <w:rPr>
          <w:rFonts w:eastAsia="Arial" w:cs="Arial"/>
          <w:sz w:val="20"/>
          <w:lang w:val="en-GB"/>
        </w:rPr>
        <w:t xml:space="preserve"> </w:t>
      </w:r>
      <w:r>
        <w:rPr>
          <w:rFonts w:cs="Arial"/>
        </w:rPr>
        <w:t>……………………</w:t>
      </w:r>
      <w:r>
        <w:rPr>
          <w:rFonts w:eastAsia="Arial" w:cs="Arial"/>
          <w:sz w:val="20"/>
          <w:lang w:val="en-GB"/>
        </w:rPr>
        <w:t xml:space="preserve"> </w:t>
      </w:r>
      <w:r>
        <w:rPr>
          <w:rFonts w:cs="Arial"/>
          <w:sz w:val="20"/>
          <w:lang w:val="en-GB"/>
        </w:rPr>
        <w:br/>
        <w:t>("</w:t>
      </w:r>
      <w:r>
        <w:rPr>
          <w:rFonts w:cs="Arial"/>
          <w:b/>
          <w:bCs/>
          <w:sz w:val="20"/>
          <w:lang w:val="en-GB"/>
        </w:rPr>
        <w:t>Party A</w:t>
      </w:r>
      <w:r>
        <w:rPr>
          <w:rFonts w:cs="Arial"/>
          <w:sz w:val="20"/>
          <w:lang w:val="en-GB"/>
        </w:rPr>
        <w:t>")</w:t>
      </w:r>
    </w:p>
    <w:p>
      <w:pPr>
        <w:pStyle w:val="QUOTE"/>
        <w:jc w:val="center"/>
        <w:rPr>
          <w:rFonts w:cs="Arial"/>
          <w:sz w:val="20"/>
          <w:lang w:val="en-GB"/>
        </w:rPr>
      </w:pPr>
      <w:r>
        <w:rPr>
          <w:rFonts w:cs="Arial"/>
          <w:sz w:val="20"/>
          <w:lang w:val="en-GB"/>
        </w:rPr>
        <w:t>and</w:t>
      </w:r>
    </w:p>
    <w:p>
      <w:pPr>
        <w:pStyle w:val="QUOTE"/>
        <w:jc w:val="center"/>
        <w:rPr/>
      </w:pPr>
      <w:r>
        <w:rPr>
          <w:rFonts w:cs="Arial"/>
        </w:rPr>
        <w:t>……………………</w:t>
      </w:r>
      <w:r>
        <w:rPr>
          <w:rFonts w:eastAsia="Arial" w:cs="Arial"/>
          <w:sz w:val="20"/>
          <w:lang w:val="en-GB"/>
        </w:rPr>
        <w:t xml:space="preserve"> </w:t>
      </w:r>
      <w:r>
        <w:rPr>
          <w:rFonts w:cs="Arial"/>
        </w:rPr>
        <w:t>……………………</w:t>
      </w:r>
      <w:r>
        <w:rPr>
          <w:rFonts w:eastAsia="Arial" w:cs="Arial"/>
          <w:sz w:val="20"/>
          <w:lang w:val="en-GB"/>
        </w:rPr>
        <w:t xml:space="preserve"> </w:t>
      </w:r>
      <w:r>
        <w:rPr>
          <w:rFonts w:cs="Arial"/>
        </w:rPr>
        <w:t>……………………</w:t>
      </w:r>
      <w:r>
        <w:rPr>
          <w:rFonts w:eastAsia="Arial" w:cs="Arial"/>
          <w:sz w:val="20"/>
          <w:lang w:val="en-GB"/>
        </w:rPr>
        <w:t xml:space="preserve"> </w:t>
      </w:r>
      <w:r>
        <w:rPr>
          <w:rFonts w:cs="Arial"/>
          <w:sz w:val="20"/>
          <w:lang w:val="en-GB"/>
        </w:rPr>
        <w:br/>
        <w:t>("</w:t>
      </w:r>
      <w:r>
        <w:rPr>
          <w:rFonts w:cs="Arial"/>
          <w:b/>
          <w:bCs/>
          <w:sz w:val="20"/>
          <w:lang w:val="en-GB"/>
        </w:rPr>
        <w:t>Party B</w:t>
      </w:r>
      <w:r>
        <w:rPr>
          <w:rFonts w:cs="Arial"/>
          <w:sz w:val="20"/>
          <w:lang w:val="en-GB"/>
        </w:rPr>
        <w:t>")</w:t>
      </w:r>
    </w:p>
    <w:p>
      <w:pPr>
        <w:pStyle w:val="PARA"/>
        <w:rPr>
          <w:rFonts w:cs="Arial"/>
          <w:b/>
          <w:bCs/>
          <w:lang w:val="en-GB"/>
        </w:rPr>
      </w:pPr>
      <w:r>
        <w:rPr>
          <w:rFonts w:cs="Arial"/>
          <w:b/>
          <w:bCs/>
          <w:lang w:val="en-GB"/>
        </w:rPr>
        <w:t>Recitals</w:t>
      </w:r>
    </w:p>
    <w:p>
      <w:pPr>
        <w:pStyle w:val="Normal"/>
        <w:numPr>
          <w:ilvl w:val="0"/>
          <w:numId w:val="2"/>
        </w:numPr>
        <w:tabs>
          <w:tab w:val="clear" w:pos="720"/>
        </w:tabs>
        <w:spacing w:before="0" w:after="240"/>
        <w:ind w:hanging="709" w:start="709" w:end="0"/>
        <w:rPr>
          <w:rFonts w:cs="Arial"/>
        </w:rPr>
      </w:pPr>
      <w:r>
        <w:rPr/>
        <w:t>The Parties have previously entered into an agreement dated [__________________] in the form of version 2.1 of the Emissions Trading Master Agreement for the EU Scheme, as published by the International Emissions Trading Association ("</w:t>
      </w:r>
      <w:r>
        <w:rPr>
          <w:b/>
          <w:bCs/>
        </w:rPr>
        <w:t>IETA</w:t>
      </w:r>
      <w:r>
        <w:rPr/>
        <w:t>") on 13 June 2005 (together with its Schedules, the "</w:t>
      </w:r>
      <w:r>
        <w:rPr>
          <w:b/>
          <w:bCs/>
        </w:rPr>
        <w:t>Master Agreement</w:t>
      </w:r>
      <w:r>
        <w:rPr/>
        <w:t>").</w:t>
      </w:r>
    </w:p>
    <w:p>
      <w:pPr>
        <w:pStyle w:val="Normal"/>
        <w:numPr>
          <w:ilvl w:val="0"/>
          <w:numId w:val="2"/>
        </w:numPr>
        <w:tabs>
          <w:tab w:val="clear" w:pos="720"/>
        </w:tabs>
        <w:spacing w:before="0" w:after="240"/>
        <w:ind w:hanging="709" w:start="709" w:end="0"/>
        <w:rPr>
          <w:rFonts w:cs="Arial"/>
        </w:rPr>
      </w:pPr>
      <w:r>
        <w:rPr/>
        <w:t>On 12 February 2008, IETA published version 3.0 of the Emissions Trading Master Agreement for the EU Scheme ("</w:t>
      </w:r>
      <w:r>
        <w:rPr>
          <w:b/>
          <w:bCs/>
        </w:rPr>
        <w:t>Version 3.0</w:t>
      </w:r>
      <w:r>
        <w:rPr/>
        <w:t xml:space="preserve">") in order to address, </w:t>
      </w:r>
      <w:r>
        <w:rPr>
          <w:i/>
          <w:iCs/>
        </w:rPr>
        <w:t>inter alia</w:t>
      </w:r>
      <w:r>
        <w:rPr/>
        <w:t>, delivery issues in Phase 2 of the EU Scheme.</w:t>
      </w:r>
    </w:p>
    <w:p>
      <w:pPr>
        <w:pStyle w:val="Normal"/>
        <w:numPr>
          <w:ilvl w:val="0"/>
          <w:numId w:val="2"/>
        </w:numPr>
        <w:tabs>
          <w:tab w:val="clear" w:pos="720"/>
        </w:tabs>
        <w:spacing w:before="0" w:after="240"/>
        <w:ind w:hanging="709" w:start="709" w:end="0"/>
        <w:rPr>
          <w:rFonts w:cs="Arial"/>
        </w:rPr>
      </w:pPr>
      <w:r>
        <w:rPr>
          <w:rFonts w:cs="Arial"/>
        </w:rPr>
        <w:t>The Parties have entered into one or more Transactions as defined in the Master Agreement that are governed by the terms and conditions of that agreement ("</w:t>
      </w:r>
      <w:r>
        <w:rPr>
          <w:rFonts w:cs="Arial"/>
          <w:b/>
          <w:bCs/>
        </w:rPr>
        <w:t>Current Transactions</w:t>
      </w:r>
      <w:r>
        <w:rPr>
          <w:rFonts w:cs="Arial"/>
        </w:rPr>
        <w:t>").</w:t>
      </w:r>
    </w:p>
    <w:p>
      <w:pPr>
        <w:pStyle w:val="Normal"/>
        <w:numPr>
          <w:ilvl w:val="0"/>
          <w:numId w:val="2"/>
        </w:numPr>
        <w:tabs>
          <w:tab w:val="clear" w:pos="720"/>
        </w:tabs>
        <w:spacing w:before="0" w:after="240"/>
        <w:ind w:hanging="709" w:start="709" w:end="0"/>
        <w:rPr>
          <w:rFonts w:cs="Arial"/>
        </w:rPr>
      </w:pPr>
      <w:r>
        <w:rPr>
          <w:rFonts w:cs="Arial"/>
        </w:rPr>
        <w:t>With respect to such Current Transactions, the Parties intend that the terms and conditions Version 3.0 shall substitute the equivalent terms and conditions of the Master Agreement pursuant to this Amendment Agreement.</w:t>
      </w:r>
    </w:p>
    <w:p>
      <w:pPr>
        <w:pStyle w:val="Normal"/>
        <w:numPr>
          <w:ilvl w:val="0"/>
          <w:numId w:val="2"/>
        </w:numPr>
        <w:tabs>
          <w:tab w:val="clear" w:pos="720"/>
        </w:tabs>
        <w:spacing w:before="0" w:after="240"/>
        <w:ind w:hanging="709" w:start="709" w:end="0"/>
        <w:rPr>
          <w:rFonts w:cs="Arial"/>
        </w:rPr>
      </w:pPr>
      <w:r>
        <w:rPr>
          <w:rFonts w:cs="Arial"/>
        </w:rPr>
        <w:t>The Parties intend that future Transactions shall be governed by the terms of the Master Agreement (as amended by this Amendment Agreement).</w:t>
      </w:r>
    </w:p>
    <w:p>
      <w:pPr>
        <w:pStyle w:val="Normal"/>
        <w:spacing w:before="0" w:after="240"/>
        <w:rPr/>
      </w:pPr>
      <w:r>
        <w:rPr>
          <w:rFonts w:cs="Arial"/>
        </w:rPr>
        <w:t>In consideration of the mutual undertakings in this</w:t>
      </w:r>
      <w:r>
        <w:rPr>
          <w:rFonts w:cs="Arial"/>
          <w:color w:val="000000"/>
        </w:rPr>
        <w:t xml:space="preserve"> Amendment Agreement a</w:t>
      </w:r>
      <w:r>
        <w:rPr>
          <w:rFonts w:cs="Arial"/>
        </w:rPr>
        <w:t xml:space="preserve">nd for other good and valuable consideration, the receipt and sufficiency of which the Parties acknowledge, </w:t>
      </w:r>
      <w:r>
        <w:rPr>
          <w:rFonts w:cs="Arial"/>
          <w:b/>
          <w:bCs/>
        </w:rPr>
        <w:t>the Parties agree as follows</w:t>
      </w:r>
      <w:r>
        <w:rPr>
          <w:rFonts w:cs="Arial"/>
        </w:rPr>
        <w:t>.</w:t>
      </w:r>
    </w:p>
    <w:p>
      <w:pPr>
        <w:pStyle w:val="HEAD-CENT"/>
        <w:numPr>
          <w:ilvl w:val="0"/>
          <w:numId w:val="3"/>
        </w:numPr>
        <w:ind w:hanging="0" w:start="0"/>
        <w:rPr>
          <w:bCs/>
          <w:sz w:val="22"/>
        </w:rPr>
      </w:pPr>
      <w:bookmarkStart w:id="0" w:name="__RefHeading___Toc196285442"/>
      <w:bookmarkEnd w:id="0"/>
      <w:r>
        <w:rPr>
          <w:bCs/>
          <w:sz w:val="22"/>
        </w:rPr>
        <w:t>Interpretation and Definitions</w:t>
      </w:r>
    </w:p>
    <w:p>
      <w:pPr>
        <w:pStyle w:val="PARA-2"/>
        <w:numPr>
          <w:ilvl w:val="1"/>
          <w:numId w:val="3"/>
        </w:numPr>
        <w:ind w:hanging="0" w:start="0"/>
        <w:rPr/>
      </w:pPr>
      <w:r>
        <w:rPr/>
        <w:t>The interpretive provisions set out in Version 3.0 apply to this Amendment Agreement.</w:t>
      </w:r>
    </w:p>
    <w:p>
      <w:pPr>
        <w:pStyle w:val="PARA-2"/>
        <w:numPr>
          <w:ilvl w:val="1"/>
          <w:numId w:val="3"/>
        </w:numPr>
        <w:ind w:hanging="0" w:start="0"/>
        <w:rPr/>
      </w:pPr>
      <w:r>
        <w:rPr/>
        <w:t>Terms defined in Version 3.0 have the same meaning in this Amendment Agreement unless otherwise specified.</w:t>
      </w:r>
    </w:p>
    <w:p>
      <w:pPr>
        <w:pStyle w:val="HEAD-CENT"/>
        <w:numPr>
          <w:ilvl w:val="0"/>
          <w:numId w:val="3"/>
        </w:numPr>
        <w:ind w:hanging="0" w:start="0"/>
        <w:rPr>
          <w:b w:val="false"/>
          <w:bCs/>
          <w:sz w:val="22"/>
        </w:rPr>
      </w:pPr>
      <w:bookmarkStart w:id="1" w:name="__RefHeading___Toc196285443"/>
      <w:bookmarkEnd w:id="1"/>
      <w:r>
        <w:rPr>
          <w:sz w:val="22"/>
        </w:rPr>
        <w:t>Amendments</w:t>
      </w:r>
    </w:p>
    <w:p>
      <w:pPr>
        <w:pStyle w:val="PARA-2"/>
        <w:numPr>
          <w:ilvl w:val="1"/>
          <w:numId w:val="3"/>
        </w:numPr>
        <w:ind w:hanging="0" w:start="0"/>
        <w:rPr>
          <w:bCs/>
        </w:rPr>
      </w:pPr>
      <w:r>
        <w:rPr>
          <w:bCs/>
        </w:rPr>
        <w:t>With effect from the date of this Amendment Agreement, the terms and conditions of the Master Agreement are amended as follows:</w:t>
      </w:r>
    </w:p>
    <w:p>
      <w:pPr>
        <w:pStyle w:val="PARA-a2"/>
        <w:numPr>
          <w:ilvl w:val="2"/>
          <w:numId w:val="6"/>
        </w:numPr>
        <w:spacing w:before="0" w:after="240"/>
        <w:rPr/>
      </w:pPr>
      <w:r>
        <w:rPr/>
        <w:t>the Recitals and clauses 1 to 14 of the Master Agreement are deleted and replaced with the Recitals and clauses 1 to 14 of Version 3.0, subject to the following:</w:t>
      </w:r>
    </w:p>
    <w:p>
      <w:pPr>
        <w:pStyle w:val="PARA-i1"/>
        <w:numPr>
          <w:ilvl w:val="3"/>
          <w:numId w:val="3"/>
        </w:numPr>
        <w:ind w:hanging="0" w:start="0"/>
        <w:rPr/>
      </w:pPr>
      <w:r>
        <w:rPr/>
        <w:t>the Parties agree that the reference to "this Agreement" in clause 12.2(b) (</w:t>
      </w:r>
      <w:r>
        <w:rPr>
          <w:i/>
          <w:iCs/>
        </w:rPr>
        <w:t>Representation or Warranty</w:t>
      </w:r>
      <w:r>
        <w:rPr/>
        <w:t>) of the Master Agreement shall include any ancillary or incidental agreement to the Master Agreement, including but not limited to this Amendment Agreement;</w:t>
      </w:r>
    </w:p>
    <w:p>
      <w:pPr>
        <w:pStyle w:val="PARA-i1"/>
        <w:numPr>
          <w:ilvl w:val="0"/>
          <w:numId w:val="0"/>
        </w:numPr>
        <w:ind w:hanging="0" w:start="1440" w:end="0"/>
        <w:rPr/>
      </w:pPr>
      <w:r>
        <w:rPr/>
      </w:r>
    </w:p>
    <w:p>
      <w:pPr>
        <w:pStyle w:val="PARA-a2"/>
        <w:numPr>
          <w:ilvl w:val="2"/>
          <w:numId w:val="6"/>
        </w:numPr>
        <w:spacing w:before="0" w:after="240"/>
        <w:rPr/>
      </w:pPr>
      <w:r>
        <w:rPr/>
        <w:t>Schedule 1 to the Master Agreement is deleted and replaced with Schedule 1 to Version 3.0;</w:t>
      </w:r>
    </w:p>
    <w:p>
      <w:pPr>
        <w:pStyle w:val="PARA-a2"/>
        <w:numPr>
          <w:ilvl w:val="2"/>
          <w:numId w:val="6"/>
        </w:numPr>
        <w:spacing w:before="0" w:after="240"/>
        <w:rPr/>
      </w:pPr>
      <w:r>
        <w:rPr/>
        <w:t>the 'elections' in Part 1 of Schedule 2 to the Master Agreement are amended as follows:</w:t>
      </w:r>
    </w:p>
    <w:p>
      <w:pPr>
        <w:pStyle w:val="PARA-i1"/>
        <w:numPr>
          <w:ilvl w:val="3"/>
          <w:numId w:val="3"/>
        </w:numPr>
        <w:ind w:hanging="0" w:start="0"/>
        <w:rPr/>
      </w:pPr>
      <w:r>
        <w:rPr/>
        <w:t>All references to "Seller" in Part 1 of Schedule 2 to the Master Agreement shall be replaced by references to "Delivering Party", and all references to "Buyer" in Part 1 of Schedule 2 of the Master Agreement shall be replaced by references to "Receiving Party".</w:t>
      </w:r>
    </w:p>
    <w:p>
      <w:pPr>
        <w:pStyle w:val="PARA-i1"/>
        <w:numPr>
          <w:ilvl w:val="0"/>
          <w:numId w:val="0"/>
        </w:numPr>
        <w:ind w:hanging="0" w:start="1440" w:end="0"/>
        <w:rPr/>
      </w:pPr>
      <w:r>
        <w:rPr/>
      </w:r>
    </w:p>
    <w:p>
      <w:pPr>
        <w:pStyle w:val="PARA-i1"/>
        <w:numPr>
          <w:ilvl w:val="3"/>
          <w:numId w:val="3"/>
        </w:numPr>
        <w:ind w:hanging="0" w:start="0"/>
        <w:rPr/>
      </w:pPr>
      <w:r>
        <w:rPr/>
        <w:t>The following elections are amended as follows:</w:t>
      </w:r>
    </w:p>
    <w:p>
      <w:pPr>
        <w:pStyle w:val="PARA-i1"/>
        <w:numPr>
          <w:ilvl w:val="0"/>
          <w:numId w:val="0"/>
        </w:numPr>
        <w:ind w:hanging="720" w:start="2160" w:end="0"/>
        <w:rPr/>
      </w:pPr>
      <w:r>
        <w:rPr/>
      </w:r>
    </w:p>
    <w:p>
      <w:pPr>
        <w:pStyle w:val="Normal"/>
        <w:spacing w:before="0" w:after="240"/>
        <w:ind w:hanging="720" w:start="2880" w:end="0"/>
        <w:rPr/>
      </w:pPr>
      <w:r>
        <w:rPr/>
        <w:t>4.1(c)</w:t>
        <w:tab/>
      </w:r>
      <w:r>
        <w:rPr>
          <w:b/>
          <w:bCs/>
        </w:rPr>
        <w:t>Delivering Party's Holding Account(s)</w:t>
      </w:r>
      <w:r>
        <w:rPr/>
        <w:t>.  The Delivering Party's Holding Account(s) for each Party are:</w:t>
      </w:r>
    </w:p>
    <w:p>
      <w:pPr>
        <w:pStyle w:val="Normal"/>
        <w:spacing w:before="0" w:after="120"/>
        <w:ind w:start="2880" w:end="0"/>
        <w:rPr/>
      </w:pPr>
      <w:r>
        <w:rPr/>
        <w:t>Holding Account Details of Party A:</w:t>
        <w:tab/>
      </w:r>
    </w:p>
    <w:tbl>
      <w:tblPr>
        <w:tblW w:w="6300" w:type="dxa"/>
        <w:jc w:val="start"/>
        <w:tblInd w:w="2988" w:type="dxa"/>
        <w:tblLayout w:type="fixed"/>
        <w:tblCellMar>
          <w:top w:w="0" w:type="dxa"/>
          <w:start w:w="108" w:type="dxa"/>
          <w:bottom w:w="0" w:type="dxa"/>
          <w:end w:w="108" w:type="dxa"/>
        </w:tblCellMar>
      </w:tblPr>
      <w:tblGrid>
        <w:gridCol w:w="1016"/>
        <w:gridCol w:w="5284"/>
      </w:tblGrid>
      <w:tr>
        <w:trPr/>
        <w:tc>
          <w:tcPr>
            <w:tcW w:w="1016"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jc w:val="start"/>
              <w:rPr>
                <w:b/>
                <w:bCs/>
              </w:rPr>
            </w:pPr>
            <w:r>
              <w:rPr>
                <w:b/>
                <w:bCs/>
              </w:rPr>
              <w:t>Account</w:t>
            </w:r>
          </w:p>
        </w:tc>
        <w:tc>
          <w:tcPr>
            <w:tcW w:w="5284"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258" w:end="0"/>
              <w:jc w:val="start"/>
              <w:rPr>
                <w:b/>
                <w:bCs/>
              </w:rPr>
            </w:pPr>
            <w:r>
              <w:rPr>
                <w:b/>
                <w:bCs/>
              </w:rPr>
              <w:t>Account number and name of relevant Member State Registry</w:t>
            </w:r>
          </w:p>
        </w:tc>
      </w:tr>
      <w:tr>
        <w:trPr/>
        <w:tc>
          <w:tcPr>
            <w:tcW w:w="1016"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(1)</w:t>
            </w:r>
          </w:p>
        </w:tc>
        <w:tc>
          <w:tcPr>
            <w:tcW w:w="5284"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w:t>
            </w:r>
          </w:p>
        </w:tc>
      </w:tr>
      <w:tr>
        <w:trPr/>
        <w:tc>
          <w:tcPr>
            <w:tcW w:w="1016"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(2)</w:t>
            </w:r>
          </w:p>
        </w:tc>
        <w:tc>
          <w:tcPr>
            <w:tcW w:w="5284"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w:t>
            </w:r>
          </w:p>
        </w:tc>
      </w:tr>
      <w:tr>
        <w:trPr/>
        <w:tc>
          <w:tcPr>
            <w:tcW w:w="1016"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(3)</w:t>
            </w:r>
          </w:p>
        </w:tc>
        <w:tc>
          <w:tcPr>
            <w:tcW w:w="5284"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w:t>
            </w:r>
          </w:p>
        </w:tc>
      </w:tr>
      <w:tr>
        <w:trPr/>
        <w:tc>
          <w:tcPr>
            <w:tcW w:w="1016"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(4)</w:t>
            </w:r>
          </w:p>
        </w:tc>
        <w:tc>
          <w:tcPr>
            <w:tcW w:w="5284"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w:t>
            </w:r>
          </w:p>
        </w:tc>
      </w:tr>
      <w:tr>
        <w:trPr>
          <w:trHeight w:val="183" w:hRule="atLeast"/>
        </w:trPr>
        <w:tc>
          <w:tcPr>
            <w:tcW w:w="1016"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(5)</w:t>
            </w:r>
          </w:p>
        </w:tc>
        <w:tc>
          <w:tcPr>
            <w:tcW w:w="5284"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w:t>
            </w:r>
          </w:p>
        </w:tc>
      </w:tr>
    </w:tbl>
    <w:p>
      <w:pPr>
        <w:pStyle w:val="Normal"/>
        <w:spacing w:before="0" w:after="120"/>
        <w:ind w:start="2160" w:end="0"/>
        <w:rPr>
          <w:b/>
          <w:bCs/>
        </w:rPr>
      </w:pPr>
      <w:r>
        <w:rPr>
          <w:b/>
          <w:bCs/>
        </w:rPr>
      </w:r>
    </w:p>
    <w:p>
      <w:pPr>
        <w:pStyle w:val="Normal"/>
        <w:keepNext w:val="true"/>
        <w:keepLines/>
        <w:spacing w:before="0" w:after="120"/>
        <w:ind w:start="2880" w:end="0"/>
        <w:rPr/>
      </w:pPr>
      <w:r>
        <w:rPr/>
        <w:t>Holding Account Details of Party B:</w:t>
        <w:tab/>
      </w:r>
    </w:p>
    <w:tbl>
      <w:tblPr>
        <w:tblW w:w="6300" w:type="dxa"/>
        <w:jc w:val="start"/>
        <w:tblInd w:w="2988" w:type="dxa"/>
        <w:tblLayout w:type="fixed"/>
        <w:tblCellMar>
          <w:top w:w="0" w:type="dxa"/>
          <w:start w:w="108" w:type="dxa"/>
          <w:bottom w:w="0" w:type="dxa"/>
          <w:end w:w="108" w:type="dxa"/>
        </w:tblCellMar>
      </w:tblPr>
      <w:tblGrid>
        <w:gridCol w:w="1016"/>
        <w:gridCol w:w="5284"/>
      </w:tblGrid>
      <w:tr>
        <w:trPr/>
        <w:tc>
          <w:tcPr>
            <w:tcW w:w="1016" w:type="dxa"/>
            <w:tcBorders>
              <w:top w:val="single" w:sz="4" w:space="0" w:color="000000"/>
              <w:start w:val="single" w:sz="4" w:space="0" w:color="000000"/>
              <w:bottom w:val="single" w:sz="4" w:space="0" w:color="000000"/>
              <w:end w:val="single" w:sz="4" w:space="0" w:color="000000"/>
            </w:tcBorders>
          </w:tcPr>
          <w:p>
            <w:pPr>
              <w:pStyle w:val="cc"/>
              <w:keepNext w:val="true"/>
              <w:keepLines/>
              <w:spacing w:before="0" w:after="120"/>
              <w:ind w:hanging="0" w:start="0" w:end="0"/>
              <w:jc w:val="start"/>
              <w:rPr>
                <w:b/>
                <w:bCs/>
              </w:rPr>
            </w:pPr>
            <w:r>
              <w:rPr>
                <w:b/>
                <w:bCs/>
              </w:rPr>
              <w:t>Account</w:t>
            </w:r>
          </w:p>
        </w:tc>
        <w:tc>
          <w:tcPr>
            <w:tcW w:w="5284" w:type="dxa"/>
            <w:tcBorders>
              <w:top w:val="single" w:sz="4" w:space="0" w:color="000000"/>
              <w:start w:val="single" w:sz="4" w:space="0" w:color="000000"/>
              <w:bottom w:val="single" w:sz="4" w:space="0" w:color="000000"/>
              <w:end w:val="single" w:sz="4" w:space="0" w:color="000000"/>
            </w:tcBorders>
          </w:tcPr>
          <w:p>
            <w:pPr>
              <w:pStyle w:val="cc"/>
              <w:keepNext w:val="true"/>
              <w:keepLines/>
              <w:spacing w:before="0" w:after="120"/>
              <w:ind w:hanging="0" w:start="258" w:end="0"/>
              <w:jc w:val="start"/>
              <w:rPr>
                <w:b/>
                <w:bCs/>
              </w:rPr>
            </w:pPr>
            <w:r>
              <w:rPr>
                <w:b/>
                <w:bCs/>
              </w:rPr>
              <w:t>Account number and name of relevant Member State Registry</w:t>
            </w:r>
          </w:p>
        </w:tc>
      </w:tr>
      <w:tr>
        <w:trPr/>
        <w:tc>
          <w:tcPr>
            <w:tcW w:w="1016"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(1)</w:t>
            </w:r>
          </w:p>
        </w:tc>
        <w:tc>
          <w:tcPr>
            <w:tcW w:w="5284"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w:t>
            </w:r>
          </w:p>
        </w:tc>
      </w:tr>
      <w:tr>
        <w:trPr/>
        <w:tc>
          <w:tcPr>
            <w:tcW w:w="1016"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(2)</w:t>
            </w:r>
          </w:p>
        </w:tc>
        <w:tc>
          <w:tcPr>
            <w:tcW w:w="5284"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w:t>
            </w:r>
          </w:p>
        </w:tc>
      </w:tr>
      <w:tr>
        <w:trPr/>
        <w:tc>
          <w:tcPr>
            <w:tcW w:w="1016"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(3)</w:t>
            </w:r>
          </w:p>
        </w:tc>
        <w:tc>
          <w:tcPr>
            <w:tcW w:w="5284"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w:t>
            </w:r>
          </w:p>
        </w:tc>
      </w:tr>
      <w:tr>
        <w:trPr/>
        <w:tc>
          <w:tcPr>
            <w:tcW w:w="1016"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(4)</w:t>
            </w:r>
          </w:p>
        </w:tc>
        <w:tc>
          <w:tcPr>
            <w:tcW w:w="5284"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w:t>
            </w:r>
          </w:p>
        </w:tc>
      </w:tr>
      <w:tr>
        <w:trPr>
          <w:trHeight w:val="183" w:hRule="atLeast"/>
        </w:trPr>
        <w:tc>
          <w:tcPr>
            <w:tcW w:w="1016"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(5)</w:t>
            </w:r>
          </w:p>
        </w:tc>
        <w:tc>
          <w:tcPr>
            <w:tcW w:w="5284"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w:t>
            </w:r>
          </w:p>
        </w:tc>
      </w:tr>
    </w:tbl>
    <w:p>
      <w:pPr>
        <w:pStyle w:val="Normal"/>
        <w:ind w:firstLine="720" w:end="0"/>
        <w:rPr/>
      </w:pPr>
      <w:r>
        <w:rPr/>
      </w:r>
    </w:p>
    <w:p>
      <w:pPr>
        <w:pStyle w:val="Normal"/>
        <w:spacing w:before="0" w:after="240"/>
        <w:ind w:hanging="720" w:start="2880" w:end="0"/>
        <w:rPr/>
      </w:pPr>
      <w:r>
        <w:rPr/>
        <w:t>Schedule 1</w:t>
        <w:tab/>
      </w:r>
      <w:r>
        <w:rPr>
          <w:b/>
          <w:bCs/>
        </w:rPr>
        <w:t>Receiving Party's Holding Account</w:t>
      </w:r>
      <w:r>
        <w:rPr/>
        <w:t>.  The Receiving Party's Holding Account(s) for each Party are:</w:t>
      </w:r>
    </w:p>
    <w:p>
      <w:pPr>
        <w:pStyle w:val="Normal"/>
        <w:spacing w:before="0" w:after="120"/>
        <w:ind w:start="2880" w:end="0"/>
        <w:rPr/>
      </w:pPr>
      <w:r>
        <w:rPr/>
        <w:t>Holding Account Details of Party A:</w:t>
        <w:tab/>
      </w:r>
    </w:p>
    <w:tbl>
      <w:tblPr>
        <w:tblW w:w="6300" w:type="dxa"/>
        <w:jc w:val="start"/>
        <w:tblInd w:w="2988" w:type="dxa"/>
        <w:tblLayout w:type="fixed"/>
        <w:tblCellMar>
          <w:top w:w="0" w:type="dxa"/>
          <w:start w:w="108" w:type="dxa"/>
          <w:bottom w:w="0" w:type="dxa"/>
          <w:end w:w="108" w:type="dxa"/>
        </w:tblCellMar>
      </w:tblPr>
      <w:tblGrid>
        <w:gridCol w:w="1016"/>
        <w:gridCol w:w="5284"/>
      </w:tblGrid>
      <w:tr>
        <w:trPr/>
        <w:tc>
          <w:tcPr>
            <w:tcW w:w="1016"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jc w:val="start"/>
              <w:rPr>
                <w:b/>
                <w:bCs/>
              </w:rPr>
            </w:pPr>
            <w:r>
              <w:rPr>
                <w:b/>
                <w:bCs/>
              </w:rPr>
              <w:t>Account</w:t>
            </w:r>
          </w:p>
        </w:tc>
        <w:tc>
          <w:tcPr>
            <w:tcW w:w="5284"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258" w:end="0"/>
              <w:jc w:val="start"/>
              <w:rPr>
                <w:b/>
                <w:bCs/>
              </w:rPr>
            </w:pPr>
            <w:r>
              <w:rPr>
                <w:b/>
                <w:bCs/>
              </w:rPr>
              <w:t>Account number and name of relevant Member State Registry</w:t>
            </w:r>
          </w:p>
        </w:tc>
      </w:tr>
      <w:tr>
        <w:trPr/>
        <w:tc>
          <w:tcPr>
            <w:tcW w:w="1016"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(1)</w:t>
            </w:r>
          </w:p>
        </w:tc>
        <w:tc>
          <w:tcPr>
            <w:tcW w:w="5284"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w:t>
            </w:r>
          </w:p>
        </w:tc>
      </w:tr>
      <w:tr>
        <w:trPr/>
        <w:tc>
          <w:tcPr>
            <w:tcW w:w="1016"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(2)</w:t>
            </w:r>
          </w:p>
        </w:tc>
        <w:tc>
          <w:tcPr>
            <w:tcW w:w="5284"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w:t>
            </w:r>
          </w:p>
        </w:tc>
      </w:tr>
      <w:tr>
        <w:trPr/>
        <w:tc>
          <w:tcPr>
            <w:tcW w:w="1016"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(3)</w:t>
            </w:r>
          </w:p>
        </w:tc>
        <w:tc>
          <w:tcPr>
            <w:tcW w:w="5284"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w:t>
            </w:r>
          </w:p>
        </w:tc>
      </w:tr>
      <w:tr>
        <w:trPr/>
        <w:tc>
          <w:tcPr>
            <w:tcW w:w="1016"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(4)</w:t>
            </w:r>
          </w:p>
        </w:tc>
        <w:tc>
          <w:tcPr>
            <w:tcW w:w="5284"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w:t>
            </w:r>
          </w:p>
        </w:tc>
      </w:tr>
      <w:tr>
        <w:trPr>
          <w:trHeight w:val="183" w:hRule="atLeast"/>
        </w:trPr>
        <w:tc>
          <w:tcPr>
            <w:tcW w:w="1016"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(5)</w:t>
            </w:r>
          </w:p>
        </w:tc>
        <w:tc>
          <w:tcPr>
            <w:tcW w:w="5284"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w:t>
            </w:r>
          </w:p>
        </w:tc>
      </w:tr>
    </w:tbl>
    <w:p>
      <w:pPr>
        <w:pStyle w:val="Normal"/>
        <w:spacing w:before="0" w:after="120"/>
        <w:ind w:start="2160" w:end="0"/>
        <w:rPr>
          <w:b/>
          <w:bCs/>
        </w:rPr>
      </w:pPr>
      <w:r>
        <w:rPr>
          <w:b/>
          <w:bCs/>
        </w:rPr>
      </w:r>
    </w:p>
    <w:p>
      <w:pPr>
        <w:pStyle w:val="Normal"/>
        <w:keepNext w:val="true"/>
        <w:keepLines/>
        <w:spacing w:before="0" w:after="120"/>
        <w:ind w:start="2880" w:end="0"/>
        <w:rPr/>
      </w:pPr>
      <w:r>
        <w:rPr/>
        <w:t>Holding Account Details of Party B:</w:t>
        <w:tab/>
      </w:r>
    </w:p>
    <w:tbl>
      <w:tblPr>
        <w:tblW w:w="6300" w:type="dxa"/>
        <w:jc w:val="start"/>
        <w:tblInd w:w="2988" w:type="dxa"/>
        <w:tblLayout w:type="fixed"/>
        <w:tblCellMar>
          <w:top w:w="0" w:type="dxa"/>
          <w:start w:w="108" w:type="dxa"/>
          <w:bottom w:w="0" w:type="dxa"/>
          <w:end w:w="108" w:type="dxa"/>
        </w:tblCellMar>
      </w:tblPr>
      <w:tblGrid>
        <w:gridCol w:w="1016"/>
        <w:gridCol w:w="5284"/>
      </w:tblGrid>
      <w:tr>
        <w:trPr/>
        <w:tc>
          <w:tcPr>
            <w:tcW w:w="1016" w:type="dxa"/>
            <w:tcBorders>
              <w:top w:val="single" w:sz="4" w:space="0" w:color="000000"/>
              <w:start w:val="single" w:sz="4" w:space="0" w:color="000000"/>
              <w:bottom w:val="single" w:sz="4" w:space="0" w:color="000000"/>
              <w:end w:val="single" w:sz="4" w:space="0" w:color="000000"/>
            </w:tcBorders>
          </w:tcPr>
          <w:p>
            <w:pPr>
              <w:pStyle w:val="cc"/>
              <w:keepNext w:val="true"/>
              <w:keepLines/>
              <w:spacing w:before="0" w:after="120"/>
              <w:ind w:hanging="0" w:start="0" w:end="0"/>
              <w:jc w:val="start"/>
              <w:rPr>
                <w:b/>
                <w:bCs/>
              </w:rPr>
            </w:pPr>
            <w:r>
              <w:rPr>
                <w:b/>
                <w:bCs/>
              </w:rPr>
              <w:t>Account</w:t>
            </w:r>
          </w:p>
        </w:tc>
        <w:tc>
          <w:tcPr>
            <w:tcW w:w="5284" w:type="dxa"/>
            <w:tcBorders>
              <w:top w:val="single" w:sz="4" w:space="0" w:color="000000"/>
              <w:start w:val="single" w:sz="4" w:space="0" w:color="000000"/>
              <w:bottom w:val="single" w:sz="4" w:space="0" w:color="000000"/>
              <w:end w:val="single" w:sz="4" w:space="0" w:color="000000"/>
            </w:tcBorders>
          </w:tcPr>
          <w:p>
            <w:pPr>
              <w:pStyle w:val="cc"/>
              <w:keepNext w:val="true"/>
              <w:keepLines/>
              <w:spacing w:before="0" w:after="120"/>
              <w:ind w:hanging="0" w:start="258" w:end="0"/>
              <w:jc w:val="start"/>
              <w:rPr>
                <w:b/>
                <w:bCs/>
              </w:rPr>
            </w:pPr>
            <w:r>
              <w:rPr>
                <w:b/>
                <w:bCs/>
              </w:rPr>
              <w:t>Account number and name of relevant Member State Registry</w:t>
            </w:r>
          </w:p>
        </w:tc>
      </w:tr>
      <w:tr>
        <w:trPr/>
        <w:tc>
          <w:tcPr>
            <w:tcW w:w="1016"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(1)</w:t>
            </w:r>
          </w:p>
        </w:tc>
        <w:tc>
          <w:tcPr>
            <w:tcW w:w="5284"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w:t>
            </w:r>
          </w:p>
        </w:tc>
      </w:tr>
      <w:tr>
        <w:trPr/>
        <w:tc>
          <w:tcPr>
            <w:tcW w:w="1016"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(2)</w:t>
            </w:r>
          </w:p>
        </w:tc>
        <w:tc>
          <w:tcPr>
            <w:tcW w:w="5284"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w:t>
            </w:r>
          </w:p>
        </w:tc>
      </w:tr>
      <w:tr>
        <w:trPr/>
        <w:tc>
          <w:tcPr>
            <w:tcW w:w="1016"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(3)</w:t>
            </w:r>
          </w:p>
        </w:tc>
        <w:tc>
          <w:tcPr>
            <w:tcW w:w="5284"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w:t>
            </w:r>
          </w:p>
        </w:tc>
      </w:tr>
      <w:tr>
        <w:trPr/>
        <w:tc>
          <w:tcPr>
            <w:tcW w:w="1016"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(4)</w:t>
            </w:r>
          </w:p>
        </w:tc>
        <w:tc>
          <w:tcPr>
            <w:tcW w:w="5284"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w:t>
            </w:r>
          </w:p>
        </w:tc>
      </w:tr>
      <w:tr>
        <w:trPr>
          <w:trHeight w:val="183" w:hRule="atLeast"/>
        </w:trPr>
        <w:tc>
          <w:tcPr>
            <w:tcW w:w="1016"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(5)</w:t>
            </w:r>
          </w:p>
        </w:tc>
        <w:tc>
          <w:tcPr>
            <w:tcW w:w="5284" w:type="dxa"/>
            <w:tcBorders>
              <w:top w:val="single" w:sz="4" w:space="0" w:color="000000"/>
              <w:start w:val="single" w:sz="4" w:space="0" w:color="000000"/>
              <w:bottom w:val="single" w:sz="4" w:space="0" w:color="000000"/>
              <w:end w:val="single" w:sz="4" w:space="0" w:color="000000"/>
            </w:tcBorders>
          </w:tcPr>
          <w:p>
            <w:pPr>
              <w:pStyle w:val="cc"/>
              <w:spacing w:before="0" w:after="120"/>
              <w:ind w:hanging="0" w:start="0" w:end="0"/>
              <w:rPr/>
            </w:pPr>
            <w:r>
              <w:rPr/>
              <w:t>[•]</w:t>
            </w:r>
          </w:p>
        </w:tc>
      </w:tr>
    </w:tbl>
    <w:p>
      <w:pPr>
        <w:pStyle w:val="PARA-i1"/>
        <w:numPr>
          <w:ilvl w:val="0"/>
          <w:numId w:val="0"/>
        </w:numPr>
        <w:ind w:hanging="720" w:start="2160" w:end="0"/>
        <w:rPr/>
      </w:pPr>
      <w:r>
        <w:rPr/>
      </w:r>
    </w:p>
    <w:p>
      <w:pPr>
        <w:pStyle w:val="PARA-i1"/>
        <w:numPr>
          <w:ilvl w:val="3"/>
          <w:numId w:val="3"/>
        </w:numPr>
        <w:ind w:hanging="0" w:start="0"/>
        <w:rPr/>
      </w:pPr>
      <w:r>
        <w:rPr/>
        <w:t>The following election is included in Schedule 2 to the Master Agreement:</w:t>
      </w:r>
    </w:p>
    <w:p>
      <w:pPr>
        <w:pStyle w:val="PARA-i1"/>
        <w:numPr>
          <w:ilvl w:val="0"/>
          <w:numId w:val="0"/>
        </w:numPr>
        <w:ind w:hanging="720" w:start="2160" w:end="0"/>
        <w:rPr/>
      </w:pPr>
      <w:r>
        <w:rPr/>
      </w:r>
    </w:p>
    <w:p>
      <w:pPr>
        <w:pStyle w:val="Normal"/>
        <w:spacing w:before="0" w:after="240"/>
        <w:ind w:hanging="720" w:start="2880" w:end="0"/>
        <w:rPr/>
      </w:pPr>
      <w:r>
        <w:rPr/>
        <w:t>14.5</w:t>
        <w:tab/>
      </w:r>
      <w:r>
        <w:rPr>
          <w:b/>
          <w:bCs/>
        </w:rPr>
        <w:t>Notices</w:t>
      </w:r>
      <w:r>
        <w:rPr/>
        <w:t>.  For the purpose of clause 14.5 (</w:t>
      </w:r>
      <w:r>
        <w:rPr>
          <w:i/>
          <w:iCs/>
        </w:rPr>
        <w:t>Notices</w:t>
      </w:r>
      <w:r>
        <w:rPr/>
        <w:t>):</w:t>
      </w:r>
    </w:p>
    <w:p>
      <w:pPr>
        <w:pStyle w:val="Normal"/>
        <w:spacing w:before="0" w:after="240"/>
        <w:ind w:hanging="720" w:start="2880" w:end="0"/>
        <w:rPr/>
      </w:pPr>
      <w:r>
        <w:rPr/>
        <w:tab/>
        <w:t>Address for notices or communications to Party A:</w:t>
      </w:r>
    </w:p>
    <w:p>
      <w:pPr>
        <w:pStyle w:val="Normal"/>
        <w:spacing w:before="0" w:after="240"/>
        <w:ind w:hanging="720" w:start="2880" w:end="0"/>
        <w:rPr/>
      </w:pPr>
      <w:r>
        <w:rPr/>
        <w:tab/>
        <w:t xml:space="preserve">Address: </w:t>
      </w:r>
      <w:r>
        <w:rPr>
          <w:u w:val="single"/>
        </w:rPr>
        <w:tab/>
        <w:tab/>
        <w:tab/>
        <w:tab/>
        <w:tab/>
        <w:tab/>
        <w:tab/>
      </w:r>
    </w:p>
    <w:p>
      <w:pPr>
        <w:pStyle w:val="Normal"/>
        <w:spacing w:before="0" w:after="240"/>
        <w:ind w:start="2880" w:end="0"/>
        <w:rPr/>
      </w:pPr>
      <w:r>
        <w:rPr/>
        <w:t xml:space="preserve">Attention: </w:t>
      </w:r>
      <w:r>
        <w:rPr>
          <w:u w:val="single"/>
        </w:rPr>
        <w:tab/>
        <w:tab/>
        <w:tab/>
        <w:tab/>
        <w:tab/>
        <w:tab/>
        <w:tab/>
      </w:r>
    </w:p>
    <w:p>
      <w:pPr>
        <w:pStyle w:val="Normal"/>
        <w:spacing w:before="0" w:after="240"/>
        <w:ind w:start="2880" w:end="0"/>
        <w:rPr/>
      </w:pPr>
      <w:r>
        <w:rPr/>
        <w:t>Telex No.:</w:t>
      </w:r>
      <w:r>
        <w:rPr>
          <w:u w:val="single"/>
        </w:rPr>
        <w:tab/>
        <w:tab/>
        <w:t xml:space="preserve">       </w:t>
      </w:r>
      <w:r>
        <w:rPr/>
        <w:tab/>
        <w:t xml:space="preserve">Answerback: </w:t>
      </w:r>
      <w:r>
        <w:rPr>
          <w:u w:val="single"/>
        </w:rPr>
        <w:tab/>
        <w:tab/>
        <w:tab/>
      </w:r>
    </w:p>
    <w:p>
      <w:pPr>
        <w:pStyle w:val="Normal"/>
        <w:spacing w:before="0" w:after="240"/>
        <w:ind w:start="2880" w:end="0"/>
        <w:rPr/>
      </w:pPr>
      <w:r>
        <w:rPr/>
        <w:t xml:space="preserve">Facsimile No.: </w:t>
      </w:r>
      <w:r>
        <w:rPr>
          <w:u w:val="single"/>
        </w:rPr>
        <w:tab/>
        <w:tab/>
        <w:t xml:space="preserve">          </w:t>
      </w:r>
      <w:r>
        <w:rPr/>
        <w:tab/>
        <w:t xml:space="preserve">Telephone No.: </w:t>
        <w:tab/>
      </w:r>
      <w:r>
        <w:rPr>
          <w:u w:val="single"/>
        </w:rPr>
        <w:tab/>
        <w:tab/>
      </w:r>
    </w:p>
    <w:p>
      <w:pPr>
        <w:pStyle w:val="Normal"/>
        <w:spacing w:before="0" w:after="240"/>
        <w:ind w:start="2880" w:end="0"/>
        <w:rPr/>
      </w:pPr>
      <w:r>
        <w:rPr/>
        <w:t>E-mail:</w:t>
        <w:tab/>
      </w:r>
      <w:r>
        <w:rPr>
          <w:u w:val="single"/>
        </w:rPr>
        <w:tab/>
        <w:tab/>
        <w:tab/>
        <w:tab/>
        <w:tab/>
        <w:tab/>
        <w:tab/>
      </w:r>
    </w:p>
    <w:p>
      <w:pPr>
        <w:pStyle w:val="Normal"/>
        <w:spacing w:before="0" w:after="240"/>
        <w:ind w:start="2880" w:end="0"/>
        <w:rPr/>
      </w:pPr>
      <w:r>
        <w:rPr/>
        <w:t xml:space="preserve">Electronic Messaging System Details: </w:t>
        <w:tab/>
      </w:r>
      <w:r>
        <w:rPr>
          <w:u w:val="single"/>
        </w:rPr>
        <w:tab/>
        <w:tab/>
        <w:tab/>
      </w:r>
    </w:p>
    <w:p>
      <w:pPr>
        <w:pStyle w:val="Normal"/>
        <w:spacing w:before="0" w:after="240"/>
        <w:ind w:start="2880" w:end="0"/>
        <w:rPr/>
      </w:pPr>
      <w:r>
        <w:rPr/>
        <w:t xml:space="preserve">Specific Instructions: </w:t>
        <w:tab/>
      </w:r>
      <w:r>
        <w:rPr>
          <w:u w:val="single"/>
        </w:rPr>
        <w:tab/>
        <w:tab/>
        <w:tab/>
        <w:tab/>
        <w:tab/>
      </w:r>
    </w:p>
    <w:p>
      <w:pPr>
        <w:pStyle w:val="Normal"/>
        <w:spacing w:before="240" w:after="240"/>
        <w:ind w:start="2880" w:end="0"/>
        <w:rPr/>
      </w:pPr>
      <w:r>
        <w:rPr/>
        <w:t>Address for notices or communications to Party B:</w:t>
      </w:r>
    </w:p>
    <w:p>
      <w:pPr>
        <w:pStyle w:val="Normal"/>
        <w:spacing w:before="0" w:after="240"/>
        <w:ind w:start="2880" w:end="0"/>
        <w:rPr/>
      </w:pPr>
      <w:r>
        <w:rPr/>
        <w:t xml:space="preserve">Address: </w:t>
      </w:r>
      <w:r>
        <w:rPr>
          <w:u w:val="single"/>
        </w:rPr>
        <w:tab/>
        <w:tab/>
        <w:tab/>
        <w:tab/>
        <w:tab/>
        <w:t xml:space="preserve"> </w:t>
        <w:tab/>
        <w:tab/>
      </w:r>
    </w:p>
    <w:p>
      <w:pPr>
        <w:pStyle w:val="Normal"/>
        <w:spacing w:before="0" w:after="240"/>
        <w:ind w:start="2880" w:end="0"/>
        <w:rPr/>
      </w:pPr>
      <w:r>
        <w:rPr/>
        <w:t xml:space="preserve">Attention: </w:t>
      </w:r>
      <w:r>
        <w:rPr>
          <w:u w:val="single"/>
        </w:rPr>
        <w:tab/>
        <w:tab/>
        <w:tab/>
        <w:tab/>
        <w:tab/>
        <w:tab/>
        <w:tab/>
      </w:r>
    </w:p>
    <w:p>
      <w:pPr>
        <w:pStyle w:val="Normal"/>
        <w:spacing w:before="0" w:after="240"/>
        <w:ind w:start="2880" w:end="0"/>
        <w:rPr/>
      </w:pPr>
      <w:r>
        <w:rPr/>
        <w:t xml:space="preserve">Telex No.: </w:t>
      </w:r>
      <w:r>
        <w:rPr>
          <w:u w:val="single"/>
        </w:rPr>
        <w:tab/>
        <w:tab/>
        <w:t xml:space="preserve">        </w:t>
      </w:r>
      <w:r>
        <w:rPr/>
        <w:tab/>
        <w:t xml:space="preserve">Answerback: </w:t>
      </w:r>
      <w:r>
        <w:rPr>
          <w:u w:val="single"/>
        </w:rPr>
        <w:tab/>
        <w:tab/>
        <w:tab/>
      </w:r>
    </w:p>
    <w:p>
      <w:pPr>
        <w:pStyle w:val="Normal"/>
        <w:spacing w:before="0" w:after="240"/>
        <w:ind w:start="2880" w:end="0"/>
        <w:rPr/>
      </w:pPr>
      <w:r>
        <w:rPr/>
        <w:t xml:space="preserve">Facsimile No.: </w:t>
      </w:r>
      <w:r>
        <w:rPr>
          <w:u w:val="single"/>
        </w:rPr>
        <w:tab/>
        <w:tab/>
        <w:t xml:space="preserve">          </w:t>
      </w:r>
      <w:r>
        <w:rPr/>
        <w:tab/>
        <w:t xml:space="preserve">Telephone No.: </w:t>
      </w:r>
      <w:r>
        <w:rPr>
          <w:u w:val="single"/>
        </w:rPr>
        <w:tab/>
        <w:tab/>
        <w:tab/>
      </w:r>
    </w:p>
    <w:p>
      <w:pPr>
        <w:pStyle w:val="Normal"/>
        <w:spacing w:before="0" w:after="240"/>
        <w:ind w:start="2880" w:end="0"/>
        <w:rPr/>
      </w:pPr>
      <w:r>
        <w:rPr/>
        <w:t>E-mail:</w:t>
        <w:tab/>
      </w:r>
      <w:r>
        <w:rPr>
          <w:u w:val="single"/>
        </w:rPr>
        <w:tab/>
        <w:tab/>
        <w:tab/>
        <w:tab/>
        <w:tab/>
        <w:tab/>
        <w:tab/>
      </w:r>
    </w:p>
    <w:p>
      <w:pPr>
        <w:pStyle w:val="Normal"/>
        <w:spacing w:before="0" w:after="240"/>
        <w:ind w:start="2880" w:end="0"/>
        <w:rPr/>
      </w:pPr>
      <w:r>
        <w:rPr/>
        <w:t xml:space="preserve">Electronic Messaging System Details: </w:t>
        <w:tab/>
      </w:r>
      <w:r>
        <w:rPr>
          <w:u w:val="single"/>
        </w:rPr>
        <w:tab/>
        <w:tab/>
        <w:tab/>
      </w:r>
    </w:p>
    <w:p>
      <w:pPr>
        <w:sectPr>
          <w:headerReference w:type="default" r:id="rId6"/>
          <w:headerReference w:type="first" r:id="rId7"/>
          <w:footerReference w:type="default" r:id="rId8"/>
          <w:footerReference w:type="first" r:id="rId9"/>
          <w:type w:val="nextPage"/>
          <w:pgSz w:w="11906" w:h="16838"/>
          <w:pgMar w:left="1440" w:right="1440" w:gutter="0" w:header="720" w:top="1440" w:footer="720" w:bottom="1440"/>
          <w:pgNumType w:start="3" w:fmt="decimal"/>
          <w:formProt w:val="false"/>
          <w:textDirection w:val="lrTb"/>
          <w:docGrid w:type="default" w:linePitch="360" w:charSpace="0"/>
        </w:sectPr>
        <w:pStyle w:val="PARA-i1"/>
        <w:numPr>
          <w:ilvl w:val="0"/>
          <w:numId w:val="0"/>
        </w:numPr>
        <w:ind w:hanging="720" w:start="3600" w:end="0"/>
        <w:rPr/>
      </w:pPr>
      <w:r>
        <w:rPr/>
        <w:t xml:space="preserve">Specific Instructions: </w:t>
        <w:tab/>
      </w:r>
      <w:r>
        <w:rPr>
          <w:u w:val="single"/>
        </w:rPr>
        <w:tab/>
        <w:tab/>
        <w:tab/>
        <w:tab/>
        <w:tab/>
      </w:r>
    </w:p>
    <w:p>
      <w:pPr>
        <w:pStyle w:val="PARA-a2"/>
        <w:numPr>
          <w:ilvl w:val="2"/>
          <w:numId w:val="6"/>
        </w:numPr>
        <w:spacing w:before="0" w:after="240"/>
        <w:rPr/>
      </w:pPr>
      <w:r>
        <w:rPr/>
        <w:t>the 'other provisions' in Part 2 (and any other Part) of Schedule 2 to the Master Agreement are amended as follows:</w:t>
      </w:r>
    </w:p>
    <w:p>
      <w:pPr>
        <w:pStyle w:val="PARA-i1"/>
        <w:numPr>
          <w:ilvl w:val="3"/>
          <w:numId w:val="3"/>
        </w:numPr>
        <w:ind w:hanging="0" w:start="0"/>
        <w:rPr/>
      </w:pPr>
      <w:r>
        <w:rPr/>
        <w:t>The following provisions are deleted</w:t>
      </w:r>
      <w:r>
        <w:rPr>
          <w:rStyle w:val="FootnoteCharacters"/>
          <w:rStyle w:val="FootnoteReference"/>
        </w:rPr>
        <w:footnoteReference w:id="2"/>
      </w:r>
      <w:r>
        <w:rPr/>
        <w:t>:</w:t>
      </w:r>
    </w:p>
    <w:p>
      <w:pPr>
        <w:pStyle w:val="Normal"/>
        <w:ind w:start="2880" w:end="0"/>
        <w:rPr/>
      </w:pPr>
      <w:r>
        <w:rPr/>
      </w:r>
    </w:p>
    <w:p>
      <w:pPr>
        <w:pStyle w:val="Normal"/>
        <w:ind w:start="2880" w:end="0"/>
        <w:rPr/>
      </w:pPr>
      <w:r>
        <w:rPr/>
        <w:t xml:space="preserve">Paragraph(s): </w:t>
      </w:r>
      <w:r>
        <w:rPr>
          <w:u w:val="single"/>
        </w:rPr>
        <w:t xml:space="preserve"> </w:t>
        <w:tab/>
        <w:tab/>
        <w:tab/>
        <w:tab/>
        <w:tab/>
        <w:tab/>
        <w:tab/>
      </w:r>
    </w:p>
    <w:p>
      <w:pPr>
        <w:pStyle w:val="Normal"/>
        <w:ind w:start="2880" w:end="0"/>
        <w:rPr>
          <w:u w:val="single"/>
        </w:rPr>
      </w:pPr>
      <w:r>
        <w:rPr>
          <w:u w:val="single"/>
        </w:rPr>
      </w:r>
    </w:p>
    <w:p>
      <w:pPr>
        <w:pStyle w:val="Normal"/>
        <w:ind w:start="2880" w:end="0"/>
        <w:rPr>
          <w:u w:val="single"/>
        </w:rPr>
      </w:pPr>
      <w:r>
        <w:rPr>
          <w:u w:val="single"/>
        </w:rPr>
        <w:tab/>
        <w:tab/>
        <w:tab/>
        <w:tab/>
        <w:tab/>
        <w:tab/>
        <w:tab/>
        <w:tab/>
      </w:r>
    </w:p>
    <w:p>
      <w:pPr>
        <w:pStyle w:val="Normal"/>
        <w:ind w:start="2880" w:end="0"/>
        <w:rPr/>
      </w:pPr>
      <w:r>
        <w:rPr/>
      </w:r>
    </w:p>
    <w:p>
      <w:pPr>
        <w:pStyle w:val="PARA-i1"/>
        <w:numPr>
          <w:ilvl w:val="0"/>
          <w:numId w:val="0"/>
        </w:numPr>
        <w:ind w:hanging="720" w:start="2160" w:end="0"/>
        <w:rPr/>
      </w:pPr>
      <w:r>
        <w:rPr/>
      </w:r>
    </w:p>
    <w:p>
      <w:pPr>
        <w:pStyle w:val="PARA-a2"/>
        <w:numPr>
          <w:ilvl w:val="2"/>
          <w:numId w:val="6"/>
        </w:numPr>
        <w:spacing w:before="0" w:after="240"/>
        <w:rPr/>
      </w:pPr>
      <w:r>
        <w:rPr/>
        <w:t>Schedule 3 to the Master Agreement is deleted and replaced with Schedule 3 to Version 3.0.</w:t>
      </w:r>
    </w:p>
    <w:p>
      <w:pPr>
        <w:pStyle w:val="PARA-2"/>
        <w:numPr>
          <w:ilvl w:val="1"/>
          <w:numId w:val="3"/>
        </w:numPr>
        <w:ind w:hanging="0" w:start="0"/>
        <w:rPr/>
      </w:pPr>
      <w:r>
        <w:rPr/>
        <w:t xml:space="preserve">With effect from the date of this Amendment Agreement, </w:t>
      </w:r>
      <w:r>
        <w:rPr>
          <w:bCs/>
        </w:rPr>
        <w:t xml:space="preserve">each Current Transaction </w:t>
      </w:r>
      <w:r>
        <w:rPr/>
        <w:t>shall be governed by the terms of the Master Agreement as amended by this Amendment Agreement.</w:t>
      </w:r>
    </w:p>
    <w:p>
      <w:pPr>
        <w:pStyle w:val="HEAD-CENT"/>
        <w:numPr>
          <w:ilvl w:val="0"/>
          <w:numId w:val="3"/>
        </w:numPr>
        <w:ind w:hanging="0" w:start="0"/>
        <w:rPr>
          <w:sz w:val="22"/>
        </w:rPr>
      </w:pPr>
      <w:bookmarkStart w:id="2" w:name="__RefHeading___Toc196285444"/>
      <w:bookmarkEnd w:id="2"/>
      <w:r>
        <w:rPr>
          <w:sz w:val="22"/>
        </w:rPr>
        <w:t>Representations and Warranties</w:t>
      </w:r>
    </w:p>
    <w:p>
      <w:pPr>
        <w:pStyle w:val="PARA-2"/>
        <w:numPr>
          <w:ilvl w:val="1"/>
          <w:numId w:val="3"/>
        </w:numPr>
        <w:ind w:hanging="0" w:start="0"/>
        <w:rPr/>
      </w:pPr>
      <w:r>
        <w:rPr>
          <w:b/>
          <w:bCs/>
        </w:rPr>
        <w:t>Representations and Warranties</w:t>
      </w:r>
      <w:r>
        <w:rPr/>
        <w:t>. The Representations and Warranties set out in clause 3.1 of the Master Agreement (as amended by this Amendment Agreement) are deemed to be made by each Party (by reference to the facts and circumstances then existing) on the date of this Amendment Agreement as if set out in full in this Amendment Agreement, with any reference to the "Agreement" being construed to include a reference to this "Amendment Agreement".</w:t>
      </w:r>
    </w:p>
    <w:p>
      <w:pPr>
        <w:pStyle w:val="HEAD-CENT"/>
        <w:numPr>
          <w:ilvl w:val="0"/>
          <w:numId w:val="3"/>
        </w:numPr>
        <w:ind w:hanging="0" w:start="0"/>
        <w:rPr>
          <w:rFonts w:cs="Arial"/>
          <w:sz w:val="22"/>
        </w:rPr>
      </w:pPr>
      <w:bookmarkStart w:id="3" w:name="__RefHeading___Toc196285445"/>
      <w:bookmarkEnd w:id="3"/>
      <w:r>
        <w:rPr>
          <w:rFonts w:cs="Arial"/>
          <w:sz w:val="22"/>
        </w:rPr>
        <w:t>Confidentiality</w:t>
      </w:r>
    </w:p>
    <w:p>
      <w:pPr>
        <w:pStyle w:val="PARA-2"/>
        <w:numPr>
          <w:ilvl w:val="1"/>
          <w:numId w:val="3"/>
        </w:numPr>
        <w:ind w:hanging="709" w:start="709" w:end="0"/>
        <w:rPr/>
      </w:pPr>
      <w:r>
        <w:rPr/>
        <w:t>The Parties shall treat the terms of this Amendment Agreement and all information provided under or in connection with each (collectively, "</w:t>
      </w:r>
      <w:r>
        <w:rPr>
          <w:b/>
          <w:bCs/>
        </w:rPr>
        <w:t>Confidential Information</w:t>
      </w:r>
      <w:r>
        <w:rPr/>
        <w:t xml:space="preserve">") as confidential and may not either disclose Confidential Information or use it other than for </w:t>
      </w:r>
      <w:r>
        <w:rPr>
          <w:i/>
          <w:iCs/>
        </w:rPr>
        <w:t>bona fide</w:t>
      </w:r>
      <w:r>
        <w:rPr/>
        <w:t xml:space="preserve"> purposes connected with this Amendment Agreement without the prior written consent of the other Party, except that consent is not required for disclosure to:</w:t>
      </w:r>
    </w:p>
    <w:p>
      <w:pPr>
        <w:pStyle w:val="PARA-a2"/>
        <w:numPr>
          <w:ilvl w:val="2"/>
          <w:numId w:val="6"/>
        </w:numPr>
        <w:spacing w:before="0" w:after="240"/>
        <w:rPr/>
      </w:pPr>
      <w:r>
        <w:rPr/>
        <w:t>directors, employees or Affiliates of a Party, as long as they in turn are required by that Party to treat the Confidential Information as confidential in favour of the other Party on terms substantially the same as those set out in this clause 4;</w:t>
      </w:r>
    </w:p>
    <w:p>
      <w:pPr>
        <w:pStyle w:val="PARA-a2"/>
        <w:numPr>
          <w:ilvl w:val="2"/>
          <w:numId w:val="3"/>
        </w:numPr>
        <w:spacing w:before="0" w:after="240"/>
        <w:ind w:hanging="0" w:start="0"/>
        <w:rPr>
          <w:rFonts w:cs="Arial"/>
        </w:rPr>
      </w:pPr>
      <w:r>
        <w:rPr>
          <w:rFonts w:cs="Arial"/>
        </w:rPr>
        <w:t xml:space="preserve">persons professionally engaged by a Party, as long as they in turn are required by that Party to treat the </w:t>
      </w:r>
      <w:r>
        <w:rPr/>
        <w:t>Confidential</w:t>
      </w:r>
      <w:r>
        <w:rPr>
          <w:rFonts w:cs="Arial"/>
        </w:rPr>
        <w:t xml:space="preserve"> Information as confidential in favour of the other Party on terms substantially the same as those set out in this clause 4;</w:t>
      </w:r>
    </w:p>
    <w:p>
      <w:pPr>
        <w:pStyle w:val="PARA-a2"/>
        <w:numPr>
          <w:ilvl w:val="2"/>
          <w:numId w:val="3"/>
        </w:numPr>
        <w:spacing w:before="0" w:after="240"/>
        <w:ind w:hanging="0" w:start="0"/>
        <w:rPr>
          <w:rFonts w:cs="Arial"/>
        </w:rPr>
      </w:pPr>
      <w:r>
        <w:rPr>
          <w:rFonts w:cs="Arial"/>
        </w:rPr>
        <w:t xml:space="preserve">the extent required by any government department or agency or regulatory authority having jurisdiction over </w:t>
      </w:r>
      <w:r>
        <w:rPr/>
        <w:t>that</w:t>
      </w:r>
      <w:r>
        <w:rPr>
          <w:rFonts w:cs="Arial"/>
        </w:rPr>
        <w:t xml:space="preserve"> Party (including the Relevant Authority);</w:t>
      </w:r>
    </w:p>
    <w:p>
      <w:pPr>
        <w:pStyle w:val="PARA-a2"/>
        <w:numPr>
          <w:ilvl w:val="2"/>
          <w:numId w:val="3"/>
        </w:numPr>
        <w:spacing w:before="0" w:after="240"/>
        <w:ind w:hanging="0" w:start="0"/>
        <w:rPr>
          <w:rFonts w:cs="Arial"/>
        </w:rPr>
      </w:pPr>
      <w:r>
        <w:rPr>
          <w:rFonts w:cs="Arial"/>
        </w:rPr>
        <w:t xml:space="preserve">any bank, other financial institution or rating agency to the extent required in relation to the financing of a Party's business </w:t>
      </w:r>
      <w:r>
        <w:rPr/>
        <w:t>activities</w:t>
      </w:r>
      <w:r>
        <w:rPr>
          <w:rFonts w:cs="Arial"/>
        </w:rPr>
        <w:t>, as long as the bank or other financial institution or rating agency, as the case may be, is required by that Party to treat the Confidential Information as confidential in favour of the other Party on terms substantially the same as those set out in this clause 4;</w:t>
      </w:r>
    </w:p>
    <w:p>
      <w:pPr>
        <w:pStyle w:val="PARA-a2"/>
        <w:numPr>
          <w:ilvl w:val="2"/>
          <w:numId w:val="3"/>
        </w:numPr>
        <w:spacing w:before="0" w:after="240"/>
        <w:ind w:hanging="0" w:start="0"/>
        <w:rPr>
          <w:rFonts w:cs="Arial"/>
        </w:rPr>
      </w:pPr>
      <w:r>
        <w:rPr>
          <w:rFonts w:cs="Arial"/>
        </w:rPr>
        <w:t xml:space="preserve">the extent required by any </w:t>
      </w:r>
      <w:r>
        <w:rPr/>
        <w:t>applicable</w:t>
      </w:r>
      <w:r>
        <w:rPr>
          <w:rFonts w:cs="Arial"/>
        </w:rPr>
        <w:t xml:space="preserve"> laws, judicial process or the rules and regulations of any regulated market or recognised stock exchange;</w:t>
      </w:r>
    </w:p>
    <w:p>
      <w:pPr>
        <w:pStyle w:val="PARA-a2"/>
        <w:numPr>
          <w:ilvl w:val="2"/>
          <w:numId w:val="3"/>
        </w:numPr>
        <w:spacing w:before="0" w:after="240"/>
        <w:ind w:hanging="0" w:start="0"/>
        <w:rPr>
          <w:rFonts w:cs="Arial"/>
        </w:rPr>
      </w:pPr>
      <w:r>
        <w:rPr>
          <w:rFonts w:cs="Arial"/>
        </w:rPr>
        <w:t xml:space="preserve">any intending </w:t>
      </w:r>
      <w:r>
        <w:rPr/>
        <w:t>assignee</w:t>
      </w:r>
      <w:r>
        <w:rPr>
          <w:rFonts w:cs="Arial"/>
        </w:rPr>
        <w:t xml:space="preserve"> of the rights and interests of a Party under this Amendment Agreement or under a </w:t>
      </w:r>
      <w:r>
        <w:rPr/>
        <w:t>Transaction or to a person intending to acquire an interest in a Party or that Party's Affiliate h</w:t>
      </w:r>
      <w:r>
        <w:rPr>
          <w:rFonts w:cs="Arial"/>
        </w:rPr>
        <w:t>olding company as long as the intending assignee or acquirer in turn is required by that Party to treat the Confidential Information as confidential in favour of the other Party on terms substantially the same as those set out in this clause 4;</w:t>
      </w:r>
    </w:p>
    <w:p>
      <w:pPr>
        <w:pStyle w:val="PARA-a2"/>
        <w:numPr>
          <w:ilvl w:val="2"/>
          <w:numId w:val="3"/>
        </w:numPr>
        <w:spacing w:before="0" w:after="240"/>
        <w:ind w:hanging="0" w:start="0"/>
        <w:rPr>
          <w:rFonts w:cs="Arial"/>
        </w:rPr>
      </w:pPr>
      <w:r>
        <w:rPr>
          <w:rFonts w:cs="Arial"/>
        </w:rPr>
        <w:t xml:space="preserve">the extent </w:t>
      </w:r>
      <w:r>
        <w:rPr/>
        <w:t>that</w:t>
      </w:r>
      <w:r>
        <w:rPr>
          <w:rFonts w:cs="Arial"/>
        </w:rPr>
        <w:t xml:space="preserve"> the Confidential Information is in or lawfully comes into the public domain other than by breach of this clause 4; or</w:t>
      </w:r>
    </w:p>
    <w:p>
      <w:pPr>
        <w:pStyle w:val="PARA-a2"/>
        <w:numPr>
          <w:ilvl w:val="2"/>
          <w:numId w:val="3"/>
        </w:numPr>
        <w:spacing w:before="0" w:after="240"/>
        <w:ind w:hanging="0" w:start="0"/>
        <w:rPr>
          <w:rFonts w:cs="Arial"/>
        </w:rPr>
      </w:pPr>
      <w:r>
        <w:rPr>
          <w:rFonts w:cs="Arial"/>
        </w:rPr>
        <w:t xml:space="preserve">price reporting agencies for the calculation of an index as long as the identity of  the other </w:t>
      </w:r>
      <w:r>
        <w:rPr/>
        <w:t>Party is</w:t>
      </w:r>
      <w:r>
        <w:rPr>
          <w:rFonts w:cs="Arial"/>
        </w:rPr>
        <w:t xml:space="preserve"> not revealed.  It must also be a precondition of the disclosure agreement between a </w:t>
      </w:r>
      <w:r>
        <w:rPr/>
        <w:t>Party</w:t>
      </w:r>
      <w:r>
        <w:rPr>
          <w:rFonts w:cs="Arial"/>
        </w:rPr>
        <w:t xml:space="preserve"> and the price reporting agency that only the price is released by the price reporting agency and not the identity of either </w:t>
      </w:r>
      <w:r>
        <w:rPr/>
        <w:t>Party</w:t>
      </w:r>
      <w:r>
        <w:rPr>
          <w:rFonts w:cs="Arial"/>
        </w:rPr>
        <w:t>.</w:t>
      </w:r>
    </w:p>
    <w:p>
      <w:pPr>
        <w:pStyle w:val="HEAD-CENT"/>
        <w:numPr>
          <w:ilvl w:val="0"/>
          <w:numId w:val="3"/>
        </w:numPr>
        <w:ind w:hanging="0" w:start="0"/>
        <w:rPr>
          <w:rFonts w:cs="Arial"/>
          <w:sz w:val="22"/>
          <w:lang w:val="en-GB"/>
        </w:rPr>
      </w:pPr>
      <w:bookmarkStart w:id="4" w:name="__RefHeading___Toc196285446"/>
      <w:bookmarkEnd w:id="4"/>
      <w:r>
        <w:rPr>
          <w:rFonts w:cs="Arial"/>
          <w:sz w:val="22"/>
          <w:lang w:val="en-GB"/>
        </w:rPr>
        <w:t>Miscellaneous</w:t>
      </w:r>
    </w:p>
    <w:p>
      <w:pPr>
        <w:pStyle w:val="PARA-2"/>
        <w:numPr>
          <w:ilvl w:val="1"/>
          <w:numId w:val="3"/>
        </w:numPr>
        <w:ind w:hanging="0" w:start="0"/>
        <w:rPr/>
      </w:pPr>
      <w:r>
        <w:rPr>
          <w:b/>
          <w:bCs/>
        </w:rPr>
        <w:t>Variation</w:t>
      </w:r>
      <w:r>
        <w:rPr/>
        <w:t>. No variation to the provisions of this Amendment Agreement is valid unless it is in writing and signed by each Party.</w:t>
      </w:r>
    </w:p>
    <w:p>
      <w:pPr>
        <w:pStyle w:val="PARA-2"/>
        <w:numPr>
          <w:ilvl w:val="1"/>
          <w:numId w:val="3"/>
        </w:numPr>
        <w:ind w:hanging="0" w:start="0"/>
        <w:rPr/>
      </w:pPr>
      <w:r>
        <w:rPr>
          <w:b/>
          <w:bCs/>
        </w:rPr>
        <w:t>Entire Agreement</w:t>
      </w:r>
      <w:r>
        <w:rPr/>
        <w:t>. This Amendment Agreement constitutes the entire agreement and understanding of the Parties with respect to its subject matter and supersedes and extinguishes any representations previously given or made with respect to its subject matter other than those given or made in this Amendment Agreement, but nothing in this clause limits or excludes any liability for fraud in relation to those representations.</w:t>
      </w:r>
    </w:p>
    <w:p>
      <w:pPr>
        <w:pStyle w:val="PARA-2"/>
        <w:numPr>
          <w:ilvl w:val="1"/>
          <w:numId w:val="3"/>
        </w:numPr>
        <w:ind w:hanging="0" w:start="0"/>
        <w:rPr/>
      </w:pPr>
      <w:r>
        <w:rPr>
          <w:b/>
          <w:bCs/>
        </w:rPr>
        <w:t>Severability</w:t>
      </w:r>
      <w:r>
        <w:rPr/>
        <w:t>. If any provision or part of a provision of this Amendment Agreement is found by a court, arbitrator or other authority of competent jurisdiction to be void or unenforceable, that provision or part of a provision is to be deemed deleted from this Amendment Agreement and the remaining provisions to continue in full force and effect. The Parties shall in this event seek to agree upon a valid and enforceable provision or part of a provision to replace the provision or part of a provision found to be void and unenforceable.</w:t>
      </w:r>
    </w:p>
    <w:p>
      <w:pPr>
        <w:pStyle w:val="PARA-2"/>
        <w:numPr>
          <w:ilvl w:val="1"/>
          <w:numId w:val="3"/>
        </w:numPr>
        <w:ind w:hanging="0" w:start="0"/>
        <w:rPr/>
      </w:pPr>
      <w:r>
        <w:rPr>
          <w:b/>
          <w:bCs/>
        </w:rPr>
        <w:t>Third Party Rights</w:t>
      </w:r>
      <w:r>
        <w:rPr/>
        <w:t>. Subject to the rights that may accrue to any successor or permitted assignees of the Parties, no provision of this Amendment Agreement is be construed as creating any rights enforceable by a third party, and all third party rights implied by law are, to the extent permissible by law, excluded from this Amendment Agreement.</w:t>
      </w:r>
    </w:p>
    <w:p>
      <w:pPr>
        <w:pStyle w:val="PARA-2"/>
        <w:numPr>
          <w:ilvl w:val="1"/>
          <w:numId w:val="3"/>
        </w:numPr>
        <w:ind w:hanging="0" w:start="0"/>
        <w:rPr/>
      </w:pPr>
      <w:r>
        <w:rPr>
          <w:b/>
          <w:bCs/>
        </w:rPr>
        <w:t>Applicable Law</w:t>
      </w:r>
      <w:r>
        <w:rPr/>
        <w:t xml:space="preserve">. This Amendment Agreement is governed by and is to be construed in accordance with English law, unless Schedule 2 to the Master Agreement (as amended by this Amendment Agreement) specifies another choice of law with respect to that agreement, in which case the choice of law specified in Schedule 2 to the Master Agreement (as amended by this Amendment Agreement) shall also prevail with respect to this Amendment Agreement.  The Parties submit to the non-exclusive jurisdiction of the English courts, unless otherwise specified in Schedule 2 to the Master Agreement (as amended by this Amendment Agreement), for the purposes of any dispute under or in connection with this Amendment Agreement. </w:t>
      </w:r>
    </w:p>
    <w:p>
      <w:pPr>
        <w:pStyle w:val="PARA-2"/>
        <w:numPr>
          <w:ilvl w:val="1"/>
          <w:numId w:val="3"/>
        </w:numPr>
        <w:ind w:hanging="0" w:start="0"/>
        <w:rPr>
          <w:bCs/>
        </w:rPr>
      </w:pPr>
      <w:r>
        <w:rPr>
          <w:b/>
          <w:bCs/>
        </w:rPr>
        <w:t>Counterparts</w:t>
      </w:r>
      <w:r>
        <w:rPr/>
        <w:t>.  This Amendment Agreement may be executed in any number of counterparts and by different Parties in separate counterparts, any of which when so executed shall be deemed to be an original and all of which when taken together shall constitute the one and same agreement.</w:t>
      </w:r>
    </w:p>
    <w:p>
      <w:pPr>
        <w:pStyle w:val="PARA-2"/>
        <w:numPr>
          <w:ilvl w:val="0"/>
          <w:numId w:val="0"/>
        </w:numPr>
        <w:ind w:hanging="0" w:start="0"/>
        <w:rPr>
          <w:bCs/>
        </w:rPr>
      </w:pPr>
      <w:r>
        <w:rPr>
          <w:bCs/>
        </w:rPr>
      </w:r>
    </w:p>
    <w:p>
      <w:pPr>
        <w:pStyle w:val="PARA"/>
        <w:keepNext w:val="true"/>
        <w:rPr/>
      </w:pPr>
      <w:r>
        <w:rPr>
          <w:rFonts w:cs="Arial"/>
          <w:b/>
          <w:sz w:val="20"/>
          <w:lang w:val="en-GB"/>
        </w:rPr>
        <w:t>IN WITNESS</w:t>
      </w:r>
      <w:r>
        <w:rPr>
          <w:rFonts w:cs="Arial"/>
          <w:b/>
          <w:caps/>
          <w:sz w:val="20"/>
          <w:lang w:val="en-GB"/>
        </w:rPr>
        <w:t xml:space="preserve"> whereof</w:t>
      </w:r>
      <w:r>
        <w:rPr>
          <w:rFonts w:cs="Arial"/>
          <w:sz w:val="20"/>
          <w:lang w:val="en-GB"/>
        </w:rPr>
        <w:t xml:space="preserve"> the Parties have duly executed and delivered this </w:t>
      </w:r>
      <w:r>
        <w:rPr>
          <w:sz w:val="20"/>
        </w:rPr>
        <w:t>Amendment Agreement</w:t>
      </w:r>
      <w:r>
        <w:rPr>
          <w:rFonts w:cs="Arial"/>
          <w:sz w:val="20"/>
          <w:lang w:val="en-GB"/>
        </w:rPr>
        <w:t xml:space="preserve"> on the respective dates set out below with effect from the date set out on the first page of this document.</w:t>
      </w:r>
    </w:p>
    <w:p>
      <w:pPr>
        <w:pStyle w:val="SIGN-2"/>
        <w:keepNext w:val="true"/>
        <w:rPr>
          <w:rFonts w:cs="Arial"/>
          <w:sz w:val="20"/>
          <w:lang w:val="en-GB"/>
        </w:rPr>
      </w:pPr>
      <w:r>
        <w:rPr>
          <w:rFonts w:cs="Arial"/>
          <w:sz w:val="20"/>
          <w:lang w:val="en-GB"/>
        </w:rPr>
      </w:r>
    </w:p>
    <w:p>
      <w:pPr>
        <w:pStyle w:val="SIGN-2"/>
        <w:keepNext w:val="true"/>
        <w:rPr>
          <w:rFonts w:cs="Arial"/>
        </w:rPr>
      </w:pPr>
      <w:r>
        <w:rPr>
          <w:rFonts w:cs="Arial"/>
        </w:rPr>
      </w:r>
    </w:p>
    <w:p>
      <w:pPr>
        <w:pStyle w:val="SIGN-2"/>
        <w:keepNext w:val="true"/>
        <w:rPr>
          <w:rFonts w:cs="Arial"/>
          <w:sz w:val="20"/>
          <w:lang w:val="en-GB"/>
        </w:rPr>
      </w:pPr>
      <w:r>
        <w:rPr>
          <w:rFonts w:eastAsia="Arial" w:cs="Arial"/>
        </w:rPr>
        <w:t xml:space="preserve">      </w:t>
      </w:r>
      <w:r>
        <w:rPr>
          <w:rFonts w:cs="Arial"/>
        </w:rPr>
        <w:t>……………………………………………</w:t>
      </w:r>
      <w:r>
        <w:rPr>
          <w:rFonts w:cs="Arial"/>
          <w:b/>
          <w:bCs/>
          <w:sz w:val="20"/>
          <w:lang w:val="en-GB"/>
        </w:rPr>
        <w:tab/>
        <w:tab/>
        <w:t xml:space="preserve">      </w:t>
      </w:r>
      <w:r>
        <w:rPr>
          <w:rFonts w:cs="Arial"/>
        </w:rPr>
        <w:t>……………………………………………</w:t>
      </w:r>
    </w:p>
    <w:p>
      <w:pPr>
        <w:pStyle w:val="SIGN-2"/>
        <w:keepNext w:val="true"/>
        <w:rPr>
          <w:rFonts w:cs="Arial"/>
          <w:sz w:val="20"/>
          <w:lang w:val="en-GB"/>
        </w:rPr>
      </w:pPr>
      <w:r>
        <w:rPr>
          <w:rFonts w:eastAsia="Arial" w:cs="Arial"/>
          <w:sz w:val="20"/>
          <w:lang w:val="en-GB"/>
        </w:rPr>
        <w:t xml:space="preserve">                        </w:t>
      </w:r>
      <w:r>
        <w:rPr>
          <w:rFonts w:cs="Arial"/>
          <w:sz w:val="20"/>
          <w:lang w:val="en-GB"/>
        </w:rPr>
        <w:t>(Name of Party)</w:t>
        <w:tab/>
        <w:tab/>
        <w:t xml:space="preserve">                          (Name of Party)</w:t>
      </w:r>
    </w:p>
    <w:p>
      <w:pPr>
        <w:pStyle w:val="SIGN-2"/>
        <w:keepNext w:val="true"/>
        <w:rPr>
          <w:rFonts w:cs="Arial"/>
          <w:sz w:val="20"/>
          <w:lang w:val="en-GB"/>
        </w:rPr>
      </w:pPr>
      <w:r>
        <w:rPr>
          <w:rFonts w:cs="Arial"/>
          <w:sz w:val="20"/>
          <w:lang w:val="en-GB"/>
        </w:rPr>
      </w:r>
    </w:p>
    <w:p>
      <w:pPr>
        <w:pStyle w:val="SIGN-2"/>
        <w:keepNext w:val="true"/>
        <w:rPr>
          <w:rFonts w:cs="Arial"/>
          <w:sz w:val="20"/>
          <w:lang w:val="en-GB"/>
        </w:rPr>
      </w:pPr>
      <w:r>
        <w:rPr>
          <w:rFonts w:cs="Arial"/>
          <w:sz w:val="20"/>
          <w:lang w:val="en-GB"/>
        </w:rPr>
      </w:r>
    </w:p>
    <w:p>
      <w:pPr>
        <w:pStyle w:val="SIGN-2"/>
        <w:keepNext w:val="true"/>
        <w:rPr>
          <w:rFonts w:cs="Arial"/>
          <w:sz w:val="20"/>
          <w:lang w:val="en-GB"/>
        </w:rPr>
      </w:pPr>
      <w:r>
        <w:rPr>
          <w:rFonts w:cs="Arial"/>
          <w:sz w:val="20"/>
          <w:lang w:val="en-GB"/>
        </w:rPr>
        <w:t xml:space="preserve">By: </w:t>
      </w:r>
      <w:r>
        <w:rPr>
          <w:rFonts w:cs="Arial"/>
        </w:rPr>
        <w:t>……………………………………………</w:t>
      </w:r>
      <w:r>
        <w:rPr>
          <w:rFonts w:cs="Arial"/>
          <w:sz w:val="20"/>
          <w:lang w:val="en-GB"/>
        </w:rPr>
        <w:tab/>
        <w:tab/>
        <w:t xml:space="preserve">By: </w:t>
      </w:r>
      <w:r>
        <w:rPr>
          <w:rFonts w:cs="Arial"/>
        </w:rPr>
        <w:t>……………………………………………</w:t>
      </w:r>
    </w:p>
    <w:p>
      <w:pPr>
        <w:pStyle w:val="SIGN-2"/>
        <w:keepNext w:val="true"/>
        <w:rPr>
          <w:rFonts w:cs="Arial"/>
          <w:sz w:val="20"/>
          <w:lang w:val="en-GB"/>
        </w:rPr>
      </w:pPr>
      <w:r>
        <w:rPr>
          <w:rFonts w:cs="Arial"/>
          <w:sz w:val="20"/>
          <w:lang w:val="en-GB"/>
        </w:rPr>
      </w:r>
    </w:p>
    <w:p>
      <w:pPr>
        <w:pStyle w:val="SIGN-2"/>
        <w:keepNext w:val="true"/>
        <w:rPr/>
      </w:pPr>
      <w:r>
        <w:rPr>
          <w:rFonts w:cs="Arial"/>
          <w:sz w:val="20"/>
          <w:lang w:val="en-GB"/>
        </w:rPr>
        <w:t>Name:</w:t>
      </w:r>
      <w:r>
        <w:rPr>
          <w:rFonts w:cs="Arial"/>
          <w:b/>
          <w:bCs/>
          <w:sz w:val="20"/>
          <w:lang w:val="en-GB"/>
        </w:rPr>
        <w:tab/>
        <w:tab/>
      </w:r>
      <w:r>
        <w:rPr>
          <w:rFonts w:cs="Arial"/>
          <w:sz w:val="20"/>
          <w:lang w:val="en-GB"/>
        </w:rPr>
        <w:t>Name:</w:t>
      </w:r>
    </w:p>
    <w:p>
      <w:pPr>
        <w:pStyle w:val="SIGN-2"/>
        <w:keepNext w:val="true"/>
        <w:rPr/>
      </w:pPr>
      <w:r>
        <w:rPr>
          <w:rFonts w:cs="Arial"/>
          <w:sz w:val="20"/>
          <w:lang w:val="en-GB"/>
        </w:rPr>
        <w:t>Title:</w:t>
      </w:r>
      <w:r>
        <w:rPr>
          <w:rFonts w:cs="Arial"/>
          <w:b/>
          <w:bCs/>
          <w:sz w:val="20"/>
          <w:lang w:val="en-GB"/>
        </w:rPr>
        <w:tab/>
        <w:tab/>
      </w:r>
      <w:r>
        <w:rPr>
          <w:rFonts w:cs="Arial"/>
          <w:sz w:val="20"/>
          <w:lang w:val="en-GB"/>
        </w:rPr>
        <w:t>Title:</w:t>
      </w:r>
    </w:p>
    <w:p>
      <w:pPr>
        <w:pStyle w:val="SIGN-2"/>
        <w:rPr>
          <w:sz w:val="20"/>
        </w:rPr>
      </w:pPr>
      <w:r>
        <w:rPr>
          <w:sz w:val="20"/>
        </w:rPr>
        <w:t>Date:</w:t>
        <w:tab/>
        <w:tab/>
        <w:t>Date:</w:t>
      </w:r>
    </w:p>
    <w:sectPr>
      <w:headerReference w:type="default" r:id="rId10"/>
      <w:headerReference w:type="first" r:id="rId11"/>
      <w:footerReference w:type="default" r:id="rId12"/>
      <w:footerReference w:type="first" r:id="rId13"/>
      <w:footnotePr>
        <w:numFmt w:val="decimal"/>
      </w:footnotePr>
      <w:type w:val="nextPage"/>
      <w:pgSz w:w="11906" w:h="16838"/>
      <w:pgMar w:left="1440" w:right="1440" w:gutter="0" w:header="720" w:top="1440" w:footer="720" w:bottom="1440"/>
      <w:pgNumType w:start="6"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Bold">
    <w:charset w:val="00" w:characterSet="windows-1252"/>
    <w:family w:val="roman"/>
    <w:pitch w:val="default"/>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720"/>
        <w:tab w:val="center" w:pos="4153" w:leader="none"/>
        <w:tab w:val="right" w:pos="8306" w:leader="none"/>
      </w:tabs>
      <w:ind w:end="360"/>
      <w:rPr/>
    </w:pPr>
    <w:r>
      <w:rPr/>
      <w:drawing>
        <wp:inline distT="0" distB="0" distL="0" distR="0">
          <wp:extent cx="5426075" cy="694690"/>
          <wp:effectExtent l="0" t="0" r="0" b="0"/>
          <wp:docPr id="3"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title=""/>
                  <pic:cNvPicPr>
                    <a:picLocks noChangeAspect="1" noChangeArrowheads="1"/>
                  </pic:cNvPicPr>
                </pic:nvPicPr>
                <pic:blipFill>
                  <a:blip r:embed="rId1"/>
                  <a:srcRect l="-6" t="-49" r="-6" b="-49"/>
                  <a:stretch>
                    <a:fillRect/>
                  </a:stretch>
                </pic:blipFill>
                <pic:spPr bwMode="auto">
                  <a:xfrm>
                    <a:off x="0" y="0"/>
                    <a:ext cx="5426075" cy="694690"/>
                  </a:xfrm>
                  <a:prstGeom prst="rect">
                    <a:avLst/>
                  </a:prstGeom>
                </pic:spPr>
              </pic:pic>
            </a:graphicData>
          </a:graphic>
        </wp:inline>
      </w:drawing>
    </w:r>
    <w:r>
      <mc:AlternateContent>
        <mc:Choice Requires="wps">
          <w:drawing>
            <wp:anchor behindDoc="0" distT="0" distB="0" distL="0" distR="0" simplePos="0" locked="0" layoutInCell="0" allowOverlap="1" relativeHeight="3">
              <wp:simplePos x="0" y="0"/>
              <wp:positionH relativeFrom="margin">
                <wp:align>right</wp:align>
              </wp:positionH>
              <wp:positionV relativeFrom="paragraph">
                <wp:posOffset>635</wp:posOffset>
              </wp:positionV>
              <wp:extent cx="78105" cy="160655"/>
              <wp:effectExtent l="0" t="0" r="0" b="0"/>
              <wp:wrapSquare wrapText="bothSides"/>
              <wp:docPr id="4" name="Frame1"/>
              <a:graphic xmlns:a="http://schemas.openxmlformats.org/drawingml/2006/main">
                <a:graphicData uri="http://schemas.microsoft.com/office/word/2010/wordprocessingShape">
                  <wps:wsp>
                    <wps:cNvSpPr txBox="1"/>
                    <wps:spPr>
                      <a:xfrm>
                        <a:off x="0" y="0"/>
                        <a:ext cx="78105" cy="160655"/>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6.15pt;height:12.65pt;mso-wrap-distance-left:0pt;mso-wrap-distance-right:0pt;mso-wrap-distance-top:0pt;mso-wrap-distance-bottom:0pt;margin-top:0.05pt;mso-position-vertical-relative:text;margin-left:445.15pt;mso-position-horizontal:right;mso-position-horizontal-relative:margin">
              <v:fill opacity="0f"/>
              <v:textbox inset="0in,0in,0in,0in">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bottom w:val="single" w:sz="4" w:space="0" w:color="000000"/>
      </w:pBdr>
      <w:jc w:val="end"/>
      <w:rPr>
        <w:sz w:val="18"/>
      </w:rPr>
    </w:pPr>
    <w:r>
      <w:rPr>
        <w:sz w:val="18"/>
      </w:rPr>
      <w:tab/>
    </w:r>
  </w:p>
  <w:p>
    <w:pPr>
      <w:pStyle w:val="Footer"/>
      <w:pBdr>
        <w:bottom w:val="single" w:sz="4" w:space="0" w:color="000000"/>
      </w:pBdr>
      <w:tabs>
        <w:tab w:val="clear" w:pos="4153"/>
        <w:tab w:val="clear" w:pos="8306"/>
        <w:tab w:val="left" w:pos="720" w:leader="none"/>
        <w:tab w:val="right" w:pos="8931" w:leader="none"/>
      </w:tabs>
      <w:rPr>
        <w:sz w:val="16"/>
      </w:rPr>
    </w:pPr>
    <w:r>
      <w:rPr>
        <w:sz w:val="16"/>
      </w:rPr>
      <w:tab/>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FootnoteCharacters"/>
        </w:rPr>
        <w:footnoteRef/>
      </w:r>
      <w:r>
        <w:rPr/>
        <w:t xml:space="preserve"> </w:t>
      </w:r>
      <w:r>
        <w:rPr/>
        <w:t>Any provisions relating to Phase II Delivery should be deleted insofar as they are inconsistent with the provisions of Version 3.0.</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288" w:type="dxa"/>
      <w:jc w:val="start"/>
      <w:tblInd w:w="0" w:type="dxa"/>
      <w:tblLayout w:type="fixed"/>
      <w:tblCellMar>
        <w:top w:w="0" w:type="dxa"/>
        <w:start w:w="108" w:type="dxa"/>
        <w:bottom w:w="0" w:type="dxa"/>
        <w:end w:w="108" w:type="dxa"/>
      </w:tblCellMar>
    </w:tblPr>
    <w:tblGrid>
      <w:gridCol w:w="1239"/>
      <w:gridCol w:w="5529"/>
      <w:gridCol w:w="2520"/>
    </w:tblGrid>
    <w:tr>
      <w:trPr/>
      <w:tc>
        <w:tcPr>
          <w:tcW w:w="1239" w:type="dxa"/>
          <w:tcBorders/>
        </w:tcPr>
        <w:p>
          <w:pPr>
            <w:pStyle w:val="header1"/>
            <w:pBdr>
              <w:bottom w:val="nil"/>
            </w:pBdr>
            <w:tabs>
              <w:tab w:val="clear" w:pos="720"/>
              <w:tab w:val="clear" w:pos="4507"/>
              <w:tab w:val="clear" w:pos="6653"/>
              <w:tab w:val="clear" w:pos="9000"/>
              <w:tab w:val="clear" w:pos="13594"/>
            </w:tabs>
            <w:jc w:val="start"/>
            <w:rPr>
              <w:sz w:val="22"/>
            </w:rPr>
          </w:pPr>
          <w:r>
            <w:rPr>
              <w:sz w:val="22"/>
            </w:rPr>
            <w:drawing>
              <wp:inline distT="0" distB="0" distL="0" distR="0">
                <wp:extent cx="571500" cy="345440"/>
                <wp:effectExtent l="0" t="0" r="0" b="0"/>
                <wp:docPr id="1"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 descr="" title=""/>
                        <pic:cNvPicPr>
                          <a:picLocks noChangeAspect="1" noChangeArrowheads="1"/>
                        </pic:cNvPicPr>
                      </pic:nvPicPr>
                      <pic:blipFill>
                        <a:blip r:embed="rId1"/>
                        <a:srcRect l="-54" t="-88" r="-54" b="-88"/>
                        <a:stretch>
                          <a:fillRect/>
                        </a:stretch>
                      </pic:blipFill>
                      <pic:spPr bwMode="auto">
                        <a:xfrm>
                          <a:off x="0" y="0"/>
                          <a:ext cx="571500" cy="345440"/>
                        </a:xfrm>
                        <a:prstGeom prst="rect">
                          <a:avLst/>
                        </a:prstGeom>
                      </pic:spPr>
                    </pic:pic>
                  </a:graphicData>
                </a:graphic>
              </wp:inline>
            </w:drawing>
          </w:r>
        </w:p>
      </w:tc>
      <w:tc>
        <w:tcPr>
          <w:tcW w:w="5529" w:type="dxa"/>
          <w:tcBorders/>
        </w:tcPr>
        <w:p>
          <w:pPr>
            <w:pStyle w:val="header1"/>
            <w:pBdr>
              <w:bottom w:val="nil"/>
            </w:pBdr>
            <w:tabs>
              <w:tab w:val="clear" w:pos="720"/>
              <w:tab w:val="clear" w:pos="4507"/>
              <w:tab w:val="clear" w:pos="6653"/>
              <w:tab w:val="clear" w:pos="9000"/>
              <w:tab w:val="clear" w:pos="13594"/>
            </w:tabs>
            <w:spacing w:before="120" w:after="0"/>
            <w:jc w:val="start"/>
            <w:rPr>
              <w:rFonts w:cs="Arial"/>
              <w:sz w:val="20"/>
            </w:rPr>
          </w:pPr>
          <w:r>
            <w:rPr>
              <w:rFonts w:cs="Arial"/>
              <w:sz w:val="20"/>
            </w:rPr>
            <w:t>IETA Amendment Agreement from Version 2.1 to 3.0</w:t>
          </w:r>
        </w:p>
      </w:tc>
      <w:tc>
        <w:tcPr>
          <w:tcW w:w="2520" w:type="dxa"/>
          <w:tcBorders/>
        </w:tcPr>
        <w:p>
          <w:pPr>
            <w:pStyle w:val="header1"/>
            <w:pBdr>
              <w:bottom w:val="nil"/>
            </w:pBdr>
            <w:tabs>
              <w:tab w:val="clear" w:pos="720"/>
              <w:tab w:val="clear" w:pos="4507"/>
              <w:tab w:val="clear" w:pos="6653"/>
              <w:tab w:val="clear" w:pos="9000"/>
              <w:tab w:val="clear" w:pos="13594"/>
            </w:tabs>
            <w:spacing w:before="120" w:after="0"/>
            <w:jc w:val="end"/>
            <w:rPr>
              <w:rFonts w:cs="Arial"/>
              <w:sz w:val="20"/>
            </w:rPr>
          </w:pPr>
          <w:r>
            <w:rPr>
              <w:rFonts w:eastAsia="Arial" w:cs="Arial"/>
              <w:sz w:val="20"/>
            </w:rPr>
            <w:t xml:space="preserve"> </w:t>
          </w:r>
          <w:r>
            <w:rPr>
              <w:rFonts w:cs="Arial"/>
              <w:sz w:val="20"/>
            </w:rPr>
            <w:t>June 2008</w:t>
          </w:r>
        </w:p>
      </w:tc>
    </w:tr>
  </w:tbl>
  <w:p>
    <w:pPr>
      <w:pStyle w:val="Header"/>
      <w:rPr/>
    </w:pPr>
    <w:r>
      <w:rPr/>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1"/>
      <w:pBdr>
        <w:bottom w:val="nil"/>
      </w:pBdr>
      <w:tabs>
        <w:tab w:val="clear" w:pos="4507"/>
        <w:tab w:val="clear" w:pos="6653"/>
        <w:tab w:val="left" w:pos="720" w:leader="none"/>
        <w:tab w:val="right" w:pos="9000" w:leader="none"/>
        <w:tab w:val="right" w:pos="13594" w:leader="none"/>
      </w:tabs>
      <w:jc w:val="center"/>
      <w:rPr>
        <w:sz w:val="22"/>
      </w:rPr>
    </w:pPr>
    <w:r>
      <w:rPr>
        <w:sz w:val="22"/>
      </w:rPr>
    </w:r>
  </w:p>
  <w:tbl>
    <w:tblPr>
      <w:tblW w:w="9720" w:type="dxa"/>
      <w:jc w:val="start"/>
      <w:tblInd w:w="-72" w:type="dxa"/>
      <w:tblLayout w:type="fixed"/>
      <w:tblCellMar>
        <w:top w:w="0" w:type="dxa"/>
        <w:start w:w="108" w:type="dxa"/>
        <w:bottom w:w="0" w:type="dxa"/>
        <w:end w:w="108" w:type="dxa"/>
      </w:tblCellMar>
    </w:tblPr>
    <w:tblGrid>
      <w:gridCol w:w="4586"/>
      <w:gridCol w:w="5134"/>
    </w:tblGrid>
    <w:tr>
      <w:trPr/>
      <w:tc>
        <w:tcPr>
          <w:tcW w:w="4586" w:type="dxa"/>
          <w:tcBorders/>
        </w:tcPr>
        <w:p>
          <w:pPr>
            <w:pStyle w:val="Header"/>
            <w:rPr/>
          </w:pPr>
          <w:r>
            <w:rPr/>
            <w:drawing>
              <wp:inline distT="0" distB="0" distL="0" distR="0">
                <wp:extent cx="2570480" cy="571500"/>
                <wp:effectExtent l="0" t="0" r="0" b="0"/>
                <wp:docPr id="2"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title=""/>
                        <pic:cNvPicPr>
                          <a:picLocks noChangeAspect="1" noChangeArrowheads="1"/>
                        </pic:cNvPicPr>
                      </pic:nvPicPr>
                      <pic:blipFill>
                        <a:blip r:embed="rId1"/>
                        <a:srcRect l="-14" t="-63" r="-14" b="-63"/>
                        <a:stretch>
                          <a:fillRect/>
                        </a:stretch>
                      </pic:blipFill>
                      <pic:spPr bwMode="auto">
                        <a:xfrm>
                          <a:off x="0" y="0"/>
                          <a:ext cx="2570480" cy="571500"/>
                        </a:xfrm>
                        <a:prstGeom prst="rect">
                          <a:avLst/>
                        </a:prstGeom>
                      </pic:spPr>
                    </pic:pic>
                  </a:graphicData>
                </a:graphic>
              </wp:inline>
            </w:drawing>
          </w:r>
        </w:p>
      </w:tc>
      <w:tc>
        <w:tcPr>
          <w:tcW w:w="5134" w:type="dxa"/>
          <w:tcBorders/>
        </w:tcPr>
        <w:p>
          <w:pPr>
            <w:pStyle w:val="Header"/>
            <w:snapToGrid w:val="false"/>
            <w:spacing w:before="100" w:after="0"/>
            <w:jc w:val="end"/>
            <w:rPr>
              <w:rFonts w:cs="Arial"/>
              <w:b/>
              <w:bCs/>
              <w:sz w:val="52"/>
            </w:rPr>
          </w:pPr>
          <w:r>
            <w:rPr>
              <w:rFonts w:cs="Arial"/>
              <w:b/>
              <w:bCs/>
              <w:sz w:val="52"/>
            </w:rPr>
          </w:r>
        </w:p>
      </w:tc>
    </w:tr>
  </w:tbl>
  <w:p>
    <w:pPr>
      <w:pStyle w:val="header1"/>
      <w:pBdr>
        <w:bottom w:val="nil"/>
      </w:pBdr>
      <w:tabs>
        <w:tab w:val="clear" w:pos="720"/>
        <w:tab w:val="clear" w:pos="4507"/>
        <w:tab w:val="clear" w:pos="6653"/>
        <w:tab w:val="clear" w:pos="9000"/>
        <w:tab w:val="clear" w:pos="13594"/>
        <w:tab w:val="left" w:pos="3105" w:leader="none"/>
      </w:tabs>
      <w:jc w:val="start"/>
      <w:rPr/>
    </w:pPr>
    <w:r>
      <w:rPr/>
      <w:tab/>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start"/>
      <w:pPr>
        <w:tabs>
          <w:tab w:val="num" w:pos="432"/>
        </w:tabs>
        <w:ind w:start="432" w:hanging="432"/>
      </w:pPr>
    </w:lvl>
    <w:lvl w:ilvl="1">
      <w:start w:val="1"/>
      <w:pStyle w:val="Heading2"/>
      <w:numFmt w:val="decimal"/>
      <w:lvlText w:val="%1.%2"/>
      <w:lvlJc w:val="start"/>
      <w:pPr>
        <w:tabs>
          <w:tab w:val="num" w:pos="576"/>
        </w:tabs>
        <w:ind w:start="576" w:hanging="576"/>
      </w:pPr>
    </w:lvl>
    <w:lvl w:ilvl="2">
      <w:start w:val="1"/>
      <w:pStyle w:val="Heading3"/>
      <w:numFmt w:val="decimal"/>
      <w:lvlText w:val="%1.%2.%3"/>
      <w:lvlJc w:val="start"/>
      <w:pPr>
        <w:tabs>
          <w:tab w:val="num" w:pos="720"/>
        </w:tabs>
        <w:ind w:start="720" w:hanging="720"/>
      </w:pPr>
    </w:lvl>
    <w:lvl w:ilvl="3">
      <w:start w:val="1"/>
      <w:pStyle w:val="Heading4"/>
      <w:numFmt w:val="decimal"/>
      <w:lvlText w:val="%1.%2.%3.%4"/>
      <w:lvlJc w:val="start"/>
      <w:pPr>
        <w:tabs>
          <w:tab w:val="num" w:pos="864"/>
        </w:tabs>
        <w:ind w:start="864" w:hanging="864"/>
      </w:pPr>
    </w:lvl>
    <w:lvl w:ilvl="4">
      <w:start w:val="1"/>
      <w:pStyle w:val="Heading5"/>
      <w:numFmt w:val="decimal"/>
      <w:lvlText w:val="%1.%2.%3.%4.%5"/>
      <w:lvlJc w:val="start"/>
      <w:pPr>
        <w:tabs>
          <w:tab w:val="num" w:pos="1008"/>
        </w:tabs>
        <w:ind w:start="1008" w:hanging="1008"/>
      </w:pPr>
    </w:lvl>
    <w:lvl w:ilvl="5">
      <w:start w:val="1"/>
      <w:pStyle w:val="Heading6"/>
      <w:numFmt w:val="decimal"/>
      <w:lvlText w:val="%1.%2.%3.%4.%5.%6"/>
      <w:lvlJc w:val="start"/>
      <w:pPr>
        <w:tabs>
          <w:tab w:val="num" w:pos="1152"/>
        </w:tabs>
        <w:ind w:start="1152" w:hanging="1152"/>
      </w:pPr>
    </w:lvl>
    <w:lvl w:ilvl="6">
      <w:start w:val="1"/>
      <w:pStyle w:val="Heading7"/>
      <w:numFmt w:val="decimal"/>
      <w:lvlText w:val="%1.%2.%3.%4.%5.%6.%7"/>
      <w:lvlJc w:val="start"/>
      <w:pPr>
        <w:tabs>
          <w:tab w:val="num" w:pos="1296"/>
        </w:tabs>
        <w:ind w:start="1296" w:hanging="1296"/>
      </w:pPr>
    </w:lvl>
    <w:lvl w:ilvl="7">
      <w:start w:val="1"/>
      <w:pStyle w:val="Heading8"/>
      <w:numFmt w:val="decimal"/>
      <w:lvlText w:val="%1.%2.%3.%4.%5.%6.%7.%8"/>
      <w:lvlJc w:val="start"/>
      <w:pPr>
        <w:tabs>
          <w:tab w:val="num" w:pos="1440"/>
        </w:tabs>
        <w:ind w:start="1440" w:hanging="1440"/>
      </w:pPr>
    </w:lvl>
    <w:lvl w:ilvl="8">
      <w:start w:val="1"/>
      <w:pStyle w:val="Heading9"/>
      <w:numFmt w:val="decimal"/>
      <w:lvlText w:val="%1.%2.%3.%4.%5.%6.%7.%8.%9"/>
      <w:lvlJc w:val="start"/>
      <w:pPr>
        <w:tabs>
          <w:tab w:val="num" w:pos="1584"/>
        </w:tabs>
        <w:ind w:start="1584" w:hanging="1584"/>
      </w:pPr>
    </w:lvl>
  </w:abstractNum>
  <w:abstractNum w:abstractNumId="2">
    <w:lvl w:ilvl="0">
      <w:start w:val="1"/>
      <w:numFmt w:val="lowerLetter"/>
      <w:lvlText w:val="%1."/>
      <w:lvlJc w:val="start"/>
      <w:pPr>
        <w:tabs>
          <w:tab w:val="num" w:pos="567"/>
        </w:tabs>
        <w:ind w:start="567" w:hanging="567"/>
      </w:pPr>
      <w:rPr>
        <w:caps/>
      </w:rPr>
    </w:lvl>
  </w:abstractNum>
  <w:abstractNum w:abstractNumId="3">
    <w:lvl w:ilvl="0">
      <w:start w:val="1"/>
      <w:isLgl/>
      <w:numFmt w:val="decimal"/>
      <w:lvlText w:val="%1"/>
      <w:lvlJc w:val="start"/>
      <w:pPr>
        <w:tabs>
          <w:tab w:val="num" w:pos="720"/>
        </w:tabs>
        <w:ind w:start="720" w:hanging="720"/>
      </w:pPr>
      <w:rPr>
        <w:i w:val="false"/>
        <w:u w:val="none"/>
        <w:b/>
      </w:rPr>
    </w:lvl>
    <w:lvl w:ilvl="1">
      <w:start w:val="1"/>
      <w:isLgl/>
      <w:numFmt w:val="decimal"/>
      <w:lvlText w:val="%1.%2"/>
      <w:lvlJc w:val="start"/>
      <w:pPr>
        <w:tabs>
          <w:tab w:val="num" w:pos="720"/>
        </w:tabs>
        <w:ind w:start="720" w:hanging="720"/>
      </w:pPr>
      <w:rPr>
        <w:sz w:val="20"/>
        <w:u w:val="none"/>
      </w:rPr>
    </w:lvl>
    <w:lvl w:ilvl="2">
      <w:start w:val="1"/>
      <w:numFmt w:val="lowerLetter"/>
      <w:lvlText w:val="(%3)"/>
      <w:lvlJc w:val="start"/>
      <w:pPr>
        <w:tabs>
          <w:tab w:val="num" w:pos="1440"/>
        </w:tabs>
        <w:ind w:start="1440" w:hanging="720"/>
      </w:pPr>
      <w:rPr>
        <w:sz w:val="20"/>
        <w:rFonts w:ascii="Arial" w:hAnsi="Arial" w:cs="Arial"/>
      </w:rPr>
    </w:lvl>
    <w:lvl w:ilvl="3">
      <w:start w:val="1"/>
      <w:numFmt w:val="lowerRoman"/>
      <w:lvlText w:val="(%4)"/>
      <w:lvlJc w:val="start"/>
      <w:pPr>
        <w:tabs>
          <w:tab w:val="num" w:pos="2160"/>
        </w:tabs>
        <w:ind w:start="2160" w:hanging="720"/>
      </w:pPr>
      <w:rPr/>
    </w:lvl>
    <w:lvl w:ilvl="4">
      <w:start w:val="1"/>
      <w:isLgl/>
      <w:numFmt w:val="none"/>
      <w:suff w:val="nothing"/>
      <w:lvlText w:val=""/>
      <w:lvlJc w:val="start"/>
      <w:pPr>
        <w:tabs>
          <w:tab w:val="num" w:pos="2880"/>
        </w:tabs>
        <w:ind w:start="2880" w:hanging="720"/>
      </w:pPr>
      <w:rPr>
        <w:sz w:val="24"/>
        <w:i w:val="false"/>
        <w:b w:val="false"/>
        <w:rFonts w:ascii="Times New Roman" w:hAnsi="Times New Roman" w:cs="Times New Roman"/>
      </w:rPr>
    </w:lvl>
    <w:lvl w:ilvl="5">
      <w:start w:val="1"/>
      <w:numFmt w:val="lowerLetter"/>
      <w:lvlText w:val="(%6)"/>
      <w:lvlJc w:val="start"/>
      <w:pPr>
        <w:tabs>
          <w:tab w:val="num" w:pos="4320"/>
        </w:tabs>
        <w:ind w:start="4320" w:hanging="1440"/>
      </w:pPr>
      <w:rPr/>
    </w:lvl>
    <w:lvl w:ilvl="6">
      <w:start w:val="1"/>
      <w:isLgl/>
      <w:numFmt w:val="decimal"/>
      <w:lvlText w:val="%1.%2.%3.%4.%7"/>
      <w:lvlJc w:val="start"/>
      <w:pPr>
        <w:tabs>
          <w:tab w:val="num" w:pos="2880"/>
        </w:tabs>
        <w:ind w:start="2880" w:hanging="2880"/>
      </w:pPr>
      <w:rPr/>
    </w:lvl>
    <w:lvl w:ilvl="7">
      <w:start w:val="1"/>
      <w:numFmt w:val="decimal"/>
      <w:lvlText w:val="%1.%2.%3.%4.%5.%6.%7.%8"/>
      <w:lvlJc w:val="start"/>
      <w:pPr>
        <w:tabs>
          <w:tab w:val="num" w:pos="1440"/>
        </w:tabs>
        <w:ind w:start="1440" w:hanging="1440"/>
      </w:pPr>
      <w:rPr/>
    </w:lvl>
    <w:lvl w:ilvl="8">
      <w:start w:val="1"/>
      <w:numFmt w:val="decimal"/>
      <w:lvlText w:val="%1.%2.%3.%4.%5.%6.%7.%8.%9"/>
      <w:lvlJc w:val="start"/>
      <w:pPr>
        <w:tabs>
          <w:tab w:val="num" w:pos="1584"/>
        </w:tabs>
        <w:ind w:start="1584" w:hanging="1584"/>
      </w:pPr>
      <w:rPr/>
    </w:lvl>
  </w:abstractNum>
  <w:abstractNum w:abstractNumId="4">
    <w:lvl w:ilvl="0">
      <w:start w:val="1"/>
      <w:isLgl/>
      <w:numFmt w:val="decimal"/>
      <w:lvlText w:val="%1."/>
      <w:lvlJc w:val="start"/>
      <w:pPr>
        <w:tabs>
          <w:tab w:val="num" w:pos="720"/>
        </w:tabs>
        <w:ind w:start="720" w:hanging="720"/>
      </w:pPr>
      <w:rPr>
        <w:i w:val="false"/>
        <w:u w:val="none"/>
        <w:b w:val="false"/>
      </w:rPr>
    </w:lvl>
    <w:lvl w:ilvl="1">
      <w:start w:val="1"/>
      <w:numFmt w:val="decimal"/>
      <w:lvlText w:val="%1.%2"/>
      <w:lvlJc w:val="start"/>
      <w:pPr>
        <w:tabs>
          <w:tab w:val="num" w:pos="720"/>
        </w:tabs>
        <w:ind w:start="720" w:hanging="720"/>
      </w:pPr>
      <w:rPr>
        <w:u w:val="none"/>
      </w:rPr>
    </w:lvl>
    <w:lvl w:ilvl="2">
      <w:start w:val="1"/>
      <w:isLgl/>
      <w:numFmt w:val="decimal"/>
      <w:lvlText w:val="%1.%2.%3"/>
      <w:lvlJc w:val="start"/>
      <w:pPr>
        <w:tabs>
          <w:tab w:val="num" w:pos="1440"/>
        </w:tabs>
        <w:ind w:start="1440" w:hanging="1440"/>
      </w:pPr>
    </w:lvl>
    <w:lvl w:ilvl="3">
      <w:start w:val="1"/>
      <w:isLgl/>
      <w:numFmt w:val="decimal"/>
      <w:lvlText w:val="%1.%2.%3.%4"/>
      <w:lvlJc w:val="start"/>
      <w:pPr>
        <w:tabs>
          <w:tab w:val="num" w:pos="2160"/>
        </w:tabs>
        <w:ind w:start="2160" w:hanging="2160"/>
      </w:pPr>
    </w:lvl>
    <w:lvl w:ilvl="4">
      <w:start w:val="1"/>
      <w:numFmt w:val="lowerLetter"/>
      <w:lvlText w:val="(%5)"/>
      <w:lvlJc w:val="start"/>
      <w:pPr>
        <w:tabs>
          <w:tab w:val="num" w:pos="2880"/>
        </w:tabs>
        <w:ind w:start="2880" w:hanging="720"/>
      </w:pPr>
      <w:rPr>
        <w:sz w:val="24"/>
        <w:i w:val="false"/>
        <w:b w:val="false"/>
        <w:rFonts w:ascii="Times New Roman" w:hAnsi="Times New Roman" w:cs="Times New Roman"/>
      </w:rPr>
    </w:lvl>
    <w:lvl w:ilvl="5">
      <w:start w:val="1"/>
      <w:numFmt w:val="lowerRoman"/>
      <w:lvlText w:val="(%6)"/>
      <w:lvlJc w:val="start"/>
      <w:pPr>
        <w:tabs>
          <w:tab w:val="num" w:pos="4320"/>
        </w:tabs>
        <w:ind w:start="4320" w:hanging="1440"/>
      </w:pPr>
    </w:lvl>
    <w:lvl w:ilvl="6">
      <w:start w:val="1"/>
      <w:numFmt w:val="decimal"/>
      <w:lvlText w:val="%1.%2.%3.%4.%5.%6.%7"/>
      <w:lvlJc w:val="start"/>
      <w:pPr>
        <w:tabs>
          <w:tab w:val="num" w:pos="1800"/>
        </w:tabs>
        <w:ind w:start="1296" w:hanging="1296"/>
      </w:pPr>
    </w:lvl>
    <w:lvl w:ilvl="7">
      <w:start w:val="1"/>
      <w:numFmt w:val="decimal"/>
      <w:lvlText w:val="%1.%2.%3.%4.%5.%6.%7.%8"/>
      <w:lvlJc w:val="start"/>
      <w:pPr>
        <w:tabs>
          <w:tab w:val="num" w:pos="1440"/>
        </w:tabs>
        <w:ind w:start="1440" w:hanging="1440"/>
      </w:pPr>
    </w:lvl>
    <w:lvl w:ilvl="8">
      <w:start w:val="1"/>
      <w:numFmt w:val="decimal"/>
      <w:lvlText w:val="%1.%2.%3.%4.%5.%6.%7.%8.%9"/>
      <w:lvlJc w:val="start"/>
      <w:pPr>
        <w:tabs>
          <w:tab w:val="num" w:pos="1584"/>
        </w:tabs>
        <w:ind w:start="1584" w:hanging="1584"/>
      </w:pPr>
    </w:lvl>
  </w:abstractNum>
  <w:abstractNum w:abstractNumId="5">
    <w:lvl w:ilvl="0">
      <w:start w:val="1"/>
      <w:numFmt w:val="lowerLetter"/>
      <w:lvlText w:val="(%1)"/>
      <w:lvlJc w:val="start"/>
      <w:pPr>
        <w:tabs>
          <w:tab w:val="num" w:pos="1440"/>
        </w:tabs>
        <w:ind w:start="1440" w:hanging="720"/>
      </w:pPr>
      <w:rPr/>
    </w:lvl>
    <w:lvl w:ilvl="1">
      <w:start w:val="1"/>
      <w:isLgl/>
      <w:numFmt w:val="decimal"/>
      <w:lvlText w:val="6.%2"/>
      <w:lvlJc w:val="start"/>
      <w:pPr>
        <w:tabs>
          <w:tab w:val="num" w:pos="720"/>
        </w:tabs>
        <w:ind w:start="720" w:hanging="720"/>
      </w:pPr>
      <w:rPr/>
    </w:lvl>
    <w:lvl w:ilvl="2">
      <w:start w:val="1"/>
      <w:isLgl/>
      <w:numFmt w:val="lowerLetter"/>
      <w:lvlText w:val="(%3)"/>
      <w:lvlJc w:val="start"/>
      <w:pPr>
        <w:tabs>
          <w:tab w:val="num" w:pos="720"/>
        </w:tabs>
        <w:ind w:start="720" w:hanging="720"/>
      </w:pPr>
      <w:rPr/>
    </w:lvl>
    <w:lvl w:ilvl="3">
      <w:start w:val="1"/>
      <w:numFmt w:val="decimal"/>
      <w:lvlText w:val="%1.%2.%3.%4"/>
      <w:lvlJc w:val="start"/>
      <w:pPr>
        <w:tabs>
          <w:tab w:val="num" w:pos="720"/>
        </w:tabs>
        <w:ind w:start="720" w:hanging="720"/>
      </w:pPr>
      <w:rPr/>
    </w:lvl>
    <w:lvl w:ilvl="4">
      <w:start w:val="1"/>
      <w:numFmt w:val="decimal"/>
      <w:lvlText w:val="%1.%2.%3.%4.%5"/>
      <w:lvlJc w:val="start"/>
      <w:pPr>
        <w:tabs>
          <w:tab w:val="num" w:pos="1080"/>
        </w:tabs>
        <w:ind w:start="1080" w:hanging="1080"/>
      </w:pPr>
      <w:rPr/>
    </w:lvl>
    <w:lvl w:ilvl="5">
      <w:start w:val="1"/>
      <w:numFmt w:val="decimal"/>
      <w:lvlText w:val="%1.%2.%3.%4.%5.%6"/>
      <w:lvlJc w:val="start"/>
      <w:pPr>
        <w:tabs>
          <w:tab w:val="num" w:pos="1080"/>
        </w:tabs>
        <w:ind w:start="1080" w:hanging="1080"/>
      </w:pPr>
      <w:rPr/>
    </w:lvl>
    <w:lvl w:ilvl="6">
      <w:start w:val="1"/>
      <w:numFmt w:val="decimal"/>
      <w:lvlText w:val="%1.%2.%3.%4.%5.%6.%7"/>
      <w:lvlJc w:val="start"/>
      <w:pPr>
        <w:tabs>
          <w:tab w:val="num" w:pos="1440"/>
        </w:tabs>
        <w:ind w:start="1440" w:hanging="1440"/>
      </w:pPr>
      <w:rPr/>
    </w:lvl>
    <w:lvl w:ilvl="7">
      <w:start w:val="1"/>
      <w:numFmt w:val="decimal"/>
      <w:lvlText w:val="%1.%2.%3.%4.%5.%6.%7.%8"/>
      <w:lvlJc w:val="start"/>
      <w:pPr>
        <w:tabs>
          <w:tab w:val="num" w:pos="1440"/>
        </w:tabs>
        <w:ind w:start="1440" w:hanging="1440"/>
      </w:pPr>
      <w:rPr/>
    </w:lvl>
    <w:lvl w:ilvl="8">
      <w:start w:val="1"/>
      <w:numFmt w:val="decimal"/>
      <w:lvlText w:val="%1.%2.%3.%4.%5.%6.%7.%8.%9"/>
      <w:lvlJc w:val="start"/>
      <w:pPr>
        <w:tabs>
          <w:tab w:val="num" w:pos="1800"/>
        </w:tabs>
        <w:ind w:start="1800" w:hanging="1800"/>
      </w:pPr>
      <w:rPr/>
    </w:lvl>
  </w:abstractNum>
  <w:abstractNum w:abstractNumId="6">
    <w:lvl w:ilvl="0">
      <w:start w:val="10"/>
      <w:isLgl/>
      <w:numFmt w:val="decimal"/>
      <w:lvlText w:val="%1"/>
      <w:lvlJc w:val="start"/>
      <w:pPr>
        <w:tabs>
          <w:tab w:val="num" w:pos="720"/>
        </w:tabs>
        <w:ind w:start="720" w:hanging="720"/>
      </w:pPr>
      <w:rPr>
        <w:i w:val="false"/>
        <w:u w:val="none"/>
        <w:b/>
      </w:rPr>
    </w:lvl>
    <w:lvl w:ilvl="1">
      <w:start w:val="1"/>
      <w:isLgl/>
      <w:numFmt w:val="decimal"/>
      <w:lvlText w:val="%1.%2"/>
      <w:lvlJc w:val="start"/>
      <w:pPr>
        <w:tabs>
          <w:tab w:val="num" w:pos="720"/>
        </w:tabs>
        <w:ind w:start="720" w:hanging="720"/>
      </w:pPr>
      <w:rPr>
        <w:sz w:val="20"/>
        <w:u w:val="none"/>
      </w:rPr>
    </w:lvl>
    <w:lvl w:ilvl="2">
      <w:start w:val="1"/>
      <w:numFmt w:val="lowerLetter"/>
      <w:lvlText w:val="(%3)"/>
      <w:lvlJc w:val="start"/>
      <w:pPr>
        <w:tabs>
          <w:tab w:val="num" w:pos="1440"/>
        </w:tabs>
        <w:ind w:start="1440" w:hanging="720"/>
      </w:pPr>
      <w:rPr>
        <w:sz w:val="20"/>
        <w:rFonts w:ascii="Arial" w:hAnsi="Arial" w:cs="Arial"/>
      </w:rPr>
    </w:lvl>
    <w:lvl w:ilvl="3">
      <w:start w:val="1"/>
      <w:numFmt w:val="lowerRoman"/>
      <w:lvlText w:val="(%4)"/>
      <w:lvlJc w:val="start"/>
      <w:pPr>
        <w:tabs>
          <w:tab w:val="num" w:pos="2160"/>
        </w:tabs>
        <w:ind w:start="2160" w:hanging="720"/>
      </w:pPr>
      <w:rPr/>
    </w:lvl>
    <w:lvl w:ilvl="4">
      <w:start w:val="1"/>
      <w:isLgl/>
      <w:numFmt w:val="none"/>
      <w:suff w:val="nothing"/>
      <w:lvlText w:val=""/>
      <w:lvlJc w:val="start"/>
      <w:pPr>
        <w:tabs>
          <w:tab w:val="num" w:pos="2880"/>
        </w:tabs>
        <w:ind w:start="2880" w:hanging="720"/>
      </w:pPr>
      <w:rPr>
        <w:sz w:val="24"/>
        <w:i w:val="false"/>
        <w:b w:val="false"/>
        <w:rFonts w:ascii="Times New Roman" w:hAnsi="Times New Roman" w:cs="Times New Roman"/>
      </w:rPr>
    </w:lvl>
    <w:lvl w:ilvl="5">
      <w:start w:val="1"/>
      <w:numFmt w:val="lowerLetter"/>
      <w:lvlText w:val="(%6)"/>
      <w:lvlJc w:val="start"/>
      <w:pPr>
        <w:tabs>
          <w:tab w:val="num" w:pos="4320"/>
        </w:tabs>
        <w:ind w:start="4320" w:hanging="1440"/>
      </w:pPr>
      <w:rPr/>
    </w:lvl>
    <w:lvl w:ilvl="6">
      <w:start w:val="1"/>
      <w:isLgl/>
      <w:numFmt w:val="decimal"/>
      <w:lvlText w:val="%1.%2.%3.%4.%7"/>
      <w:lvlJc w:val="start"/>
      <w:pPr>
        <w:tabs>
          <w:tab w:val="num" w:pos="2880"/>
        </w:tabs>
        <w:ind w:start="2880" w:hanging="2880"/>
      </w:pPr>
      <w:rPr/>
    </w:lvl>
    <w:lvl w:ilvl="7">
      <w:start w:val="1"/>
      <w:numFmt w:val="decimal"/>
      <w:lvlText w:val="%1.%2.%3.%4.%5.%6.%7.%8"/>
      <w:lvlJc w:val="start"/>
      <w:pPr>
        <w:tabs>
          <w:tab w:val="num" w:pos="1440"/>
        </w:tabs>
        <w:ind w:start="1440" w:hanging="1440"/>
      </w:pPr>
      <w:rPr/>
    </w:lvl>
    <w:lvl w:ilvl="8">
      <w:start w:val="1"/>
      <w:numFmt w:val="decimal"/>
      <w:lvlText w:val="%1.%2.%3.%4.%5.%6.%7.%8.%9"/>
      <w:lvlJc w:val="start"/>
      <w:pPr>
        <w:tabs>
          <w:tab w:val="num" w:pos="1584"/>
        </w:tabs>
        <w:ind w:start="1584" w:hanging="1584"/>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jc w:val="both"/>
    </w:pPr>
    <w:rPr>
      <w:rFonts w:ascii="Arial" w:hAnsi="Arial" w:eastAsia="Times New Roman" w:cs="Arial"/>
      <w:color w:val="auto"/>
      <w:sz w:val="20"/>
      <w:szCs w:val="24"/>
      <w:lang w:val="en-GB" w:bidi="ar-SA" w:eastAsia="zh-CN"/>
    </w:rPr>
  </w:style>
  <w:style w:type="paragraph" w:styleId="Heading1">
    <w:name w:val="Heading 1"/>
    <w:basedOn w:val="Normal"/>
    <w:next w:val="Normal"/>
    <w:qFormat/>
    <w:pPr>
      <w:keepNext w:val="true"/>
      <w:numPr>
        <w:ilvl w:val="0"/>
        <w:numId w:val="1"/>
      </w:numPr>
      <w:tabs>
        <w:tab w:val="clear" w:pos="720"/>
      </w:tabs>
      <w:spacing w:before="0" w:after="240"/>
      <w:ind w:hanging="709" w:start="709" w:end="0"/>
      <w:outlineLvl w:val="0"/>
    </w:pPr>
    <w:rPr>
      <w:rFonts w:ascii="Times New Roman Bold" w:hAnsi="Times New Roman Bold" w:cs="Times New Roman Bold"/>
      <w:b/>
      <w:kern w:val="2"/>
      <w:sz w:val="22"/>
      <w:szCs w:val="20"/>
    </w:rPr>
  </w:style>
  <w:style w:type="paragraph" w:styleId="Heading2">
    <w:name w:val="Heading 2"/>
    <w:basedOn w:val="Normal"/>
    <w:next w:val="Normal"/>
    <w:qFormat/>
    <w:pPr>
      <w:keepNext w:val="true"/>
      <w:numPr>
        <w:ilvl w:val="1"/>
        <w:numId w:val="1"/>
      </w:numPr>
      <w:tabs>
        <w:tab w:val="clear" w:pos="720"/>
      </w:tabs>
      <w:spacing w:before="0" w:after="240"/>
      <w:ind w:hanging="709" w:start="709" w:end="0"/>
      <w:outlineLvl w:val="1"/>
    </w:pPr>
    <w:rPr>
      <w:b/>
      <w:sz w:val="22"/>
      <w:szCs w:val="20"/>
    </w:rPr>
  </w:style>
  <w:style w:type="paragraph" w:styleId="Heading3">
    <w:name w:val="Heading 3"/>
    <w:basedOn w:val="Normal"/>
    <w:next w:val="Normal"/>
    <w:qFormat/>
    <w:pPr>
      <w:widowControl w:val="false"/>
      <w:numPr>
        <w:ilvl w:val="2"/>
        <w:numId w:val="1"/>
      </w:numPr>
      <w:spacing w:before="0" w:after="240"/>
      <w:outlineLvl w:val="2"/>
    </w:pPr>
    <w:rPr>
      <w:sz w:val="22"/>
      <w:szCs w:val="20"/>
    </w:rPr>
  </w:style>
  <w:style w:type="paragraph" w:styleId="Heading4">
    <w:name w:val="Heading 4"/>
    <w:basedOn w:val="Normal"/>
    <w:next w:val="Normal"/>
    <w:qFormat/>
    <w:pPr>
      <w:keepNext w:val="true"/>
      <w:numPr>
        <w:ilvl w:val="3"/>
        <w:numId w:val="1"/>
      </w:numPr>
      <w:tabs>
        <w:tab w:val="clear" w:pos="720"/>
        <w:tab w:val="left" w:pos="1418" w:leader="none"/>
      </w:tabs>
      <w:spacing w:before="0" w:after="240"/>
      <w:outlineLvl w:val="3"/>
    </w:pPr>
    <w:rPr>
      <w:b/>
      <w:bCs/>
      <w:sz w:val="22"/>
      <w:szCs w:val="20"/>
    </w:rPr>
  </w:style>
  <w:style w:type="paragraph" w:styleId="Heading5">
    <w:name w:val="Heading 5"/>
    <w:basedOn w:val="Normal"/>
    <w:next w:val="Normal"/>
    <w:qFormat/>
    <w:pPr>
      <w:keepNext w:val="true"/>
      <w:numPr>
        <w:ilvl w:val="4"/>
        <w:numId w:val="1"/>
      </w:numPr>
      <w:jc w:val="center"/>
      <w:outlineLvl w:val="4"/>
    </w:pPr>
    <w:rPr>
      <w:b/>
      <w:sz w:val="22"/>
      <w:szCs w:val="20"/>
    </w:rPr>
  </w:style>
  <w:style w:type="paragraph" w:styleId="Heading6">
    <w:name w:val="Heading 6"/>
    <w:basedOn w:val="Normal"/>
    <w:next w:val="Normal"/>
    <w:qFormat/>
    <w:pPr>
      <w:numPr>
        <w:ilvl w:val="5"/>
        <w:numId w:val="1"/>
      </w:numPr>
      <w:spacing w:before="240" w:after="60"/>
      <w:outlineLvl w:val="5"/>
    </w:pPr>
    <w:rPr>
      <w:b/>
      <w:bCs/>
      <w:sz w:val="22"/>
      <w:szCs w:val="22"/>
    </w:rPr>
  </w:style>
  <w:style w:type="paragraph" w:styleId="Heading7">
    <w:name w:val="Heading 7"/>
    <w:basedOn w:val="Normal"/>
    <w:next w:val="Normal"/>
    <w:qFormat/>
    <w:pPr>
      <w:numPr>
        <w:ilvl w:val="6"/>
        <w:numId w:val="1"/>
      </w:numPr>
      <w:spacing w:before="240" w:after="60"/>
      <w:outlineLvl w:val="6"/>
    </w:pPr>
    <w:rPr/>
  </w:style>
  <w:style w:type="paragraph" w:styleId="Heading8">
    <w:name w:val="Heading 8"/>
    <w:basedOn w:val="Normal"/>
    <w:next w:val="Normal"/>
    <w:qFormat/>
    <w:pPr>
      <w:numPr>
        <w:ilvl w:val="7"/>
        <w:numId w:val="1"/>
      </w:numPr>
      <w:spacing w:before="240" w:after="60"/>
      <w:outlineLvl w:val="7"/>
    </w:pPr>
    <w:rPr>
      <w:i/>
      <w:iCs/>
    </w:rPr>
  </w:style>
  <w:style w:type="paragraph" w:styleId="Heading9">
    <w:name w:val="Heading 9"/>
    <w:basedOn w:val="Normal"/>
    <w:next w:val="Normal"/>
    <w:qFormat/>
    <w:pPr>
      <w:numPr>
        <w:ilvl w:val="8"/>
        <w:numId w:val="1"/>
      </w:numPr>
      <w:spacing w:before="240" w:after="60"/>
      <w:outlineLvl w:val="8"/>
    </w:pPr>
    <w:rPr>
      <w:sz w:val="22"/>
      <w:szCs w:val="22"/>
    </w:rPr>
  </w:style>
  <w:style w:type="character" w:styleId="WW8Num1z0">
    <w:name w:val="WW8Num1z0"/>
    <w:qFormat/>
    <w:rPr>
      <w:rFonts w:ascii="Symbol" w:hAnsi="Symbol" w:cs="Symbol"/>
    </w:rPr>
  </w:style>
  <w:style w:type="character" w:styleId="WW8Num2z0">
    <w:name w:val="WW8Num2z0"/>
    <w:qFormat/>
    <w:rPr/>
  </w:style>
  <w:style w:type="character" w:styleId="WW8Num3z0">
    <w:name w:val="WW8Num3z0"/>
    <w:qFormat/>
    <w:rPr>
      <w:b w:val="false"/>
    </w:rPr>
  </w:style>
  <w:style w:type="character" w:styleId="WW8Num4z0">
    <w:name w:val="WW8Num4z0"/>
    <w:qFormat/>
    <w:rPr/>
  </w:style>
  <w:style w:type="character" w:styleId="WW8Num5z0">
    <w:name w:val="WW8Num5z0"/>
    <w:qFormat/>
    <w:rPr/>
  </w:style>
  <w:style w:type="character" w:styleId="WW8Num6z0">
    <w:name w:val="WW8Num6z0"/>
    <w:qFormat/>
    <w:rPr/>
  </w:style>
  <w:style w:type="character" w:styleId="WW8Num7z0">
    <w:name w:val="WW8Num7z0"/>
    <w:qFormat/>
    <w:rPr>
      <w:sz w:val="20"/>
    </w:rPr>
  </w:style>
  <w:style w:type="character" w:styleId="WW8Num8z0">
    <w:name w:val="WW8Num8z0"/>
    <w:qFormat/>
    <w:rPr/>
  </w:style>
  <w:style w:type="character" w:styleId="WW8Num8z1">
    <w:name w:val="WW8Num8z1"/>
    <w:qFormat/>
    <w:rPr>
      <w:sz w:val="20"/>
    </w:rPr>
  </w:style>
  <w:style w:type="character" w:styleId="WW8Num9z0">
    <w:name w:val="WW8Num9z0"/>
    <w:qFormat/>
    <w:rPr/>
  </w:style>
  <w:style w:type="character" w:styleId="WW8Num10z0">
    <w:name w:val="WW8Num10z0"/>
    <w:qFormat/>
    <w:rPr/>
  </w:style>
  <w:style w:type="character" w:styleId="WW8Num11z0">
    <w:name w:val="WW8Num11z0"/>
    <w:qFormat/>
    <w:rPr/>
  </w:style>
  <w:style w:type="character" w:styleId="WW8Num12z0">
    <w:name w:val="WW8Num12z0"/>
    <w:qFormat/>
    <w:rPr>
      <w:caps/>
    </w:rPr>
  </w:style>
  <w:style w:type="character" w:styleId="WW8Num12z1">
    <w:name w:val="WW8Num12z1"/>
    <w:qFormat/>
    <w:rPr/>
  </w:style>
  <w:style w:type="character" w:styleId="WW8Num13z0">
    <w:name w:val="WW8Num13z0"/>
    <w:qFormat/>
    <w:rPr>
      <w:b/>
      <w:i w:val="false"/>
      <w:u w:val="none"/>
    </w:rPr>
  </w:style>
  <w:style w:type="character" w:styleId="WW8Num13z1">
    <w:name w:val="WW8Num13z1"/>
    <w:qFormat/>
    <w:rPr>
      <w:sz w:val="20"/>
      <w:u w:val="none"/>
    </w:rPr>
  </w:style>
  <w:style w:type="character" w:styleId="WW8Num13z2">
    <w:name w:val="WW8Num13z2"/>
    <w:qFormat/>
    <w:rPr>
      <w:rFonts w:ascii="Arial" w:hAnsi="Arial" w:cs="Arial"/>
      <w:sz w:val="20"/>
    </w:rPr>
  </w:style>
  <w:style w:type="character" w:styleId="WW8Num13z3">
    <w:name w:val="WW8Num13z3"/>
    <w:qFormat/>
    <w:rPr/>
  </w:style>
  <w:style w:type="character" w:styleId="WW8Num13z4">
    <w:name w:val="WW8Num13z4"/>
    <w:qFormat/>
    <w:rPr>
      <w:rFonts w:ascii="Times New Roman" w:hAnsi="Times New Roman" w:cs="Times New Roman"/>
      <w:b w:val="false"/>
      <w:i w:val="false"/>
      <w:sz w:val="24"/>
    </w:rPr>
  </w:style>
  <w:style w:type="character" w:styleId="WW8Num14z0">
    <w:name w:val="WW8Num14z0"/>
    <w:qFormat/>
    <w:rPr/>
  </w:style>
  <w:style w:type="character" w:styleId="WW8Num15z0">
    <w:name w:val="WW8Num15z0"/>
    <w:qFormat/>
    <w:rPr>
      <w:b w:val="false"/>
      <w:i w:val="false"/>
      <w:u w:val="none"/>
    </w:rPr>
  </w:style>
  <w:style w:type="character" w:styleId="WW8Num15z1">
    <w:name w:val="WW8Num15z1"/>
    <w:qFormat/>
    <w:rPr>
      <w:u w:val="none"/>
    </w:rPr>
  </w:style>
  <w:style w:type="character" w:styleId="WW8Num15z4">
    <w:name w:val="WW8Num15z4"/>
    <w:qFormat/>
    <w:rPr>
      <w:rFonts w:ascii="Times New Roman" w:hAnsi="Times New Roman" w:cs="Times New Roman"/>
      <w:b w:val="false"/>
      <w:i w:val="false"/>
      <w:sz w:val="24"/>
    </w:rPr>
  </w:style>
  <w:style w:type="character" w:styleId="WW8Num16z0">
    <w:name w:val="WW8Num16z0"/>
    <w:qFormat/>
    <w:rPr>
      <w:sz w:val="20"/>
    </w:rPr>
  </w:style>
  <w:style w:type="character" w:styleId="WW8Num17z0">
    <w:name w:val="WW8Num17z0"/>
    <w:qFormat/>
    <w:rPr/>
  </w:style>
  <w:style w:type="character" w:styleId="WW8Num18z0">
    <w:name w:val="WW8Num18z0"/>
    <w:qFormat/>
    <w:rPr/>
  </w:style>
  <w:style w:type="character" w:styleId="WW8Num20z0">
    <w:name w:val="WW8Num20z0"/>
    <w:qFormat/>
    <w:rPr/>
  </w:style>
  <w:style w:type="character" w:styleId="WW8Num21z0">
    <w:name w:val="WW8Num21z0"/>
    <w:qFormat/>
    <w:rPr/>
  </w:style>
  <w:style w:type="character" w:styleId="WW8Num22z0">
    <w:name w:val="WW8Num22z0"/>
    <w:qFormat/>
    <w:rPr/>
  </w:style>
  <w:style w:type="character" w:styleId="DefaultParagraphFont">
    <w:name w:val="Default Paragraph Font"/>
    <w:qFormat/>
    <w:rPr/>
  </w:style>
  <w:style w:type="character" w:styleId="Hyperlink">
    <w:name w:val="Hyperlink"/>
    <w:basedOn w:val="DefaultParagraphFont"/>
    <w:rPr>
      <w:color w:val="0000FF"/>
      <w:u w:val="single"/>
    </w:rPr>
  </w:style>
  <w:style w:type="character" w:styleId="CommentReference">
    <w:name w:val="Comment Reference"/>
    <w:basedOn w:val="DefaultParagraphFont"/>
    <w:qFormat/>
    <w:rPr>
      <w:sz w:val="16"/>
      <w:szCs w:val="16"/>
    </w:rPr>
  </w:style>
  <w:style w:type="character" w:styleId="DeltaViewInsertion">
    <w:name w:val="DeltaView Insertion"/>
    <w:qFormat/>
    <w:rPr>
      <w:b/>
      <w:bCs/>
      <w:color w:val="0000FF"/>
      <w:spacing w:val="0"/>
      <w:u w:val="double"/>
    </w:rPr>
  </w:style>
  <w:style w:type="character" w:styleId="FollowedHyperlink">
    <w:name w:val="FollowedHyperlink"/>
    <w:basedOn w:val="DefaultParagraphFont"/>
    <w:rPr>
      <w:color w:val="800080"/>
      <w:u w:val="single"/>
    </w:rPr>
  </w:style>
  <w:style w:type="character" w:styleId="FootnoteCharacters">
    <w:name w:val="Footnote Characters"/>
    <w:basedOn w:val="DefaultParagraphFont"/>
    <w:qFormat/>
    <w:rPr>
      <w:vertAlign w:val="superscript"/>
    </w:rPr>
  </w:style>
  <w:style w:type="character" w:styleId="PageNumber">
    <w:name w:val="Page Number"/>
    <w:basedOn w:val="DefaultParagraphFont"/>
    <w:rPr/>
  </w:style>
  <w:style w:type="character" w:styleId="IndexLink">
    <w:name w:val="Index Link"/>
    <w:qForma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EndnoteCharacters">
    <w:name w:val="Endnote Characters"/>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tabs>
        <w:tab w:val="left" w:pos="720" w:leader="none"/>
      </w:tabs>
      <w:jc w:val="both"/>
    </w:pPr>
    <w:rPr>
      <w:szCs w:val="20"/>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cc">
    <w:name w:val="cc"/>
    <w:basedOn w:val="Normal"/>
    <w:qFormat/>
    <w:pPr>
      <w:ind w:hanging="576" w:start="576" w:end="0"/>
    </w:pPr>
    <w:rPr>
      <w:sz w:val="18"/>
      <w:szCs w:val="20"/>
      <w:lang w:val="en-US"/>
    </w:rPr>
  </w:style>
  <w:style w:type="paragraph" w:styleId="HEAD-1">
    <w:name w:val="HEAD-1"/>
    <w:basedOn w:val="Normal"/>
    <w:qFormat/>
    <w:pPr>
      <w:keepNext w:val="true"/>
      <w:spacing w:before="0" w:after="240"/>
      <w:ind w:hanging="720" w:start="720" w:end="0"/>
      <w:jc w:val="both"/>
    </w:pPr>
    <w:rPr>
      <w:b/>
      <w:szCs w:val="20"/>
      <w:lang w:val="en-US"/>
    </w:rPr>
  </w:style>
  <w:style w:type="paragraph" w:styleId="HEAD-a">
    <w:name w:val="HEAD-a"/>
    <w:basedOn w:val="Normal"/>
    <w:qFormat/>
    <w:pPr>
      <w:keepNext w:val="true"/>
      <w:tabs>
        <w:tab w:val="left" w:pos="720" w:leader="none"/>
      </w:tabs>
      <w:spacing w:before="0" w:after="240"/>
      <w:ind w:hanging="1440" w:start="1440" w:end="0"/>
      <w:jc w:val="both"/>
    </w:pPr>
    <w:rPr>
      <w:b/>
      <w:szCs w:val="20"/>
      <w:lang w:val="en-US"/>
    </w:rPr>
  </w:style>
  <w:style w:type="paragraph" w:styleId="HEAD-ART">
    <w:name w:val="HEAD-ART"/>
    <w:basedOn w:val="Normal"/>
    <w:qFormat/>
    <w:pPr>
      <w:keepNext w:val="true"/>
      <w:spacing w:before="240" w:after="0"/>
      <w:jc w:val="center"/>
    </w:pPr>
    <w:rPr>
      <w:b/>
      <w:szCs w:val="20"/>
      <w:lang w:val="en-US"/>
    </w:rPr>
  </w:style>
  <w:style w:type="paragraph" w:styleId="HEAD-CENT">
    <w:name w:val="HEAD-CENT"/>
    <w:basedOn w:val="Normal"/>
    <w:qFormat/>
    <w:pPr>
      <w:keepNext w:val="true"/>
      <w:numPr>
        <w:ilvl w:val="0"/>
        <w:numId w:val="3"/>
      </w:numPr>
      <w:spacing w:before="240" w:after="240"/>
      <w:jc w:val="start"/>
    </w:pPr>
    <w:rPr>
      <w:b/>
      <w:szCs w:val="20"/>
      <w:lang w:val="en-US"/>
    </w:rPr>
  </w:style>
  <w:style w:type="paragraph" w:styleId="PARA">
    <w:name w:val="PARA"/>
    <w:basedOn w:val="Normal"/>
    <w:qFormat/>
    <w:pPr>
      <w:spacing w:before="0" w:after="240"/>
    </w:pPr>
    <w:rPr>
      <w:sz w:val="22"/>
      <w:szCs w:val="20"/>
      <w:lang w:val="en-US"/>
    </w:rPr>
  </w:style>
  <w:style w:type="paragraph" w:styleId="PARA-2">
    <w:name w:val="PARA-2"/>
    <w:basedOn w:val="Normal"/>
    <w:qFormat/>
    <w:pPr>
      <w:numPr>
        <w:ilvl w:val="0"/>
        <w:numId w:val="3"/>
      </w:numPr>
      <w:spacing w:before="0" w:after="240"/>
    </w:pPr>
    <w:rPr>
      <w:rFonts w:cs="Arial"/>
      <w:szCs w:val="20"/>
    </w:rPr>
  </w:style>
  <w:style w:type="paragraph" w:styleId="PARA-a">
    <w:name w:val="PARA-a"/>
    <w:basedOn w:val="Normal"/>
    <w:qFormat/>
    <w:pPr>
      <w:numPr>
        <w:ilvl w:val="0"/>
        <w:numId w:val="5"/>
      </w:numPr>
      <w:tabs>
        <w:tab w:val="clear" w:pos="720"/>
        <w:tab w:val="left" w:pos="2138" w:leader="none"/>
      </w:tabs>
      <w:spacing w:before="0" w:after="240"/>
    </w:pPr>
    <w:rPr>
      <w:szCs w:val="20"/>
      <w:lang w:val="en-US"/>
    </w:rPr>
  </w:style>
  <w:style w:type="paragraph" w:styleId="PARA-A1">
    <w:name w:val="PARA-A1"/>
    <w:basedOn w:val="PARA"/>
    <w:qFormat/>
    <w:pPr>
      <w:ind w:hanging="720" w:start="2880" w:end="0"/>
    </w:pPr>
    <w:rPr/>
  </w:style>
  <w:style w:type="paragraph" w:styleId="PARA-i">
    <w:name w:val="PARA-i"/>
    <w:basedOn w:val="Normal"/>
    <w:qFormat/>
    <w:pPr>
      <w:spacing w:before="0" w:after="240"/>
    </w:pPr>
    <w:rPr>
      <w:sz w:val="22"/>
      <w:szCs w:val="20"/>
      <w:lang w:val="en-US"/>
    </w:rPr>
  </w:style>
  <w:style w:type="paragraph" w:styleId="QUOTE">
    <w:name w:val="QUOTE"/>
    <w:basedOn w:val="Normal"/>
    <w:qFormat/>
    <w:pPr>
      <w:tabs>
        <w:tab w:val="clear" w:pos="720"/>
        <w:tab w:val="left" w:pos="2160" w:leader="none"/>
        <w:tab w:val="left" w:pos="2880" w:leader="none"/>
        <w:tab w:val="right" w:pos="7200" w:leader="none"/>
      </w:tabs>
      <w:spacing w:before="0" w:after="240"/>
      <w:ind w:hanging="0" w:start="1440" w:end="1440"/>
      <w:jc w:val="both"/>
    </w:pPr>
    <w:rPr>
      <w:sz w:val="22"/>
      <w:szCs w:val="20"/>
      <w:lang w:val="en-US"/>
    </w:rPr>
  </w:style>
  <w:style w:type="paragraph" w:styleId="SIGN">
    <w:name w:val="SIGN"/>
    <w:basedOn w:val="Normal"/>
    <w:qFormat/>
    <w:pPr>
      <w:tabs>
        <w:tab w:val="clear" w:pos="720"/>
        <w:tab w:val="right" w:pos="8640" w:leader="none"/>
      </w:tabs>
      <w:ind w:hanging="0" w:start="4507" w:end="0"/>
    </w:pPr>
    <w:rPr>
      <w:sz w:val="22"/>
      <w:szCs w:val="20"/>
      <w:lang w:val="en-US"/>
    </w:rPr>
  </w:style>
  <w:style w:type="paragraph" w:styleId="SIGN-2">
    <w:name w:val="SIGN-2"/>
    <w:basedOn w:val="Normal"/>
    <w:qFormat/>
    <w:pPr>
      <w:tabs>
        <w:tab w:val="clear" w:pos="720"/>
        <w:tab w:val="left" w:pos="4176" w:leader="none"/>
        <w:tab w:val="left" w:pos="4507" w:leader="none"/>
        <w:tab w:val="right" w:pos="8640" w:leader="none"/>
      </w:tabs>
      <w:jc w:val="both"/>
    </w:pPr>
    <w:rPr>
      <w:sz w:val="22"/>
      <w:szCs w:val="20"/>
      <w:lang w:val="en-US"/>
    </w:rPr>
  </w:style>
  <w:style w:type="paragraph" w:styleId="BodyText3">
    <w:name w:val="Body Text 3"/>
    <w:basedOn w:val="Normal"/>
    <w:qFormat/>
    <w:pPr/>
    <w:rPr>
      <w:szCs w:val="20"/>
    </w:rPr>
  </w:style>
  <w:style w:type="paragraph" w:styleId="TOC1">
    <w:name w:val="TOC 1"/>
    <w:basedOn w:val="Normal"/>
    <w:next w:val="Normal"/>
    <w:pPr>
      <w:tabs>
        <w:tab w:val="clear" w:pos="720"/>
        <w:tab w:val="left" w:pos="426" w:leader="none"/>
        <w:tab w:val="left" w:pos="709" w:leader="none"/>
        <w:tab w:val="right" w:pos="9016" w:leader="dot"/>
      </w:tabs>
    </w:pPr>
    <w:rPr>
      <w:rFonts w:cs="Arial"/>
      <w:szCs w:val="22"/>
      <w:lang w:val="en-US" w:eastAsia="en-US"/>
    </w:rPr>
  </w:style>
  <w:style w:type="paragraph" w:styleId="Level3">
    <w:name w:val="Level 3"/>
    <w:basedOn w:val="Normal"/>
    <w:next w:val="Normal"/>
    <w:qFormat/>
    <w:pPr>
      <w:widowControl w:val="false"/>
      <w:tabs>
        <w:tab w:val="clear" w:pos="720"/>
        <w:tab w:val="left" w:pos="1417" w:leader="none"/>
      </w:tabs>
      <w:spacing w:lineRule="auto" w:line="264" w:before="0" w:after="210"/>
      <w:ind w:hanging="708" w:start="1417" w:end="0"/>
      <w:jc w:val="both"/>
    </w:pPr>
    <w:rPr>
      <w:kern w:val="2"/>
      <w:sz w:val="21"/>
      <w:szCs w:val="20"/>
    </w:rPr>
  </w:style>
  <w:style w:type="paragraph" w:styleId="Body2">
    <w:name w:val="Body 2"/>
    <w:basedOn w:val="Normal"/>
    <w:qFormat/>
    <w:pPr>
      <w:widowControl w:val="false"/>
      <w:spacing w:lineRule="auto" w:line="264" w:before="0" w:after="210"/>
      <w:ind w:hanging="0" w:start="709" w:end="0"/>
      <w:jc w:val="both"/>
    </w:pPr>
    <w:rPr>
      <w:kern w:val="2"/>
      <w:sz w:val="21"/>
      <w:szCs w:val="20"/>
    </w:rPr>
  </w:style>
  <w:style w:type="paragraph" w:styleId="BodyTextIndent2">
    <w:name w:val="Body Text Indent 2"/>
    <w:basedOn w:val="Normal"/>
    <w:qFormat/>
    <w:pPr>
      <w:ind w:hanging="720" w:start="720" w:end="0"/>
    </w:pPr>
    <w:rPr>
      <w:sz w:val="22"/>
      <w:szCs w:val="20"/>
    </w:rPr>
  </w:style>
  <w:style w:type="paragraph" w:styleId="BodyTextIndent3">
    <w:name w:val="Body Text Indent 3"/>
    <w:basedOn w:val="Normal"/>
    <w:qFormat/>
    <w:pPr>
      <w:tabs>
        <w:tab w:val="left" w:pos="720" w:leader="none"/>
      </w:tabs>
      <w:spacing w:lineRule="auto" w:line="360"/>
      <w:ind w:hanging="720" w:start="1440" w:end="0"/>
      <w:jc w:val="both"/>
    </w:pPr>
    <w:rPr>
      <w:sz w:val="22"/>
      <w:szCs w:val="20"/>
    </w:rPr>
  </w:style>
  <w:style w:type="paragraph" w:styleId="HeaderandFooter">
    <w:name w:val="Header and Footer"/>
    <w:basedOn w:val="Normal"/>
    <w:qFormat/>
    <w:pPr>
      <w:suppressLineNumbers/>
      <w:tabs>
        <w:tab w:val="clear" w:pos="720"/>
        <w:tab w:val="center" w:pos="4986" w:leader="none"/>
        <w:tab w:val="right" w:pos="9972" w:leader="none"/>
      </w:tabs>
    </w:pPr>
    <w:rPr/>
  </w:style>
  <w:style w:type="paragraph" w:styleId="Footer">
    <w:name w:val="Footer"/>
    <w:basedOn w:val="Normal"/>
    <w:pPr>
      <w:tabs>
        <w:tab w:val="left" w:pos="720" w:leader="none"/>
        <w:tab w:val="center" w:pos="4153" w:leader="none"/>
        <w:tab w:val="right" w:pos="8306" w:leader="none"/>
      </w:tabs>
      <w:jc w:val="both"/>
    </w:pPr>
    <w:rPr>
      <w:sz w:val="22"/>
      <w:szCs w:val="20"/>
    </w:rPr>
  </w:style>
  <w:style w:type="paragraph" w:styleId="TOC7">
    <w:name w:val="TOC 7"/>
    <w:basedOn w:val="Normal"/>
    <w:next w:val="Normal"/>
    <w:pPr>
      <w:tabs>
        <w:tab w:val="clear" w:pos="720"/>
        <w:tab w:val="left" w:pos="810" w:leader="none"/>
        <w:tab w:val="left" w:pos="1440" w:leader="none"/>
        <w:tab w:val="left" w:pos="2970" w:leader="none"/>
        <w:tab w:val="left" w:pos="3600" w:leader="none"/>
      </w:tabs>
      <w:ind w:hanging="0" w:start="1418" w:end="0"/>
    </w:pPr>
    <w:rPr/>
  </w:style>
  <w:style w:type="paragraph" w:styleId="BodyTextIndent">
    <w:name w:val="Body Text Indent"/>
    <w:basedOn w:val="Normal"/>
    <w:pPr>
      <w:tabs>
        <w:tab w:val="left" w:pos="720" w:leader="none"/>
      </w:tabs>
      <w:spacing w:lineRule="auto" w:line="360"/>
      <w:ind w:hanging="0" w:start="720" w:end="0"/>
      <w:jc w:val="both"/>
    </w:pPr>
    <w:rPr>
      <w:sz w:val="22"/>
      <w:szCs w:val="20"/>
    </w:rPr>
  </w:style>
  <w:style w:type="paragraph" w:styleId="BodyText2">
    <w:name w:val="Body Text 2"/>
    <w:basedOn w:val="Normal"/>
    <w:qFormat/>
    <w:pPr/>
    <w:rPr>
      <w:b/>
      <w:bCs/>
      <w:color w:val="FF6600"/>
      <w:sz w:val="22"/>
      <w:szCs w:val="20"/>
    </w:rPr>
  </w:style>
  <w:style w:type="paragraph" w:styleId="EnvelopeReturn">
    <w:name w:val="Envelope Return"/>
    <w:basedOn w:val="Normal"/>
    <w:pPr>
      <w:tabs>
        <w:tab w:val="left" w:pos="720" w:leader="none"/>
      </w:tabs>
      <w:jc w:val="both"/>
    </w:pPr>
    <w:rPr>
      <w:sz w:val="22"/>
      <w:szCs w:val="20"/>
    </w:rPr>
  </w:style>
  <w:style w:type="paragraph" w:styleId="FootnoteText">
    <w:name w:val="Footnote Text"/>
    <w:basedOn w:val="Normal"/>
    <w:pPr/>
    <w:rPr>
      <w:sz w:val="20"/>
      <w:szCs w:val="20"/>
    </w:rPr>
  </w:style>
  <w:style w:type="paragraph" w:styleId="Header">
    <w:name w:val="Header"/>
    <w:basedOn w:val="Normal"/>
    <w:pPr>
      <w:keepNext w:val="true"/>
      <w:keepLines/>
      <w:tabs>
        <w:tab w:val="left" w:pos="720" w:leader="none"/>
        <w:tab w:val="center" w:pos="4153" w:leader="none"/>
        <w:tab w:val="right" w:pos="8306" w:leader="none"/>
      </w:tabs>
      <w:jc w:val="center"/>
    </w:pPr>
    <w:rPr>
      <w:sz w:val="22"/>
      <w:szCs w:val="20"/>
    </w:rPr>
  </w:style>
  <w:style w:type="paragraph" w:styleId="header1">
    <w:name w:val="header 1"/>
    <w:basedOn w:val="Header"/>
    <w:qFormat/>
    <w:pPr>
      <w:keepNext w:val="false"/>
      <w:keepLines w:val="false"/>
      <w:pBdr>
        <w:bottom w:val="single" w:sz="6" w:space="1" w:color="000000"/>
      </w:pBdr>
      <w:tabs>
        <w:tab w:val="clear" w:pos="4153"/>
        <w:tab w:val="clear" w:pos="8306"/>
        <w:tab w:val="left" w:pos="720" w:leader="none"/>
        <w:tab w:val="center" w:pos="4507" w:leader="none"/>
        <w:tab w:val="center" w:pos="6653" w:leader="none"/>
        <w:tab w:val="right" w:pos="9000" w:leader="none"/>
        <w:tab w:val="right" w:pos="13594" w:leader="none"/>
      </w:tabs>
      <w:jc w:val="both"/>
    </w:pPr>
    <w:rPr>
      <w:color w:val="000000"/>
      <w:sz w:val="16"/>
    </w:rPr>
  </w:style>
  <w:style w:type="paragraph" w:styleId="TOC2">
    <w:name w:val="TOC 2"/>
    <w:basedOn w:val="Normal"/>
    <w:next w:val="Normal"/>
    <w:pPr>
      <w:ind w:hanging="0" w:start="220" w:end="0"/>
    </w:pPr>
    <w:rPr/>
  </w:style>
  <w:style w:type="paragraph" w:styleId="TOC3">
    <w:name w:val="TOC 3"/>
    <w:basedOn w:val="Normal"/>
    <w:next w:val="Normal"/>
    <w:pPr>
      <w:ind w:hanging="0" w:start="440" w:end="0"/>
    </w:pPr>
    <w:rPr/>
  </w:style>
  <w:style w:type="paragraph" w:styleId="TOC4">
    <w:name w:val="TOC 4"/>
    <w:basedOn w:val="Normal"/>
    <w:next w:val="Normal"/>
    <w:pPr>
      <w:ind w:hanging="0" w:start="660" w:end="0"/>
    </w:pPr>
    <w:rPr/>
  </w:style>
  <w:style w:type="paragraph" w:styleId="TOC5">
    <w:name w:val="TOC 5"/>
    <w:basedOn w:val="Normal"/>
    <w:next w:val="Normal"/>
    <w:pPr>
      <w:ind w:hanging="0" w:start="880" w:end="0"/>
    </w:pPr>
    <w:rPr/>
  </w:style>
  <w:style w:type="paragraph" w:styleId="TOC6">
    <w:name w:val="TOC 6"/>
    <w:basedOn w:val="Normal"/>
    <w:next w:val="Normal"/>
    <w:pPr>
      <w:ind w:hanging="0" w:start="1100" w:end="0"/>
    </w:pPr>
    <w:rPr/>
  </w:style>
  <w:style w:type="paragraph" w:styleId="TOC8">
    <w:name w:val="TOC 8"/>
    <w:basedOn w:val="Normal"/>
    <w:next w:val="Normal"/>
    <w:pPr>
      <w:ind w:hanging="0" w:start="1540" w:end="0"/>
    </w:pPr>
    <w:rPr/>
  </w:style>
  <w:style w:type="paragraph" w:styleId="TOC9">
    <w:name w:val="TOC 9"/>
    <w:basedOn w:val="Normal"/>
    <w:next w:val="Normal"/>
    <w:pPr>
      <w:ind w:hanging="0" w:start="1760" w:end="0"/>
    </w:pPr>
    <w:rPr/>
  </w:style>
  <w:style w:type="paragraph" w:styleId="CommentText">
    <w:name w:val="Comment Text"/>
    <w:basedOn w:val="Normal"/>
    <w:qFormat/>
    <w:pPr/>
    <w:rPr>
      <w:sz w:val="20"/>
      <w:szCs w:val="20"/>
    </w:rPr>
  </w:style>
  <w:style w:type="paragraph" w:styleId="OmniPage6">
    <w:name w:val="OmniPage #6"/>
    <w:basedOn w:val="Normal"/>
    <w:qFormat/>
    <w:pPr>
      <w:tabs>
        <w:tab w:val="clear" w:pos="720"/>
        <w:tab w:val="left" w:pos="213" w:leader="none"/>
        <w:tab w:val="left" w:pos="4166" w:leader="dot"/>
        <w:tab w:val="right" w:pos="9259" w:leader="none"/>
      </w:tabs>
      <w:ind w:hanging="0" w:start="1575" w:end="100"/>
      <w:jc w:val="start"/>
    </w:pPr>
    <w:rPr>
      <w:rFonts w:ascii="Times New Roman" w:hAnsi="Times New Roman" w:cs="Times New Roman"/>
      <w:szCs w:val="20"/>
      <w:lang w:val="en-US" w:eastAsia="en-US"/>
    </w:rPr>
  </w:style>
  <w:style w:type="paragraph" w:styleId="OmniPage3073">
    <w:name w:val="OmniPage #3073"/>
    <w:basedOn w:val="Normal"/>
    <w:qFormat/>
    <w:pPr>
      <w:ind w:hanging="0" w:start="1702" w:end="225"/>
      <w:jc w:val="start"/>
    </w:pPr>
    <w:rPr>
      <w:rFonts w:ascii="Times New Roman" w:hAnsi="Times New Roman" w:cs="Times New Roman"/>
      <w:szCs w:val="20"/>
      <w:lang w:val="en-US" w:eastAsia="en-US"/>
    </w:rPr>
  </w:style>
  <w:style w:type="paragraph" w:styleId="BlockText">
    <w:name w:val="Block Text"/>
    <w:basedOn w:val="Normal"/>
    <w:qFormat/>
    <w:pPr>
      <w:spacing w:before="0" w:after="120"/>
      <w:ind w:hanging="14" w:start="490" w:end="237"/>
      <w:jc w:val="start"/>
    </w:pPr>
    <w:rPr>
      <w:rFonts w:cs="Arial"/>
    </w:rPr>
  </w:style>
  <w:style w:type="paragraph" w:styleId="PARA-1">
    <w:name w:val="PARA-1"/>
    <w:basedOn w:val="Normal"/>
    <w:qFormat/>
    <w:pPr/>
    <w:rPr/>
  </w:style>
  <w:style w:type="paragraph" w:styleId="PARA-a2">
    <w:name w:val="PARA-(a)"/>
    <w:basedOn w:val="Normal"/>
    <w:qFormat/>
    <w:pPr>
      <w:numPr>
        <w:ilvl w:val="0"/>
        <w:numId w:val="3"/>
      </w:numPr>
    </w:pPr>
    <w:rPr/>
  </w:style>
  <w:style w:type="paragraph" w:styleId="PARA-i1">
    <w:name w:val="PARA-(i)"/>
    <w:basedOn w:val="Normal"/>
    <w:qFormat/>
    <w:pPr>
      <w:numPr>
        <w:ilvl w:val="0"/>
        <w:numId w:val="3"/>
      </w:numPr>
    </w:pPr>
    <w:rPr/>
  </w:style>
  <w:style w:type="paragraph" w:styleId="Schedulelineone">
    <w:name w:val="Schedule line one"/>
    <w:basedOn w:val="Normal"/>
    <w:next w:val="Normal"/>
    <w:qFormat/>
    <w:pPr>
      <w:jc w:val="center"/>
    </w:pPr>
    <w:rPr>
      <w:rFonts w:ascii="Times New Roman" w:hAnsi="Times New Roman" w:cs="Times New Roman"/>
      <w:b/>
      <w:sz w:val="24"/>
      <w:szCs w:val="20"/>
    </w:rPr>
  </w:style>
  <w:style w:type="paragraph" w:styleId="ScheduleFive">
    <w:name w:val="Schedule Five"/>
    <w:basedOn w:val="Normal"/>
    <w:next w:val="BodyText"/>
    <w:qFormat/>
    <w:pPr>
      <w:numPr>
        <w:ilvl w:val="0"/>
        <w:numId w:val="4"/>
      </w:numPr>
      <w:spacing w:lineRule="auto" w:line="360"/>
    </w:pPr>
    <w:rPr>
      <w:rFonts w:ascii="Times New Roman" w:hAnsi="Times New Roman" w:cs="Times New Roman"/>
      <w:sz w:val="24"/>
      <w:szCs w:val="20"/>
    </w:rPr>
  </w:style>
  <w:style w:type="paragraph" w:styleId="ScheduleFour">
    <w:name w:val="Schedule Four"/>
    <w:basedOn w:val="Normal"/>
    <w:next w:val="BodyText"/>
    <w:qFormat/>
    <w:pPr>
      <w:numPr>
        <w:ilvl w:val="0"/>
        <w:numId w:val="4"/>
      </w:numPr>
      <w:spacing w:lineRule="auto" w:line="360"/>
    </w:pPr>
    <w:rPr>
      <w:rFonts w:ascii="Times New Roman" w:hAnsi="Times New Roman" w:cs="Times New Roman"/>
      <w:sz w:val="24"/>
      <w:szCs w:val="20"/>
    </w:rPr>
  </w:style>
  <w:style w:type="paragraph" w:styleId="ScheduleOne">
    <w:name w:val="Schedule One"/>
    <w:basedOn w:val="Normal"/>
    <w:next w:val="BodyText"/>
    <w:qFormat/>
    <w:pPr>
      <w:numPr>
        <w:ilvl w:val="0"/>
        <w:numId w:val="4"/>
      </w:numPr>
      <w:spacing w:lineRule="auto" w:line="360"/>
    </w:pPr>
    <w:rPr>
      <w:rFonts w:ascii="Times New Roman" w:hAnsi="Times New Roman" w:cs="Times New Roman"/>
      <w:b/>
      <w:sz w:val="24"/>
      <w:szCs w:val="20"/>
      <w:u w:val="single"/>
    </w:rPr>
  </w:style>
  <w:style w:type="paragraph" w:styleId="ScheduleThree">
    <w:name w:val="Schedule Three"/>
    <w:basedOn w:val="Normal"/>
    <w:next w:val="BodyText"/>
    <w:qFormat/>
    <w:pPr>
      <w:numPr>
        <w:ilvl w:val="0"/>
        <w:numId w:val="4"/>
      </w:numPr>
      <w:spacing w:lineRule="auto" w:line="360"/>
    </w:pPr>
    <w:rPr>
      <w:rFonts w:ascii="Times New Roman" w:hAnsi="Times New Roman" w:cs="Times New Roman"/>
      <w:sz w:val="24"/>
      <w:szCs w:val="20"/>
    </w:rPr>
  </w:style>
  <w:style w:type="paragraph" w:styleId="ScheduleTwo">
    <w:name w:val="Schedule Two"/>
    <w:basedOn w:val="Normal"/>
    <w:next w:val="BodyText"/>
    <w:qFormat/>
    <w:pPr>
      <w:numPr>
        <w:ilvl w:val="0"/>
        <w:numId w:val="4"/>
      </w:numPr>
      <w:spacing w:lineRule="auto" w:line="360"/>
    </w:pPr>
    <w:rPr>
      <w:rFonts w:ascii="Times New Roman" w:hAnsi="Times New Roman" w:cs="Times New Roman"/>
      <w:sz w:val="24"/>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footer" Target="footer5.xml"/><Relationship Id="rId13" Type="http://schemas.openxmlformats.org/officeDocument/2006/relationships/footer" Target="footer6.xml"/><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3.jpeg"/>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_rels/header2.xml.rels><?xml version="1.0" encoding="UTF-8"?>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2008-07-28T19:23:00Z</dcterms:created>
  <dc:creator>Doug Gessell</dc:creator>
  <dc:description/>
  <cp:keywords>allowances EU</cp:keywords>
  <dc:language>en-US</dc:language>
  <cp:lastModifiedBy/>
  <cp:lastPrinted>2008-04-01T18:53:00Z</cp:lastPrinted>
  <dcterms:modified xsi:type="dcterms:W3CDTF">2026-07-23T16:09:31Z</dcterms:modified>
  <cp:revision>3</cp:revision>
  <dc:subject/>
  <dc:title>LONDOCS\2206113.01</dc:title>
</cp:coreProperties>
</file>