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0" w:end="0"/>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952500</wp:posOffset>
                </wp:positionH>
                <wp:positionV relativeFrom="page">
                  <wp:posOffset>454025</wp:posOffset>
                </wp:positionV>
                <wp:extent cx="5908040" cy="0"/>
                <wp:effectExtent l="0" t="4445" r="0" b="4445"/>
                <wp:wrapNone/>
                <wp:docPr id="1"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5pt,35.75pt" to="540.15pt,35.75pt" stroked="t" o:allowincell="f" style="position:absolute;mso-position-horizontal-relative:page;mso-position-vertical-relative:page">
                <v:stroke color="black" weight="9000" joinstyle="miter" endcap="flat"/>
                <v:fill o:detectmouseclick="t" on="false"/>
                <w10:wrap type="none"/>
              </v:line>
            </w:pict>
          </mc:Fallback>
        </mc:AlternateContent>
      </w:r>
      <w:r>
        <w:rPr>
          <w:rFonts w:eastAsia="Arial" w:cs="Arial" w:ascii="Arial" w:hAnsi="Arial"/>
          <w:b/>
        </w:rPr>
        <w:t>Airbus’ General Terms and Conditions of Supply (GTCS)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38100</wp:posOffset>
                </wp:positionH>
                <wp:positionV relativeFrom="paragraph">
                  <wp:posOffset>48260</wp:posOffset>
                </wp:positionV>
                <wp:extent cx="5908040" cy="0"/>
                <wp:effectExtent l="0" t="19050" r="0" b="19050"/>
                <wp:wrapNone/>
                <wp:docPr id="2" name=""/>
                <a:graphic xmlns:a="http://schemas.openxmlformats.org/drawingml/2006/main">
                  <a:graphicData uri="http://schemas.microsoft.com/office/word/2010/wordprocessingShape">
                    <wps:wsp>
                      <wps:cNvSpPr/>
                      <wps:spPr>
                        <a:xfrm>
                          <a:off x="0" y="0"/>
                          <a:ext cx="5907960" cy="0"/>
                        </a:xfrm>
                        <a:prstGeom prst="line">
                          <a:avLst/>
                        </a:prstGeom>
                        <a:ln w="38160">
                          <a:solidFill>
                            <a:srgbClr val="000000"/>
                          </a:solidFill>
                          <a:miter/>
                        </a:ln>
                      </wps:spPr>
                      <wps:style>
                        <a:lnRef idx="0"/>
                        <a:fillRef idx="0"/>
                        <a:effectRef idx="0"/>
                        <a:fontRef idx="minor"/>
                      </wps:style>
                      <wps:bodyPr/>
                    </wps:wsp>
                  </a:graphicData>
                </a:graphic>
              </wp:anchor>
            </w:drawing>
          </mc:Choice>
          <mc:Fallback>
            <w:pict>
              <v:line id="shape_0" from="3pt,3.8pt" to="468.15pt,3.8pt" stroked="t" o:allowincell="f" style="position:absolute">
                <v:stroke color="black" weight="38160" joinstyle="miter" endcap="flat"/>
                <v:fill o:detectmouseclick="t" on="false"/>
                <w10:wrap type="none"/>
              </v:line>
            </w:pict>
          </mc:Fallback>
        </mc:AlternateContent>
      </w:r>
    </w:p>
    <w:p>
      <w:pPr>
        <w:sectPr>
          <w:type w:val="nextPage"/>
          <w:pgSz w:w="11906" w:h="16838"/>
          <w:pgMar w:left="1440" w:right="1126" w:gutter="0" w:header="0" w:top="741" w:footer="0" w:bottom="112"/>
          <w:pgNumType w:fmt="decimal"/>
          <w:formProt w:val="false"/>
          <w:textDirection w:val="lrTb"/>
          <w:docGrid w:type="default" w:linePitch="360" w:charSpace="0"/>
        </w:sectPr>
      </w:pP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b/>
        </w:rPr>
      </w:pPr>
      <w:r>
        <w:rPr>
          <w:rFonts w:eastAsia="Arial" w:cs="Arial" w:ascii="Arial" w:hAnsi="Arial"/>
          <w:b/>
        </w:rPr>
        <w:t>FOR AIRBUS PRODUCTS AND SERVICES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b/>
          <w:sz w:val="16"/>
        </w:rPr>
      </w:pPr>
      <w:r>
        <w:rPr>
          <w:rFonts w:eastAsia="Arial" w:cs="Arial" w:ascii="Arial" w:hAnsi="Arial"/>
          <w:b/>
          <w:sz w:val="16"/>
        </w:rPr>
        <w:t>TABLE OF CONTENTS</w:t>
      </w:r>
    </w:p>
    <w:p>
      <w:pPr>
        <w:pStyle w:val="Normal"/>
        <w:spacing w:lineRule="exact" w:line="1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APPLICABILITY</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ORDERS</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DELIVERY</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PRICES</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PAYMENT TERMS</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QUALITY</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CUSTOMER’S OBLIGATIONS</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WARRANTY</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INDEMNITIES AND LIMITATION OF LIABILITY</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INSURANCE</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INTELLECTUAL PROPERTY RIGHTS OF PRODUCTS AND SERVICES</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SUBCONTRACTING</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TERMINATION AND/OR SUSPENSION</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CONFIDENTIALITY AND PROPRIETARY INFORMATION</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COMPLIANCE WITH ANTIBRIBERY &amp; CORRUPTION /ANTIMONEY LAUNDERING LEGISLATION</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SANCTIONS AND EXPORT CONTROL</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GENERAL DATA PROTECTION REGULATION</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FORCE MAJEURE</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HARDSHIP</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ASSIGNMENT</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SEVERABILITY</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NOTICES</w:t>
      </w:r>
    </w:p>
    <w:p>
      <w:pPr>
        <w:pStyle w:val="Normal"/>
        <w:spacing w:lineRule="exact" w:line="7"/>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NO WAIVER</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GOVERNING LAW AND DISPUTE RESOLUTION</w:t>
      </w:r>
    </w:p>
    <w:p>
      <w:pPr>
        <w:pStyle w:val="Normal"/>
        <w:spacing w:lineRule="exact" w:line="4"/>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820" w:leader="none"/>
        </w:tabs>
        <w:spacing w:lineRule="atLeast" w:line="0"/>
        <w:ind w:hanging="368" w:start="820" w:end="0"/>
        <w:rPr>
          <w:rFonts w:ascii="Arial" w:hAnsi="Arial" w:eastAsia="Arial" w:cs="Arial"/>
          <w:b/>
          <w:sz w:val="14"/>
        </w:rPr>
      </w:pPr>
      <w:r>
        <w:rPr>
          <w:rFonts w:eastAsia="Arial" w:cs="Arial" w:ascii="Arial" w:hAnsi="Arial"/>
          <w:b/>
          <w:sz w:val="14"/>
        </w:rPr>
        <w:t>DEFINITIONS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660" w:leader="none"/>
        </w:tabs>
        <w:spacing w:lineRule="atLeast" w:line="0"/>
        <w:ind w:hanging="568" w:start="660" w:end="0"/>
        <w:rPr>
          <w:rFonts w:ascii="Arial" w:hAnsi="Arial" w:eastAsia="Arial" w:cs="Arial"/>
        </w:rPr>
      </w:pPr>
      <w:r>
        <w:rPr>
          <w:rFonts w:eastAsia="Arial" w:cs="Arial" w:ascii="Arial" w:hAnsi="Arial"/>
          <w:u w:val="single"/>
        </w:rPr>
        <w:t>APPLICABILITY</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jc w:val="both"/>
        <w:rPr>
          <w:rFonts w:ascii="Arial" w:hAnsi="Arial" w:eastAsia="Arial" w:cs="Arial"/>
        </w:rPr>
      </w:pPr>
      <w:r>
        <w:rPr>
          <w:rFonts w:eastAsia="Arial" w:cs="Arial" w:ascii="Arial" w:hAnsi="Arial"/>
        </w:rPr>
        <w:t>1.1. The GTCS define the terms and conditions governing the supply of Products and/or Services by Seller to Customer under any Supply Agreements. To take into account specificities, Parties may discuss and agree deviations to GTCS provisions in a Specific Agreement. Capitalized terms are defined in Section 25 Definitions hereafter.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0" w:end="0"/>
        <w:jc w:val="both"/>
        <w:rPr>
          <w:rFonts w:ascii="Arial" w:hAnsi="Arial" w:eastAsia="Arial" w:cs="Arial"/>
        </w:rPr>
      </w:pPr>
      <w:r>
        <w:rPr>
          <w:rFonts w:eastAsia="Arial" w:cs="Arial" w:ascii="Arial" w:hAnsi="Arial"/>
        </w:rPr>
        <w:t>1.2. Customer agrees that the GTCS may be updated from time to time by Seller who will inform Customer through CSC or any other Airbus platform or catalogue. Updated GTCS shall apply to Supply Agreement in force unless Customer issues a written refusal to the updated GTCS within one (1) month of the updated GTCS date to the following address: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 w:end="0"/>
        <w:rPr>
          <w:rFonts w:ascii="Arial" w:hAnsi="Arial" w:eastAsia="Arial" w:cs="Arial"/>
        </w:rPr>
      </w:pPr>
      <w:r>
        <w:rPr>
          <w:rFonts w:eastAsia="Arial" w:cs="Arial" w:ascii="Arial" w:hAnsi="Arial"/>
        </w:rPr>
        <w:t>Airbus S.A.S.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0" w:end="0"/>
        <w:rPr>
          <w:rFonts w:ascii="Arial" w:hAnsi="Arial" w:eastAsia="Arial" w:cs="Arial"/>
        </w:rPr>
      </w:pPr>
      <w:r>
        <w:rPr>
          <w:rFonts w:eastAsia="Arial" w:cs="Arial" w:ascii="Arial" w:hAnsi="Arial"/>
        </w:rPr>
        <w:t>AirbusWorld Administration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966" w:leader="none"/>
        </w:tabs>
        <w:spacing w:lineRule="auto" w:line="237"/>
        <w:ind w:start="800" w:end="5980"/>
        <w:rPr>
          <w:rFonts w:ascii="Arial" w:hAnsi="Arial" w:eastAsia="Arial" w:cs="Arial"/>
        </w:rPr>
      </w:pPr>
      <w:r>
        <w:rPr>
          <w:rFonts w:eastAsia="Arial" w:cs="Arial" w:ascii="Arial" w:hAnsi="Arial"/>
        </w:rPr>
        <w:t>rond-point Emile Dewoitine 31700 Blagnac CEDEX France</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rFonts w:ascii="Arial" w:hAnsi="Arial" w:eastAsia="Arial" w:cs="Arial"/>
        </w:rPr>
      </w:pPr>
      <w:r>
        <w:rPr>
          <w:rFonts w:eastAsia="Arial" w:cs="Arial" w:ascii="Arial" w:hAnsi="Arial"/>
        </w:rPr>
        <w:t xml:space="preserve">Or </w:t>
      </w:r>
      <w:hyperlink r:id="rId2">
        <w:r>
          <w:rPr>
            <w:rStyle w:val="Hyperlink"/>
            <w:rFonts w:eastAsia="Arial" w:cs="Arial" w:ascii="Arial" w:hAnsi="Arial"/>
          </w:rPr>
          <w:t>airbusworldadmin@airbus.com</w:t>
        </w:r>
      </w:hyperlink>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0" w:end="0"/>
        <w:jc w:val="both"/>
        <w:rPr>
          <w:rFonts w:ascii="Arial" w:hAnsi="Arial" w:eastAsia="Arial" w:cs="Arial"/>
        </w:rPr>
      </w:pPr>
      <w:r>
        <w:rPr>
          <w:rFonts w:eastAsia="Arial" w:cs="Arial" w:ascii="Arial" w:hAnsi="Arial"/>
        </w:rPr>
        <w:t>In such a case, Supply Agreement in force remains governed by the latest GTCS version which was accepted by Customer.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start="100" w:end="0"/>
        <w:jc w:val="both"/>
        <w:rPr>
          <w:rFonts w:ascii="Arial" w:hAnsi="Arial" w:eastAsia="Arial" w:cs="Arial"/>
        </w:rPr>
      </w:pPr>
      <w:r>
        <w:rPr>
          <w:rFonts w:eastAsia="Arial" w:cs="Arial" w:ascii="Arial" w:hAnsi="Arial"/>
        </w:rPr>
        <w:t>1.3. Extension and renewal of Supply Agreements are governed by the GTCS version on-line in the CSC at the date when the extension or renewal was agreed upon the Parties, expressly or tacitly.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jc w:val="both"/>
        <w:rPr/>
      </w:pPr>
      <w:r>
        <w:rPr>
          <w:rFonts w:eastAsia="Arial" w:cs="Arial" w:ascii="Arial" w:hAnsi="Arial"/>
        </w:rPr>
        <w:t>1.4. Customer’s standard terms and conditions of purchase or similar terms and conditions are expressly excluded under the GTCS and are not applicable to the sale of Products and/or Services, notwithstanding any provision to the contrary in such Customer’s standard terms and conditions of purchase or in any conditions which may be contained in a Purchase Order or any other document issued by Customer.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0" w:end="0"/>
        <w:jc w:val="both"/>
        <w:rPr>
          <w:rFonts w:ascii="Arial" w:hAnsi="Arial" w:eastAsia="Arial" w:cs="Arial"/>
        </w:rPr>
      </w:pPr>
      <w:r>
        <w:rPr>
          <w:rFonts w:eastAsia="Arial" w:cs="Arial" w:ascii="Arial" w:hAnsi="Arial"/>
        </w:rPr>
        <w:t>1.5. Customer may purchase Products and/or Services from Seller either i) through a Binding Purchase Order as per the conditions set forth in 2.1 or ii) following the signature of a Specific Agreement by both Parties.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00" w:end="20"/>
        <w:jc w:val="both"/>
        <w:rPr/>
      </w:pPr>
      <w:r>
        <w:rPr>
          <w:rFonts w:eastAsia="Arial" w:cs="Arial" w:ascii="Arial" w:hAnsi="Arial"/>
        </w:rPr>
        <w:t>Each of i) and ii) shall constitute Customer’s unconditional acceptance of the GTCS and the formation of a contract between the Parties. Customer acknowledges it has received all relevant information to enter into the contract.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38100</wp:posOffset>
                </wp:positionH>
                <wp:positionV relativeFrom="paragraph">
                  <wp:posOffset>5715</wp:posOffset>
                </wp:positionV>
                <wp:extent cx="5908040" cy="0"/>
                <wp:effectExtent l="0" t="4445" r="0" b="4445"/>
                <wp:wrapNone/>
                <wp:docPr id="3"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sectPr>
          <w:type w:val="continuous"/>
          <w:pgSz w:w="11906" w:h="16838"/>
          <w:pgMar w:left="1440" w:right="1126" w:gutter="0" w:header="0" w:top="741" w:footer="0" w:bottom="112"/>
          <w:formProt w:val="false"/>
          <w:textDirection w:val="lrTb"/>
          <w:docGrid w:type="default" w:linePitch="360" w:charSpace="0"/>
        </w:sectPr>
      </w:pPr>
    </w:p>
    <w:p>
      <w:pPr>
        <w:pStyle w:val="Normal"/>
        <w:numPr>
          <w:ilvl w:val="0"/>
          <w:numId w:val="4"/>
        </w:numPr>
        <w:tabs>
          <w:tab w:val="clear" w:pos="720"/>
          <w:tab w:val="left" w:pos="660" w:leader="none"/>
        </w:tabs>
        <w:spacing w:lineRule="atLeast" w:line="0"/>
        <w:ind w:hanging="568" w:start="660" w:end="0"/>
        <w:rPr>
          <w:rFonts w:ascii="Arial" w:hAnsi="Arial" w:eastAsia="Arial" w:cs="Arial"/>
        </w:rPr>
      </w:pPr>
      <w:bookmarkStart w:id="1" w:name="page2"/>
      <w:bookmarkEnd w:id="1"/>
      <w:r>
        <w:rPr>
          <w:rFonts w:eastAsia="Arial" w:cs="Arial" w:ascii="Arial" w:hAnsi="Arial"/>
          <w:u w:val="single"/>
        </w:rPr>
        <w:t>ORDERS</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80" w:leader="none"/>
        </w:tabs>
        <w:spacing w:lineRule="atLeast" w:line="0"/>
        <w:ind w:start="800" w:end="0"/>
        <w:rPr/>
      </w:pPr>
      <w:r>
        <w:rPr>
          <w:rFonts w:eastAsia="Arial" w:cs="Arial" w:ascii="Arial" w:hAnsi="Arial"/>
          <w:sz w:val="18"/>
        </w:rPr>
        <w:t>2.1</w:t>
      </w:r>
      <w:r>
        <w:rPr>
          <w:rFonts w:eastAsia="Times New Roman" w:cs="Times New Roman" w:ascii="Times New Roman" w:hAnsi="Times New Roman"/>
        </w:rPr>
        <w:tab/>
      </w:r>
      <w:r>
        <w:rPr>
          <w:rFonts w:eastAsia="Arial" w:cs="Arial" w:ascii="Arial" w:hAnsi="Arial"/>
          <w:u w:val="single"/>
        </w:rPr>
        <w:t>Ordering procedure</w:t>
      </w:r>
    </w:p>
    <w:p>
      <w:pPr>
        <w:pStyle w:val="Normal"/>
        <w:spacing w:lineRule="exact" w:line="3"/>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tabs>
          <w:tab w:val="clear" w:pos="720"/>
          <w:tab w:val="left" w:pos="800" w:leader="none"/>
        </w:tabs>
        <w:spacing w:lineRule="atLeast" w:line="0"/>
        <w:ind w:start="80" w:end="0"/>
        <w:rPr/>
      </w:pPr>
      <w:r>
        <w:rPr>
          <w:rFonts w:eastAsia="Arial" w:cs="Arial" w:ascii="Arial" w:hAnsi="Arial"/>
        </w:rPr>
        <w:t>2.1.1</w:t>
      </w:r>
      <w:r>
        <w:rPr>
          <w:rFonts w:eastAsia="Times New Roman" w:cs="Times New Roman" w:ascii="Times New Roman" w:hAnsi="Times New Roman"/>
        </w:rPr>
        <w:tab/>
      </w:r>
      <w:r>
        <w:rPr>
          <w:rFonts w:eastAsia="Arial" w:cs="Arial" w:ascii="Arial" w:hAnsi="Arial"/>
          <w:sz w:val="19"/>
          <w:u w:val="single"/>
        </w:rPr>
        <w:t>Purchase Order issuance by Customer</w:t>
      </w:r>
    </w:p>
    <w:p>
      <w:pPr>
        <w:pStyle w:val="Normal"/>
        <w:spacing w:lineRule="exact" w:line="1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tLeast" w:line="0"/>
        <w:ind w:start="100" w:end="0"/>
        <w:jc w:val="both"/>
        <w:rPr/>
      </w:pPr>
      <w:r>
        <w:rPr>
          <w:rFonts w:eastAsia="Arial" w:cs="Arial" w:ascii="Arial" w:hAnsi="Arial"/>
        </w:rPr>
        <w:t>2.1.1.1. Purchase Orders referring to Commercial Offer or to the CSC shall be placed by any authorized representatives of Customer, in writing to Seller, either by email to the address provided in the Supply Agreement or by simple mail to the address as may be specified in the CSC, or electronically through Seller’s web based sales portal or application, as applicable.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
                <wp:simplePos x="0" y="0"/>
                <wp:positionH relativeFrom="column">
                  <wp:posOffset>721995</wp:posOffset>
                </wp:positionH>
                <wp:positionV relativeFrom="paragraph">
                  <wp:posOffset>-154305</wp:posOffset>
                </wp:positionV>
                <wp:extent cx="44450" cy="13970"/>
                <wp:effectExtent l="5080" t="5080" r="5080" b="5080"/>
                <wp:wrapNone/>
                <wp:docPr id="4" name=""/>
                <a:graphic xmlns:a="http://schemas.openxmlformats.org/drawingml/2006/main">
                  <a:graphicData uri="http://schemas.microsoft.com/office/word/2010/wordprocessingShape">
                    <wps:wsp>
                      <wps:cNvSpPr/>
                      <wps:spPr>
                        <a:xfrm>
                          <a:off x="0" y="0"/>
                          <a:ext cx="44280" cy="140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85pt;margin-top:-12.15pt;width:3.45pt;height:1.0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3258820</wp:posOffset>
                </wp:positionH>
                <wp:positionV relativeFrom="paragraph">
                  <wp:posOffset>-154305</wp:posOffset>
                </wp:positionV>
                <wp:extent cx="44450" cy="13970"/>
                <wp:effectExtent l="5080" t="5080" r="5080" b="5080"/>
                <wp:wrapNone/>
                <wp:docPr id="5" name=""/>
                <a:graphic xmlns:a="http://schemas.openxmlformats.org/drawingml/2006/main">
                  <a:graphicData uri="http://schemas.microsoft.com/office/word/2010/wordprocessingShape">
                    <wps:wsp>
                      <wps:cNvSpPr/>
                      <wps:spPr>
                        <a:xfrm>
                          <a:off x="0" y="0"/>
                          <a:ext cx="44280" cy="140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2.15pt;width:3.45pt;height:1.05pt;mso-wrap-style:none;v-text-anchor:middle">
                <v:fill o:detectmouseclick="t" type="solid" color2="white"/>
                <v:stroke color="white" weight="9360" joinstyle="miter" endcap="flat"/>
                <w10:wrap type="none"/>
              </v:rect>
            </w:pict>
          </mc:Fallback>
        </mc:AlternateConten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both"/>
        <w:rPr/>
      </w:pPr>
      <w:r>
        <w:rPr>
          <w:rFonts w:eastAsia="Arial" w:cs="Arial" w:ascii="Arial" w:hAnsi="Arial"/>
        </w:rPr>
        <w:t>2.1.1.2. In the event Purchase Orders are not required following the signature between the Parties of a Specific Agreement, the order will be deemed placed at the time of entry into force of such Specific Agreement. However, Purchase Orders referring to a Specific Agreement might be placed for administrative purpose, upon either Party’s request, without contractual effect except otherwise agreed in the Specific Agreement.</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0" w:end="20"/>
        <w:jc w:val="both"/>
        <w:rPr>
          <w:rFonts w:ascii="Arial" w:hAnsi="Arial" w:eastAsia="Arial" w:cs="Arial"/>
        </w:rPr>
      </w:pPr>
      <w:r>
        <w:rPr>
          <w:rFonts w:eastAsia="Arial" w:cs="Arial" w:ascii="Arial" w:hAnsi="Arial"/>
        </w:rPr>
        <w:t>2.1.1.3. For the purchase of spare parts, Purchase Orders shall be placed in accordance with the relevant ATA specifications and will be administered in accordance with ATA specifications in force as of the date of performance of said Purchase Orders. Seller may convert all Purchase Orders for spare parts to the concept of single item orders in accordance with ATA SPEC 2000 Chapter 3.</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00" w:leader="none"/>
        </w:tabs>
        <w:spacing w:lineRule="atLeast" w:line="0"/>
        <w:ind w:start="80" w:end="0"/>
        <w:rPr/>
      </w:pPr>
      <w:r>
        <w:rPr>
          <w:rFonts w:eastAsia="Arial" w:cs="Arial" w:ascii="Arial" w:hAnsi="Arial"/>
        </w:rPr>
        <w:t>2.1.2</w:t>
      </w:r>
      <w:r>
        <w:rPr>
          <w:rFonts w:eastAsia="Times New Roman" w:cs="Times New Roman" w:ascii="Times New Roman" w:hAnsi="Times New Roman"/>
        </w:rPr>
        <w:tab/>
      </w:r>
      <w:r>
        <w:rPr>
          <w:rFonts w:eastAsia="Arial" w:cs="Arial" w:ascii="Arial" w:hAnsi="Arial"/>
          <w:sz w:val="19"/>
          <w:u w:val="single"/>
        </w:rPr>
        <w:t>Order acceptance</w:t>
      </w:r>
    </w:p>
    <w:p>
      <w:pPr>
        <w:pStyle w:val="Normal"/>
        <w:spacing w:lineRule="exact" w:line="1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uto" w:line="235"/>
        <w:ind w:hanging="1" w:start="100" w:end="0"/>
        <w:jc w:val="both"/>
        <w:rPr/>
      </w:pPr>
      <w:r>
        <w:rPr>
          <w:rFonts w:eastAsia="Arial" w:cs="Arial" w:ascii="Arial" w:hAnsi="Arial"/>
        </w:rPr>
        <w:t>Upon</w:t>
      </w:r>
      <w:r>
        <w:rPr>
          <w:rFonts w:eastAsia="Times New Roman" w:cs="Times New Roman" w:ascii="Times New Roman" w:hAnsi="Times New Roman"/>
        </w:rPr>
        <w:t xml:space="preserve"> </w:t>
      </w:r>
      <w:r>
        <w:rPr>
          <w:rFonts w:eastAsia="Arial" w:cs="Arial" w:ascii="Arial" w:hAnsi="Arial"/>
        </w:rPr>
        <w:t>receipt of a Purchase Order, Seller may send an acknowledgement of receipt. Such acknowledgement of receipt does not constitute a Binding Purchase Order.</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20"/>
        <w:jc w:val="both"/>
        <w:rPr>
          <w:rFonts w:ascii="Arial" w:hAnsi="Arial" w:eastAsia="Arial" w:cs="Arial"/>
        </w:rPr>
      </w:pPr>
      <w:r>
        <w:rPr>
          <w:rFonts w:eastAsia="Arial" w:cs="Arial" w:ascii="Arial" w:hAnsi="Arial"/>
        </w:rPr>
        <w:t>Then, Seller may accept or reject the Purchase Order at its absolute discretion and for any reason without any liability whatsoever.</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In case of acceptance of the Purchase Order by Seller through an Acceptance Letter, the Purchase Order shall become a Binding Purchase Order, meaning that Customer shall be under obligation to buy and Seller shall be under obligation to sell the Products and/or Services listed in the Purchase Order.</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1" w:start="100" w:end="0"/>
        <w:jc w:val="both"/>
        <w:rPr/>
      </w:pPr>
      <w:r>
        <w:rPr>
          <w:rFonts w:eastAsia="Arial" w:cs="Arial" w:ascii="Arial" w:hAnsi="Arial"/>
          <w:sz w:val="19"/>
        </w:rPr>
        <w:t>Acceptance Letter may be sent to Customer by simple mail to the address specified in the Purchase Order, by e-mail to the e-mail address specified in the Purchase Order, or electronically through Seller’s web based sales portal or application, as applicable. For Products and/or Services subject to yearly subscription, Binding Purchase Order remains in force until either Party notifies the other Party of its decision to terminate such Binding Purchase Order in writing by October 31st of the then current calendar year at the latest, for a termination effective as from the 31st of December of the current calendar year.</w:t>
      </w:r>
    </w:p>
    <w:p>
      <w:pPr>
        <w:pStyle w:val="Normal"/>
        <w:spacing w:lineRule="exact" w:line="224"/>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680" w:leader="none"/>
        </w:tabs>
        <w:spacing w:lineRule="atLeast" w:line="0"/>
        <w:ind w:start="800" w:end="0"/>
        <w:rPr/>
      </w:pPr>
      <w:r>
        <w:rPr>
          <w:rFonts w:eastAsia="Arial" w:cs="Arial" w:ascii="Arial" w:hAnsi="Arial"/>
          <w:sz w:val="18"/>
        </w:rPr>
        <w:t>2.2</w:t>
      </w:r>
      <w:r>
        <w:rPr>
          <w:rFonts w:eastAsia="Times New Roman" w:cs="Times New Roman" w:ascii="Times New Roman" w:hAnsi="Times New Roman"/>
        </w:rPr>
        <w:tab/>
      </w:r>
      <w:r>
        <w:rPr>
          <w:rFonts w:eastAsia="Arial" w:cs="Arial" w:ascii="Arial" w:hAnsi="Arial"/>
          <w:u w:val="single"/>
        </w:rPr>
        <w:t>Products and/or Services modification initiated by Seller</w:t>
      </w:r>
    </w:p>
    <w:p>
      <w:pPr>
        <w:pStyle w:val="Normal"/>
        <w:spacing w:lineRule="exact" w:line="15"/>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uto" w:line="240"/>
        <w:ind w:start="80" w:end="0"/>
        <w:jc w:val="both"/>
        <w:rPr/>
      </w:pPr>
      <w:r>
        <w:rPr>
          <w:rFonts w:eastAsia="Arial" w:cs="Arial" w:ascii="Arial" w:hAnsi="Arial"/>
        </w:rPr>
        <w:t>Save for Updates, any change to the Products and/or Services induced by Seller in consideration of a Supply Agreement shall be notified for approval to Customer and shall become binding between both Parties if no reasonable written objection is raised by Customer within thirty (30) days or any shorter period of time as notified by Seller from the date of such notification, at the address specified in such notification. If Customer issues a written objection within the relevant period, Parties shall negotiate in good faith in view of reaching a mutual agreement. If an agreement is not reached within thirty (30) days of the date of receipt by Seller of Customer’s written objection, Seller shall be entitled to either terminate the Supply Agreement by sending written notice to Customer or to deliver the Products and/or Services as per their specifications referred to in Supply Agreement, upon a delivery schedule to be further agreed upon by the Parties.</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80" w:leader="none"/>
        </w:tabs>
        <w:spacing w:lineRule="atLeast" w:line="0"/>
        <w:ind w:start="800" w:end="0"/>
        <w:rPr/>
      </w:pPr>
      <w:r>
        <w:rPr>
          <w:rFonts w:eastAsia="Arial" w:cs="Arial" w:ascii="Arial" w:hAnsi="Arial"/>
          <w:sz w:val="18"/>
        </w:rPr>
        <w:t>2.3</w:t>
      </w:r>
      <w:r>
        <w:rPr>
          <w:rFonts w:eastAsia="Times New Roman" w:cs="Times New Roman" w:ascii="Times New Roman" w:hAnsi="Times New Roman"/>
        </w:rPr>
        <w:tab/>
      </w:r>
      <w:r>
        <w:rPr>
          <w:rFonts w:eastAsia="Arial" w:cs="Arial" w:ascii="Arial" w:hAnsi="Arial"/>
          <w:sz w:val="19"/>
          <w:u w:val="single"/>
        </w:rPr>
        <w:t>Supply Agreement modification initiated by Customer</w:t>
      </w:r>
    </w:p>
    <w:p>
      <w:pPr>
        <w:pStyle w:val="Normal"/>
        <w:spacing w:lineRule="exact" w:line="14"/>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tLeast" w:line="0"/>
        <w:ind w:hanging="1" w:start="100" w:end="0"/>
        <w:jc w:val="both"/>
        <w:rPr>
          <w:rFonts w:ascii="Arial" w:hAnsi="Arial" w:eastAsia="Arial" w:cs="Arial"/>
        </w:rPr>
      </w:pPr>
      <w:r>
        <w:rPr>
          <w:rFonts w:eastAsia="Arial" w:cs="Arial" w:ascii="Arial" w:hAnsi="Arial"/>
        </w:rPr>
        <w:t>Customer may request Seller to modify of a Supply Agreement by sending prior written request to Seller. Seller is under no obligation to accept such request and Supply Agreement shall remain in full force and effect, unless the Parties (i) execute a formal modification by written amendment to Supply Agreement and (ii) Customer pays to Seller the modification fees invoiced by Seller aiming at indemnifying Seller for the consequences of such modification, if any.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DELIVERY</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rPr>
        <w:t xml:space="preserve">3.1. </w:t>
      </w:r>
      <w:r>
        <w:rPr>
          <w:rFonts w:eastAsia="Arial" w:cs="Arial" w:ascii="Arial" w:hAnsi="Arial"/>
          <w:u w:val="single"/>
        </w:rPr>
        <w:t>General conditions of delivery</w:t>
      </w:r>
    </w:p>
    <w:p>
      <w:pPr>
        <w:pStyle w:val="Normal"/>
        <w:spacing w:lineRule="exact" w:line="3"/>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tLeast" w:line="0"/>
        <w:ind w:start="80" w:end="0"/>
        <w:rPr>
          <w:rFonts w:ascii="Arial" w:hAnsi="Arial" w:eastAsia="Arial" w:cs="Arial"/>
        </w:rPr>
      </w:pPr>
      <w:r>
        <w:rPr>
          <w:rFonts w:eastAsia="Arial" w:cs="Arial" w:ascii="Arial" w:hAnsi="Arial"/>
        </w:rPr>
        <w:t>The delivery of Products and the provision of Services by Seller shall be subject to:</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80" w:leader="none"/>
        </w:tabs>
        <w:spacing w:lineRule="atLeast" w:line="0"/>
        <w:ind w:hanging="291" w:start="380" w:end="0"/>
        <w:rPr>
          <w:rFonts w:ascii="Arial" w:hAnsi="Arial" w:eastAsia="Arial" w:cs="Arial"/>
        </w:rPr>
      </w:pPr>
      <w:r>
        <w:rPr>
          <w:rFonts w:eastAsia="Arial" w:cs="Arial" w:ascii="Arial" w:hAnsi="Arial"/>
        </w:rPr>
        <w:t>a Supply Agreement being in force,</w:t>
      </w:r>
    </w:p>
    <w:p>
      <w:pPr>
        <w:pStyle w:val="Normal"/>
        <w:spacing w:lineRule="exact" w:line="2"/>
        <w:rPr>
          <w:rFonts w:ascii="Arial" w:hAnsi="Arial" w:eastAsia="Arial" w:cs="Arial"/>
        </w:rPr>
      </w:pPr>
      <w:r>
        <w:rPr>
          <w:rFonts w:eastAsia="Arial" w:cs="Arial" w:ascii="Arial" w:hAnsi="Arial"/>
        </w:rPr>
      </w:r>
    </w:p>
    <w:p>
      <w:pPr>
        <w:pStyle w:val="Normal"/>
        <w:numPr>
          <w:ilvl w:val="0"/>
          <w:numId w:val="6"/>
        </w:numPr>
        <w:tabs>
          <w:tab w:val="clear" w:pos="720"/>
          <w:tab w:val="left" w:pos="360" w:leader="none"/>
        </w:tabs>
        <w:spacing w:lineRule="atLeast" w:line="0"/>
        <w:ind w:hanging="271" w:start="360" w:end="0"/>
        <w:rPr>
          <w:rFonts w:ascii="Arial" w:hAnsi="Arial" w:eastAsia="Arial" w:cs="Arial"/>
        </w:rPr>
      </w:pPr>
      <w:r>
        <w:rPr>
          <w:rFonts w:eastAsia="Arial" w:cs="Arial" w:ascii="Arial" w:hAnsi="Arial"/>
        </w:rPr>
        <w:t>the fulfilment of Pre-requisites or delivery conditions, if any, and</w:t>
      </w:r>
    </w:p>
    <w:p>
      <w:pPr>
        <w:pStyle w:val="Normal"/>
        <w:spacing w:lineRule="exact" w:line="2"/>
        <w:rPr>
          <w:rFonts w:ascii="Arial" w:hAnsi="Arial" w:eastAsia="Arial" w:cs="Arial"/>
        </w:rPr>
      </w:pPr>
      <w:r>
        <w:rPr>
          <w:rFonts w:eastAsia="Arial" w:cs="Arial" w:ascii="Arial" w:hAnsi="Arial"/>
        </w:rPr>
      </w:r>
    </w:p>
    <w:p>
      <w:pPr>
        <w:pStyle w:val="Normal"/>
        <w:numPr>
          <w:ilvl w:val="0"/>
          <w:numId w:val="6"/>
        </w:numPr>
        <w:tabs>
          <w:tab w:val="clear" w:pos="720"/>
          <w:tab w:val="left" w:pos="400" w:leader="none"/>
        </w:tabs>
        <w:spacing w:lineRule="atLeast" w:line="0"/>
        <w:ind w:hanging="311" w:start="400" w:end="0"/>
        <w:rPr>
          <w:rFonts w:ascii="Arial" w:hAnsi="Arial" w:eastAsia="Arial" w:cs="Arial"/>
        </w:rPr>
      </w:pPr>
      <w:r>
        <w:rPr>
          <w:rFonts w:eastAsia="Arial" w:cs="Arial" w:ascii="Arial" w:hAnsi="Arial"/>
        </w:rPr>
        <w:t>the fulfilment of payment obligations as per Supply Agreement and as set forth in these GTCS.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2</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0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7">
                <wp:simplePos x="0" y="0"/>
                <wp:positionH relativeFrom="column">
                  <wp:posOffset>38100</wp:posOffset>
                </wp:positionH>
                <wp:positionV relativeFrom="paragraph">
                  <wp:posOffset>5715</wp:posOffset>
                </wp:positionV>
                <wp:extent cx="5908040" cy="0"/>
                <wp:effectExtent l="0" t="4445" r="0" b="4445"/>
                <wp:wrapNone/>
                <wp:docPr id="6"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tLeast" w:line="0"/>
        <w:ind w:hanging="1" w:start="100" w:end="0"/>
        <w:jc w:val="both"/>
        <w:rPr>
          <w:rFonts w:ascii="Arial" w:hAnsi="Arial" w:eastAsia="Arial" w:cs="Arial"/>
        </w:rPr>
      </w:pPr>
      <w:bookmarkStart w:id="2" w:name="page3"/>
      <w:bookmarkEnd w:id="2"/>
      <w:r>
        <w:rPr>
          <w:rFonts w:eastAsia="Arial" w:cs="Arial" w:ascii="Arial" w:hAnsi="Arial"/>
        </w:rPr>
        <w:t>Seller will use commercially reasonable efforts to comply with the delivery schedule agreed with Customer. HOWEVER, DELIVERY DATES ARE ESTIMATED AND TO THE EXTENT PERMISSIBLE BY LAW SELLER SHALL NOT BE LIABLE FOR ANY LOSS OF PROFITS, LOSS OF USE, INCIDENTAL OR CONSEQUENTIAL DAMAGES, WHICH MAY RESULT DIRECTLY OR INDIRECTLY FROM ANY DELAY IN THE DELIVERY OF PRODUCTS AND/OR SERVICES.</w:t>
      </w:r>
    </w:p>
    <w:p>
      <w:pPr>
        <w:pStyle w:val="Normal"/>
        <w:spacing w:lineRule="exact" w:line="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Seller shall be entitled to make partial deliveries and/or partial performance. When payment for a partial delivery and/or partial performance is outstanding, Seller shall be entitled to suspend the further execution of the Supply Agreement and to require payment in advance prior to providing the remaining (partial) deliveries and/or performance.</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In the event Customer is late in providing or is not compliant with any of the Pre-requisites or delivery conditions, Seller shall have the right to postpone the Delivery Dates by at least the same duration until fulfilment by Customer of such Pre-requisites or delivery conditions, unless otherwise notified by Seller to Customer.</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rPr>
        <w:t xml:space="preserve">3.2. </w:t>
      </w:r>
      <w:r>
        <w:rPr>
          <w:rFonts w:eastAsia="Arial" w:cs="Arial" w:ascii="Arial" w:hAnsi="Arial"/>
          <w:u w:val="single"/>
        </w:rPr>
        <w:t>Products Delivery</w:t>
      </w:r>
    </w:p>
    <w:p>
      <w:pPr>
        <w:pStyle w:val="Normal"/>
        <w:spacing w:lineRule="exact" w:line="3"/>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tabs>
          <w:tab w:val="clear" w:pos="720"/>
          <w:tab w:val="left" w:pos="840" w:leader="none"/>
        </w:tabs>
        <w:spacing w:lineRule="atLeast" w:line="0"/>
        <w:ind w:start="80" w:end="0"/>
        <w:rPr/>
      </w:pPr>
      <w:r>
        <w:rPr>
          <w:rFonts w:eastAsia="Arial" w:cs="Arial" w:ascii="Arial" w:hAnsi="Arial"/>
        </w:rPr>
        <w:t>3.2.1</w:t>
      </w:r>
      <w:r>
        <w:rPr>
          <w:rFonts w:eastAsia="Times New Roman" w:cs="Times New Roman" w:ascii="Times New Roman" w:hAnsi="Times New Roman"/>
        </w:rPr>
        <w:tab/>
      </w:r>
      <w:r>
        <w:rPr>
          <w:rFonts w:eastAsia="Arial" w:cs="Arial" w:ascii="Arial" w:hAnsi="Arial"/>
        </w:rPr>
        <w:t>Incoterms, title and risk of loss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Products are delivered in accordance with the Incoterm FCA – at place specified by Seller, as this term is defined in the Incoterms 2020 publication issued by the International Chamber of Commerce. Custody and risks for the Products shall pass on Customer on Delivery Date and Customer shall be under the obligation to keep these Products properly insured until full payment of corresponding price to Seller. Upon Seller’s request, Buyer shall provide an insurance certificate.</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20"/>
        <w:jc w:val="both"/>
        <w:rPr>
          <w:rFonts w:ascii="Arial" w:hAnsi="Arial" w:eastAsia="Arial" w:cs="Arial"/>
        </w:rPr>
      </w:pPr>
      <w:r>
        <w:rPr>
          <w:rFonts w:eastAsia="Arial" w:cs="Arial" w:ascii="Arial" w:hAnsi="Arial"/>
        </w:rPr>
        <w:t>Incoterm provisions related to transfer of ownership do not apply, as ownership of Products shall pass on Customer upon receipt by Seller of full payment of such Product.</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pPr>
      <w:r>
        <w:rPr>
          <w:rFonts w:eastAsia="Arial" w:cs="Arial" w:ascii="Arial" w:hAnsi="Arial"/>
        </w:rPr>
        <w:t>Sales of Technical Data are delivered in accordance with the Incoterm DAP – at place specified by Customer as this term is defined in the Incoterms 2020 publication issued by the International Chamber of Commerce and/or through CSC.</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40" w:leader="none"/>
        </w:tabs>
        <w:spacing w:lineRule="atLeast" w:line="0"/>
        <w:ind w:start="80" w:end="0"/>
        <w:rPr/>
      </w:pPr>
      <w:r>
        <w:rPr>
          <w:rFonts w:eastAsia="Arial" w:cs="Arial" w:ascii="Arial" w:hAnsi="Arial"/>
        </w:rPr>
        <w:t>3.2.2</w:t>
      </w:r>
      <w:r>
        <w:rPr>
          <w:rFonts w:eastAsia="Times New Roman" w:cs="Times New Roman" w:ascii="Times New Roman" w:hAnsi="Times New Roman"/>
        </w:rPr>
        <w:tab/>
      </w:r>
      <w:r>
        <w:rPr>
          <w:rFonts w:eastAsia="Arial" w:cs="Arial" w:ascii="Arial" w:hAnsi="Arial"/>
        </w:rPr>
        <w:t>Packing and shipment of spare parts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20"/>
        <w:jc w:val="both"/>
        <w:rPr>
          <w:rFonts w:ascii="Arial" w:hAnsi="Arial" w:eastAsia="Arial" w:cs="Arial"/>
        </w:rPr>
      </w:pPr>
      <w:r>
        <w:rPr>
          <w:rFonts w:eastAsia="Arial" w:cs="Arial" w:ascii="Arial" w:hAnsi="Arial"/>
        </w:rPr>
        <w:t>In the event of a mandatory regulation applying to Seller, the Products will be packed in accordance with the relevant specifications including, in particular, A4A specification 300.</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rFonts w:ascii="Arial" w:hAnsi="Arial" w:eastAsia="Arial" w:cs="Arial"/>
        </w:rPr>
      </w:pPr>
      <w:r>
        <w:rPr>
          <w:rFonts w:eastAsia="Arial" w:cs="Arial" w:ascii="Arial" w:hAnsi="Arial"/>
        </w:rPr>
        <w:t xml:space="preserve">EXPEDITE service is proposed by Seller to Customer, to expedite spare parts twenty-four (24) hours a day all year, when Customer qualifies relevant orders as A.O.G (aircraft on ground), CRITICAL (imminent A.O.G or workstoppage) or EXPEDITE (less than published or quoted lead time), pursuant to and in the circumstances described in the "World Airline Suppliers' Guide", in the version published as of the date of the Binding Purchase Order by Airlines for America (A4A). Seller reserves the right to apply additional fees on Binding Purchase Orders qualified by Customer as A.O.G., in accordance with the priority order policy described in the Airbus Spares Portal accessible to all Customers at </w:t>
      </w:r>
      <w:hyperlink r:id="rId3">
        <w:r>
          <w:rPr>
            <w:rStyle w:val="Hyperlink"/>
            <w:rFonts w:eastAsia="Arial" w:cs="Arial" w:ascii="Arial" w:hAnsi="Arial"/>
            <w:u w:val="single"/>
          </w:rPr>
          <w:t>https://spares.airbus.com/portal/documents/priority-orders-policy-2019.cms.port</w:t>
        </w:r>
        <w:r>
          <w:rPr>
            <w:rStyle w:val="Hyperlink"/>
            <w:rFonts w:eastAsia="Arial" w:cs="Arial" w:ascii="Arial" w:hAnsi="Arial"/>
          </w:rPr>
          <w:t>.</w:t>
        </w:r>
      </w:hyperlink>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rPr>
      </w:pPr>
      <w:r>
        <w:rPr>
          <w:rFonts w:eastAsia="Arial" w:cs="Arial" w:ascii="Arial" w:hAnsi="Arial"/>
        </w:rPr>
        <w:t>3.2.3 Obligation for Customer to take delivery of Products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Customer shall notify Seller of its nominated forwarder at least one (1) month prior the estimated delivery period.</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hanging="1" w:start="100" w:end="0"/>
        <w:jc w:val="both"/>
        <w:rPr>
          <w:rFonts w:ascii="Arial" w:hAnsi="Arial" w:eastAsia="Arial" w:cs="Arial"/>
          <w:sz w:val="19"/>
        </w:rPr>
      </w:pPr>
      <w:r>
        <w:rPr>
          <w:rFonts w:eastAsia="Arial" w:cs="Arial" w:ascii="Arial" w:hAnsi="Arial"/>
          <w:sz w:val="19"/>
        </w:rPr>
        <w:t>If Customer or its forwarder fails to take delivery of the Products and/or Services handed over for delivery by Seller on the Delivery Date, payment for the Products and/or Services shall nevertheless be made by Customer as if the Products or Service in question had in fact been delivered to Customer. Customer is liable for and shall reimburse Seller for all costs and expenses Seller may incur by reason of such failure, including but not limited to costs for storage of the Products which shall be invoiced separately.</w:t>
      </w:r>
    </w:p>
    <w:p>
      <w:pPr>
        <w:pStyle w:val="Normal"/>
        <w:spacing w:lineRule="exact" w:line="2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40" w:end="0"/>
        <w:rPr/>
      </w:pPr>
      <w:r>
        <w:rPr>
          <w:rFonts w:eastAsia="Arial" w:cs="Arial" w:ascii="Arial" w:hAnsi="Arial"/>
        </w:rPr>
        <w:t xml:space="preserve">3.3. </w:t>
      </w:r>
      <w:r>
        <w:rPr>
          <w:rFonts w:eastAsia="Arial" w:cs="Arial" w:ascii="Arial" w:hAnsi="Arial"/>
          <w:u w:val="single"/>
        </w:rPr>
        <w:t>Services delivery</w:t>
      </w:r>
    </w:p>
    <w:p>
      <w:pPr>
        <w:pStyle w:val="Normal"/>
        <w:spacing w:lineRule="exact" w:line="13"/>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uto" w:line="235"/>
        <w:ind w:hanging="1" w:start="100" w:end="0"/>
        <w:jc w:val="both"/>
        <w:rPr/>
      </w:pPr>
      <w:r>
        <w:rPr>
          <w:rFonts w:eastAsia="Arial" w:cs="Arial" w:ascii="Arial" w:hAnsi="Arial"/>
        </w:rPr>
        <w:t>Services Delivery Date shall be the date of issuance of Seller’s electronic notice of availability of the Service sent to Customer, unless otherwise set forth in the Supply Agreement.</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rPr>
        <w:t xml:space="preserve">3.4. </w:t>
      </w:r>
      <w:r>
        <w:rPr>
          <w:rFonts w:eastAsia="Arial" w:cs="Arial" w:ascii="Arial" w:hAnsi="Arial"/>
          <w:u w:val="single"/>
        </w:rPr>
        <w:t>Acceptance of Products and/or Services</w:t>
      </w:r>
    </w:p>
    <w:p>
      <w:pPr>
        <w:pStyle w:val="Normal"/>
        <w:spacing w:lineRule="exact" w:line="8"/>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uto" w:line="235"/>
        <w:ind w:start="100" w:end="0"/>
        <w:jc w:val="both"/>
        <w:rPr>
          <w:rFonts w:ascii="Arial" w:hAnsi="Arial" w:eastAsia="Arial" w:cs="Arial"/>
        </w:rPr>
      </w:pPr>
      <w:r>
        <w:rPr>
          <w:rFonts w:eastAsia="Arial" w:cs="Arial" w:ascii="Arial" w:hAnsi="Arial"/>
        </w:rPr>
        <w:t>Claims against Seller for shortages or defects of Products and/or Services must be reported immediately upon discovery and received by Seller in written form and in any event no later than thirty (30) days after Delivery Date. After this period and even in the absence of a formal acceptance document, the Products and/or Services shall be deemed definitively accepted by Customer and compliant with the specifications of the Supply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3</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8">
                <wp:simplePos x="0" y="0"/>
                <wp:positionH relativeFrom="column">
                  <wp:posOffset>38100</wp:posOffset>
                </wp:positionH>
                <wp:positionV relativeFrom="paragraph">
                  <wp:posOffset>5715</wp:posOffset>
                </wp:positionV>
                <wp:extent cx="5908040" cy="0"/>
                <wp:effectExtent l="0" t="4445" r="0" b="4445"/>
                <wp:wrapNone/>
                <wp:docPr id="7"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numPr>
          <w:ilvl w:val="0"/>
          <w:numId w:val="7"/>
        </w:numPr>
        <w:tabs>
          <w:tab w:val="clear" w:pos="720"/>
          <w:tab w:val="left" w:pos="820" w:leader="none"/>
        </w:tabs>
        <w:spacing w:lineRule="atLeast" w:line="0"/>
        <w:ind w:hanging="731" w:start="820" w:end="0"/>
        <w:rPr>
          <w:rFonts w:ascii="Arial" w:hAnsi="Arial" w:eastAsia="Arial" w:cs="Arial"/>
        </w:rPr>
      </w:pPr>
      <w:bookmarkStart w:id="3" w:name="page4"/>
      <w:bookmarkEnd w:id="3"/>
      <w:r>
        <w:rPr>
          <w:rFonts w:eastAsia="Arial" w:cs="Arial" w:ascii="Arial" w:hAnsi="Arial"/>
          <w:u w:val="single"/>
        </w:rPr>
        <w:t>PRICES</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pPr>
      <w:r>
        <w:rPr>
          <w:rFonts w:eastAsia="Arial" w:cs="Arial" w:ascii="Arial" w:hAnsi="Arial"/>
        </w:rPr>
        <w:t>Prices for Products and/or Services shall be determined as per Supply Agreement which may refer to relevant Seller’s catalogue.</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All prices are net and FCA or DAP, as applicable pursuant to Clause 3 above. All prices are exclusive of any taxes or duties that may be levied in connection with the performance of any Supply Agreement, which shall be borne by Customer, if any.</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20"/>
        <w:jc w:val="both"/>
        <w:rPr>
          <w:rFonts w:ascii="Arial" w:hAnsi="Arial" w:eastAsia="Arial" w:cs="Arial"/>
        </w:rPr>
      </w:pPr>
      <w:r>
        <w:rPr>
          <w:rFonts w:eastAsia="Arial" w:cs="Arial" w:ascii="Arial" w:hAnsi="Arial"/>
        </w:rPr>
        <w:t>Except in case of error or omission by Seller in the price preparation or in case of a material adverse evolution of any manufacturing costs, prices will remain firm during the applicable calendar year.</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Unless otherwise stated in the Commercial Offer, any quotation issued by Seller constitutes a firm and valid offer for ninety (90) days from the date of the quotation for Commercial Offer, except those issued within the last ninety (90) days of a calendar year, which are valid until the end of such calendar year.</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Seller shall invoice for Products and/or Services at the price and under the conditions indicated in Supply Agreement.</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1" w:start="100" w:end="200"/>
        <w:rPr>
          <w:rFonts w:ascii="Arial" w:hAnsi="Arial" w:eastAsia="Arial" w:cs="Arial"/>
        </w:rPr>
      </w:pPr>
      <w:r>
        <w:rPr>
          <w:rFonts w:eastAsia="Arial" w:cs="Arial" w:ascii="Arial" w:hAnsi="Arial"/>
        </w:rPr>
        <w:t>Customer shall notify Seller within fifteen (15) days from date of invoice if Customer disputes all or part of the invoice in question.</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Products and/or Services subject to successive deliveries over more than twelve (12) months shall be invoiced taking into account the revision formula provided in the Supply Agreement or as per the conditions of the CSC. Such revision shall apply to the price to be paid in consideration of the Products and/or Services to be delivered during the relevant year, regardless of any down-payment which may have been requested in accordance with Clause 5 of the GTCS.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PAYMENT TERMS</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00" w:end="0"/>
        <w:jc w:val="both"/>
        <w:rPr>
          <w:rFonts w:ascii="Arial" w:hAnsi="Arial" w:eastAsia="Arial" w:cs="Arial"/>
        </w:rPr>
      </w:pPr>
      <w:r>
        <w:rPr>
          <w:rFonts w:eastAsia="Arial" w:cs="Arial" w:ascii="Arial" w:hAnsi="Arial"/>
        </w:rPr>
        <w:t>5.1. For any Supply Agreement, Seller reserves the right to request a non-refundable down-payment of the price of the Products and/or Services as indicated in the Supply Agreement. Such down-payment shall be paid by Customer within four (4) Business Days upon receipt of the corresponding down-payment request from Seller. Once received, the down-payment shall be deducted from the total price for such Products and/or Services. If the Products and/or Services ordered are subject to successive deliveries and invoices, a part of the down-payment, proportional to the number of invoices to be issued, shall be deducted from each successive invoice unless otherwise notified by Seller.</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0" w:end="0"/>
        <w:jc w:val="both"/>
        <w:rPr>
          <w:rFonts w:ascii="Arial" w:hAnsi="Arial" w:eastAsia="Arial" w:cs="Arial"/>
        </w:rPr>
      </w:pPr>
      <w:r>
        <w:rPr>
          <w:rFonts w:eastAsia="Arial" w:cs="Arial" w:ascii="Arial" w:hAnsi="Arial"/>
        </w:rPr>
        <w:t>After payment of the down payment, the remainder of the price of the Products and /or Services shall be invoiced by Seller and paid by Customer as per the relevant Supply Agreement.</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100" w:end="0"/>
        <w:jc w:val="both"/>
        <w:rPr>
          <w:rFonts w:ascii="Arial" w:hAnsi="Arial" w:eastAsia="Arial" w:cs="Arial"/>
          <w:sz w:val="19"/>
        </w:rPr>
      </w:pPr>
      <w:r>
        <w:rPr>
          <w:rFonts w:eastAsia="Arial" w:cs="Arial" w:ascii="Arial" w:hAnsi="Arial"/>
          <w:sz w:val="19"/>
        </w:rPr>
        <w:t>5.2. In case of delay by Customer in providing the Pre-requisite or delivery conditions if any, on due date, which causes a delay in the Product and/or Services delivery, Seller shall be entitled to invoice ninety percent (90%) of each payment milestone impacted by a delayed Pre-requisite or delivery conditions.</w:t>
      </w:r>
    </w:p>
    <w:p>
      <w:pPr>
        <w:pStyle w:val="Normal"/>
        <w:spacing w:lineRule="exact" w:line="23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0" w:end="0"/>
        <w:jc w:val="both"/>
        <w:rPr/>
      </w:pPr>
      <w:r>
        <w:rPr>
          <w:rFonts w:eastAsia="Arial" w:cs="Arial" w:ascii="Arial" w:hAnsi="Arial"/>
        </w:rPr>
        <w:t>5.3. Unless otherwise expressly stated by Seller, payments shall be made no later than thirty (30) days from the date of the invoice, and the value date on which such payment is credited to Seller’s account shall fall within this thirty (30) days period. When partial deliveries are made, payments shall become due in accordance with the relevant invoices. No claim from Customer nor force majeure event can validly suspend payment due to Seller.</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both"/>
        <w:rPr>
          <w:rFonts w:ascii="Arial" w:hAnsi="Arial" w:eastAsia="Arial" w:cs="Arial"/>
        </w:rPr>
      </w:pPr>
      <w:r>
        <w:rPr>
          <w:rFonts w:eastAsia="Arial" w:cs="Arial" w:ascii="Arial" w:hAnsi="Arial"/>
        </w:rPr>
        <w:t>5.4. Payment shall be made in immediately available funds in the quoted currency. If no currency is quoted or in case of doubt the currency due is US-Dollar (USD). In case of payment in any other freely convertible currency, the exchange rate valid as of the day of actual money transfer shall be applied for conversion.</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00" w:end="0"/>
        <w:jc w:val="both"/>
        <w:rPr/>
      </w:pPr>
      <w:r>
        <w:rPr>
          <w:rFonts w:eastAsia="Arial" w:cs="Arial" w:ascii="Arial" w:hAnsi="Arial"/>
        </w:rPr>
        <w:t>5.5. If any payment is not received by Seller on the due date, without prejudice to Seller’s other rights as per clause 13, Seller shall be entitled to get interest for late payment, calculated on the amount due from and including the due date of payment up to and including the date when the payment is received by Seller at a rate equal to the London InterBank Offered Rate (LIBOR) for twelve (12) months deposits in United States Dollars (as published in the Financial Times on the due date) plus three percent (3 %) per year (part year to be prorated). All such interest shall be compounded monthly and calculated on the basis of the actual number of days elapsed in the month assuming a thirty (30) day month and a three hundred and sixty (360) day year.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4</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0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9">
                <wp:simplePos x="0" y="0"/>
                <wp:positionH relativeFrom="column">
                  <wp:posOffset>38100</wp:posOffset>
                </wp:positionH>
                <wp:positionV relativeFrom="paragraph">
                  <wp:posOffset>5715</wp:posOffset>
                </wp:positionV>
                <wp:extent cx="5908040" cy="0"/>
                <wp:effectExtent l="0" t="4445" r="0" b="4445"/>
                <wp:wrapNone/>
                <wp:docPr id="8"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7"/>
        <w:ind w:start="100" w:end="0"/>
        <w:jc w:val="both"/>
        <w:rPr>
          <w:rFonts w:ascii="Arial" w:hAnsi="Arial" w:eastAsia="Arial" w:cs="Arial"/>
        </w:rPr>
      </w:pPr>
      <w:bookmarkStart w:id="4" w:name="page5"/>
      <w:bookmarkEnd w:id="4"/>
      <w:r>
        <w:rPr>
          <w:rFonts w:eastAsia="Arial" w:cs="Arial" w:ascii="Arial" w:hAnsi="Arial"/>
        </w:rPr>
        <w:t>5.6. In case of late payment, Seller reserves the right to claim against Customer the payment of a minimum amount as lump sum of fifty United States Dollars (50 USD) per invoice or as such updated amount as prescribed by applicable law, corresponding to the charges for late payment recovery.</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00" w:end="0"/>
        <w:jc w:val="both"/>
        <w:rPr>
          <w:rFonts w:ascii="Arial" w:hAnsi="Arial" w:eastAsia="Arial" w:cs="Arial"/>
        </w:rPr>
      </w:pPr>
      <w:r>
        <w:rPr>
          <w:rFonts w:eastAsia="Arial" w:cs="Arial" w:ascii="Arial" w:hAnsi="Arial"/>
        </w:rPr>
        <w:t>All payments due to Seller shall be made in full, without set-off, counterclaim, deduction or withholding of any kind, including bank charges. Consequently, Customer shall procure that the sums received by Seller shall be equal to the full amounts expressed to be due to Seller in the invoice, without deduction or withholding on account of and free from any and all Taxes, levies, imposts, dues or charges of whatever nature. If Customer is compelled by law to make any such deduction or withholding, Customer shall pay such additional amounts as may be necessary in order that the net amount received by Seller after such deduction or withholding shall be equal to the amounts which would have been received in the absence of such deduction or withholding and pay to the relevant taxation or other authorities within the period for payment permitted by applicable law, the full amount of the deduction or withholding.</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both"/>
        <w:rPr>
          <w:rFonts w:ascii="Arial" w:hAnsi="Arial" w:eastAsia="Arial" w:cs="Arial"/>
        </w:rPr>
      </w:pPr>
      <w:r>
        <w:rPr>
          <w:rFonts w:eastAsia="Arial" w:cs="Arial" w:ascii="Arial" w:hAnsi="Arial"/>
        </w:rPr>
        <w:t>5.7. Seller may set-off any debt resulting from any Supply Agreement and/or any Purchase Agreement owed by Customer to Seller against any obligation (whether or not matured) owed by Seller to Customer under any Supply Agreement and/or any Purchase Agreement, regardless of the place of payment or currency (it being understood that if this debt is unascertainable it may be estimated and the set-off made in respect of such estimate).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QUALITY</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0" w:end="0"/>
        <w:jc w:val="both"/>
        <w:rPr/>
      </w:pPr>
      <w:r>
        <w:rPr>
          <w:rFonts w:eastAsia="Arial" w:cs="Arial" w:ascii="Arial" w:hAnsi="Arial"/>
        </w:rPr>
        <w:t>Seller undertakes that all Products and/or Services are manufactured in accordance with the quality standards of the industry. All quality certifications related to a given Product or Service will be provided upon Customer’s request in the relevant Supply Agreement or side letter as the case may be.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CUSTOMER’S OBLIGATIONS RELATED TO USE OF PRODUCTS OR SERVICES</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20"/>
        <w:rPr>
          <w:rFonts w:ascii="Arial" w:hAnsi="Arial" w:eastAsia="Arial" w:cs="Arial"/>
        </w:rPr>
      </w:pPr>
      <w:r>
        <w:rPr>
          <w:rFonts w:eastAsia="Arial" w:cs="Arial" w:ascii="Arial" w:hAnsi="Arial"/>
        </w:rPr>
        <w:t>Customer acknowledges and warrants that it shall perform its contractual obligations in good faith and this shall include but is not limited to:</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820" w:leader="none"/>
        </w:tabs>
        <w:spacing w:lineRule="auto" w:line="235"/>
        <w:ind w:hanging="368" w:start="820" w:end="0"/>
        <w:rPr>
          <w:rFonts w:ascii="Arial" w:hAnsi="Arial" w:eastAsia="Arial" w:cs="Arial"/>
        </w:rPr>
      </w:pPr>
      <w:r>
        <w:rPr>
          <w:rFonts w:eastAsia="Arial" w:cs="Arial" w:ascii="Arial" w:hAnsi="Arial"/>
        </w:rPr>
        <w:t>keeping the relevant Products and/or Services or Documentation in good working condition, in order to ensure the correct operation thereof;</w:t>
      </w:r>
    </w:p>
    <w:p>
      <w:pPr>
        <w:pStyle w:val="Normal"/>
        <w:spacing w:lineRule="exact" w:line="13"/>
        <w:rPr>
          <w:rFonts w:ascii="Arial" w:hAnsi="Arial" w:eastAsia="Arial" w:cs="Arial"/>
        </w:rPr>
      </w:pPr>
      <w:r>
        <w:rPr>
          <w:rFonts w:eastAsia="Arial" w:cs="Arial" w:ascii="Arial" w:hAnsi="Arial"/>
        </w:rPr>
      </w:r>
    </w:p>
    <w:p>
      <w:pPr>
        <w:pStyle w:val="Normal"/>
        <w:numPr>
          <w:ilvl w:val="0"/>
          <w:numId w:val="11"/>
        </w:numPr>
        <w:tabs>
          <w:tab w:val="clear" w:pos="720"/>
          <w:tab w:val="left" w:pos="820" w:leader="none"/>
        </w:tabs>
        <w:spacing w:lineRule="auto" w:line="256"/>
        <w:ind w:hanging="368" w:start="820" w:end="0"/>
        <w:jc w:val="both"/>
        <w:rPr>
          <w:rFonts w:ascii="Arial" w:hAnsi="Arial" w:eastAsia="Arial" w:cs="Arial"/>
          <w:sz w:val="19"/>
        </w:rPr>
      </w:pPr>
      <w:r>
        <w:rPr>
          <w:rFonts w:eastAsia="Arial" w:cs="Arial" w:ascii="Arial" w:hAnsi="Arial"/>
          <w:sz w:val="19"/>
        </w:rPr>
        <w:t>using the relevant Products and/or Services in accordance with its Documentation, and ensure that the personnel using the relevant Products and/or Services has received appropriate training;</w:t>
      </w:r>
    </w:p>
    <w:p>
      <w:pPr>
        <w:pStyle w:val="Normal"/>
        <w:numPr>
          <w:ilvl w:val="0"/>
          <w:numId w:val="11"/>
        </w:numPr>
        <w:tabs>
          <w:tab w:val="clear" w:pos="720"/>
          <w:tab w:val="left" w:pos="820" w:leader="none"/>
        </w:tabs>
        <w:spacing w:lineRule="auto" w:line="237"/>
        <w:ind w:hanging="368" w:start="820" w:end="20"/>
        <w:jc w:val="both"/>
        <w:rPr>
          <w:rFonts w:ascii="Arial" w:hAnsi="Arial" w:eastAsia="Arial" w:cs="Arial"/>
        </w:rPr>
      </w:pPr>
      <w:r>
        <w:rPr>
          <w:rFonts w:eastAsia="Arial" w:cs="Arial" w:ascii="Arial" w:hAnsi="Arial"/>
        </w:rPr>
        <w:t>using the relevant Products and/or Services exclusively in the technical environment defined in the Documentation (in the CSC or relevant Supply Agreement), except as otherwise agreed in writing between Customer and Seller;</w:t>
      </w:r>
    </w:p>
    <w:p>
      <w:pPr>
        <w:pStyle w:val="Normal"/>
        <w:spacing w:lineRule="exact" w:line="14"/>
        <w:rPr>
          <w:rFonts w:ascii="Arial" w:hAnsi="Arial" w:eastAsia="Arial" w:cs="Arial"/>
        </w:rPr>
      </w:pPr>
      <w:r>
        <w:rPr>
          <w:rFonts w:eastAsia="Arial" w:cs="Arial" w:ascii="Arial" w:hAnsi="Arial"/>
        </w:rPr>
      </w:r>
    </w:p>
    <w:p>
      <w:pPr>
        <w:pStyle w:val="Normal"/>
        <w:numPr>
          <w:ilvl w:val="0"/>
          <w:numId w:val="11"/>
        </w:numPr>
        <w:tabs>
          <w:tab w:val="clear" w:pos="720"/>
          <w:tab w:val="left" w:pos="820" w:leader="none"/>
        </w:tabs>
        <w:spacing w:lineRule="auto" w:line="235"/>
        <w:ind w:hanging="368" w:start="820" w:end="0"/>
        <w:rPr>
          <w:rFonts w:ascii="Arial" w:hAnsi="Arial" w:eastAsia="Arial" w:cs="Arial"/>
        </w:rPr>
      </w:pPr>
      <w:r>
        <w:rPr>
          <w:rFonts w:eastAsia="Arial" w:cs="Arial" w:ascii="Arial" w:hAnsi="Arial"/>
        </w:rPr>
        <w:t>not deleting any intellectual property rights notices related to the relevant Products and/or Services.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WARRANTY</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Nature of warranty</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pPr>
      <w:r>
        <w:rPr>
          <w:rFonts w:eastAsia="Arial" w:cs="Arial" w:ascii="Arial" w:hAnsi="Arial"/>
        </w:rPr>
        <w:t>Subject to the limitations and conditions hereinafter provided, Seller warrants to Customer that Products and/or Services will at the Delivery Date be made substantially in conformity with Seller’s technical specifications outlined in the CSC and/or in the Specific Agreement and are free from defects in workmanship.</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pPr>
      <w:r>
        <w:rPr>
          <w:rFonts w:eastAsia="Arial" w:cs="Arial" w:ascii="Arial" w:hAnsi="Arial"/>
        </w:rPr>
        <w:t>Subject to the limitations and conditions hereinafter provided, Seller warrants to Customer that Seller’s Parts will at the Delivery Date be free from defects in material, manufacture and design.</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Warranty exclusions</w:t>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rPr>
      </w:pPr>
      <w:r>
        <w:rPr>
          <w:rFonts w:eastAsia="Arial" w:cs="Arial" w:ascii="Arial" w:hAnsi="Arial"/>
        </w:rPr>
        <w:t>It is hereby expressly agreed and acknowledged by Customer that the warranty granted by Seller in this</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rPr>
      </w:pPr>
      <w:r>
        <w:rPr>
          <w:rFonts w:eastAsia="Arial" w:cs="Arial" w:ascii="Arial" w:hAnsi="Arial"/>
        </w:rPr>
        <w:t>Clause 8 excludes: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800" w:leader="none"/>
        </w:tabs>
        <w:spacing w:lineRule="atLeast" w:line="0"/>
        <w:ind w:hanging="351" w:start="800" w:end="0"/>
        <w:jc w:val="both"/>
        <w:rPr>
          <w:rFonts w:ascii="Arial" w:hAnsi="Arial" w:eastAsia="Arial" w:cs="Arial"/>
        </w:rPr>
      </w:pPr>
      <w:r>
        <w:rPr>
          <w:rFonts w:eastAsia="Arial" w:cs="Arial" w:ascii="Arial" w:hAnsi="Arial"/>
        </w:rPr>
        <w:t>any defects resulting from any act or omission of Customer (including its Affiliates and/or, cocontractors and/or suppliers), including but not limited to defects caused by accident, misuse, neglect, alteration, improper installation repair or testing, modification, failure to operate, failure to install Updates and/or use the affected Products and Services as per the Pre-requisites mentioned in the CSC or any other contractual document entered into by Customer;</w:t>
      </w:r>
    </w:p>
    <w:p>
      <w:pPr>
        <w:pStyle w:val="Normal"/>
        <w:spacing w:lineRule="exact" w:line="6"/>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tLeast" w:line="0"/>
        <w:ind w:hanging="351" w:start="800" w:end="0"/>
        <w:rPr>
          <w:rFonts w:ascii="Arial" w:hAnsi="Arial" w:eastAsia="Arial" w:cs="Arial"/>
        </w:rPr>
      </w:pPr>
      <w:r>
        <w:rPr>
          <w:rFonts w:eastAsia="Arial" w:cs="Arial" w:ascii="Arial" w:hAnsi="Arial"/>
        </w:rPr>
        <w:t>non-compliance with any Seller’s Pre-requisites;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5</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
                <wp:simplePos x="0" y="0"/>
                <wp:positionH relativeFrom="column">
                  <wp:posOffset>38100</wp:posOffset>
                </wp:positionH>
                <wp:positionV relativeFrom="paragraph">
                  <wp:posOffset>5715</wp:posOffset>
                </wp:positionV>
                <wp:extent cx="5908040" cy="0"/>
                <wp:effectExtent l="0" t="4445" r="0" b="4445"/>
                <wp:wrapNone/>
                <wp:docPr id="9"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numPr>
          <w:ilvl w:val="1"/>
          <w:numId w:val="16"/>
        </w:numPr>
        <w:tabs>
          <w:tab w:val="clear" w:pos="720"/>
          <w:tab w:val="left" w:pos="800" w:leader="none"/>
        </w:tabs>
        <w:spacing w:lineRule="auto" w:line="237"/>
        <w:ind w:hanging="351" w:start="800" w:end="0"/>
        <w:jc w:val="both"/>
        <w:rPr>
          <w:rFonts w:ascii="Arial" w:hAnsi="Arial" w:eastAsia="Arial" w:cs="Arial"/>
        </w:rPr>
      </w:pPr>
      <w:bookmarkStart w:id="5" w:name="page6"/>
      <w:bookmarkEnd w:id="5"/>
      <w:r>
        <w:rPr>
          <w:rFonts w:eastAsia="Arial" w:cs="Arial" w:ascii="Arial" w:hAnsi="Arial"/>
        </w:rPr>
        <w:t>the Products and/or Services having been used, handled, stored, maintained, installed or operated other than in accordance with Seller’s instructions or Product and/or Service specifications or accepted aviation practice;</w:t>
      </w:r>
    </w:p>
    <w:p>
      <w:pPr>
        <w:pStyle w:val="Normal"/>
        <w:spacing w:lineRule="exact" w:line="13"/>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uto" w:line="235"/>
        <w:ind w:hanging="351" w:start="800" w:end="0"/>
        <w:rPr>
          <w:rFonts w:ascii="Arial" w:hAnsi="Arial" w:eastAsia="Arial" w:cs="Arial"/>
        </w:rPr>
      </w:pPr>
      <w:r>
        <w:rPr>
          <w:rFonts w:eastAsia="Arial" w:cs="Arial" w:ascii="Arial" w:hAnsi="Arial"/>
        </w:rPr>
        <w:t>the Products and/or Services having been subject to any modification or alteration not authorized by Seller;</w:t>
      </w:r>
    </w:p>
    <w:p>
      <w:pPr>
        <w:pStyle w:val="Normal"/>
        <w:spacing w:lineRule="exact" w:line="16"/>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uto" w:line="235"/>
        <w:ind w:hanging="351" w:start="800" w:end="0"/>
        <w:rPr>
          <w:rFonts w:ascii="Arial" w:hAnsi="Arial" w:eastAsia="Arial" w:cs="Arial"/>
        </w:rPr>
      </w:pPr>
      <w:r>
        <w:rPr>
          <w:rFonts w:eastAsia="Arial" w:cs="Arial" w:ascii="Arial" w:hAnsi="Arial"/>
        </w:rPr>
        <w:t>the Products and/or Services having been used for purposes other than purposes for which they were intended;</w:t>
      </w:r>
    </w:p>
    <w:p>
      <w:pPr>
        <w:pStyle w:val="Normal"/>
        <w:spacing w:lineRule="exact" w:line="13"/>
        <w:rPr>
          <w:rFonts w:ascii="Arial" w:hAnsi="Arial" w:eastAsia="Arial" w:cs="Arial"/>
        </w:rPr>
      </w:pPr>
      <w:r>
        <w:rPr>
          <w:rFonts w:eastAsia="Arial" w:cs="Arial" w:ascii="Arial" w:hAnsi="Arial"/>
        </w:rPr>
      </w:r>
    </w:p>
    <w:p>
      <w:pPr>
        <w:pStyle w:val="Normal"/>
        <w:numPr>
          <w:ilvl w:val="1"/>
          <w:numId w:val="16"/>
        </w:numPr>
        <w:tabs>
          <w:tab w:val="clear" w:pos="720"/>
          <w:tab w:val="left" w:pos="800" w:leader="none"/>
        </w:tabs>
        <w:spacing w:lineRule="auto" w:line="235"/>
        <w:ind w:hanging="351" w:start="800" w:end="20"/>
        <w:rPr>
          <w:rFonts w:ascii="Arial" w:hAnsi="Arial" w:eastAsia="Arial" w:cs="Arial"/>
        </w:rPr>
      </w:pPr>
      <w:r>
        <w:rPr>
          <w:rFonts w:eastAsia="Arial" w:cs="Arial" w:ascii="Arial" w:hAnsi="Arial"/>
        </w:rPr>
        <w:t>the Products and/or Services having been subject to any neglect, faulty maintenance, accident, incident, abuse or misapplication or use in development or experimental running;</w:t>
      </w:r>
    </w:p>
    <w:p>
      <w:pPr>
        <w:pStyle w:val="Normal"/>
        <w:spacing w:lineRule="exact" w:line="3"/>
        <w:rPr>
          <w:rFonts w:ascii="Arial" w:hAnsi="Arial" w:eastAsia="Arial" w:cs="Arial"/>
        </w:rPr>
      </w:pPr>
      <w:r>
        <w:rPr>
          <w:rFonts w:eastAsia="Arial" w:cs="Arial" w:ascii="Arial" w:hAnsi="Arial"/>
        </w:rPr>
      </w:r>
    </w:p>
    <w:p>
      <w:pPr>
        <w:pStyle w:val="Normal"/>
        <w:numPr>
          <w:ilvl w:val="0"/>
          <w:numId w:val="17"/>
        </w:numPr>
        <w:tabs>
          <w:tab w:val="clear" w:pos="720"/>
          <w:tab w:val="left" w:pos="800" w:leader="none"/>
        </w:tabs>
        <w:spacing w:lineRule="atLeast" w:line="0"/>
        <w:ind w:hanging="425" w:start="800" w:end="0"/>
        <w:rPr>
          <w:rFonts w:ascii="Arial" w:hAnsi="Arial" w:eastAsia="Arial" w:cs="Arial"/>
        </w:rPr>
      </w:pPr>
      <w:r>
        <w:rPr>
          <w:rFonts w:eastAsia="Arial" w:cs="Arial" w:ascii="Arial" w:hAnsi="Arial"/>
        </w:rPr>
        <w:t>normal wear and tear.</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Warranty period</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For new Seller’s Parts</w:t>
      </w:r>
      <w:r>
        <w:rPr>
          <w:rFonts w:eastAsia="Arial" w:cs="Arial" w:ascii="Arial" w:hAnsi="Arial"/>
          <w:b/>
        </w:rPr>
        <w:t>,</w:t>
      </w:r>
      <w:r>
        <w:rPr>
          <w:rFonts w:eastAsia="Arial" w:cs="Arial" w:ascii="Arial" w:hAnsi="Arial"/>
        </w:rPr>
        <w:t xml:space="preserve"> the warranty period starts from the Delivery Date and remains in effect for thirty six (36) months. Whenever any new Seller’s Parts, which contains a defect for which Seller is liable under Clause 8, has been corrected, replaced or repaired pursuant to the terms of this Clause 8, the period of the Seller's warranty with respect to such corrected, repaired or replacement Seller’s Part, whichever the case may be, shall be the remaining portion of the original warranty period or twelve (12) months, whichever is longer.</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rPr>
        <w:t>For used Seller’s Parts, the warranty period starts from the Delivery Date and remains in effect for twelve</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519" w:leader="none"/>
        </w:tabs>
        <w:spacing w:lineRule="auto" w:line="237"/>
        <w:ind w:hanging="8" w:start="100" w:end="0"/>
        <w:jc w:val="both"/>
        <w:rPr>
          <w:rFonts w:ascii="Arial" w:hAnsi="Arial" w:eastAsia="Arial" w:cs="Arial"/>
        </w:rPr>
      </w:pPr>
      <w:r>
        <w:rPr>
          <w:rFonts w:eastAsia="Arial" w:cs="Arial" w:ascii="Arial" w:hAnsi="Arial"/>
        </w:rPr>
        <w:t>months. Whenever any used Seller’s Parts, which contains a defect for which Seller is liable under Clause 8, has been corrected, replaced or repaired pursuant to the terms of this Clause 8, the period of the Seller's warranty with respect to such corrected, repaired or replacement used Seller’s Part, whichever the case may be, shall be the remaining portion of the original warranty period.</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rPr>
      </w:pPr>
      <w:r>
        <w:rPr>
          <w:rFonts w:eastAsia="Arial" w:cs="Arial" w:ascii="Arial" w:hAnsi="Arial"/>
        </w:rPr>
        <w:t>For Services, the warranty is effective during the term of the Supply Agreement.</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Customer’s remedy and Seller’ obligation</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In the event of a Products or Services defect falling into the scope of the warranty described in this Clause 8, Seller’s SOLE AND EXCLUSIVE REMEDY and in lieu of all other warranties and indemnifications, shall be at Seller’s option to repair or replace or correct such Products or Services or issue a credit note for such Products or Services to be used within a period of two (2) years after issuance i) to reimburse the outstanding debt due under any contract or otherwise to Seller by Customer and ii) for the remaining amount to be spent for the purchase of Seller’s goods or services.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1" w:start="100" w:end="0"/>
        <w:jc w:val="both"/>
        <w:rPr>
          <w:rFonts w:ascii="Arial" w:hAnsi="Arial" w:eastAsia="Arial" w:cs="Arial"/>
        </w:rPr>
      </w:pPr>
      <w:r>
        <w:rPr>
          <w:rFonts w:eastAsia="Arial" w:cs="Arial" w:ascii="Arial" w:hAnsi="Arial"/>
        </w:rPr>
        <w:t>The presence of a defect in any Products and/or Services shall not entitle Customer to cancel a Supply Agreement in whole or in part.</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Warranty claim requirements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Warranty claims involving Products and/or Services may only be considered if they are made during the warranty period by written notification to Seller within sixty (60) days of the defect becoming apparent together with substantiated evidence.</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860" w:leader="none"/>
        </w:tabs>
        <w:spacing w:lineRule="atLeast" w:line="0"/>
        <w:ind w:hanging="771" w:start="860" w:end="0"/>
        <w:rPr>
          <w:rFonts w:ascii="Arial" w:hAnsi="Arial" w:eastAsia="Arial" w:cs="Arial"/>
        </w:rPr>
      </w:pPr>
      <w:r>
        <w:rPr>
          <w:rFonts w:eastAsia="Arial" w:cs="Arial" w:ascii="Arial" w:hAnsi="Arial"/>
          <w:u w:val="single"/>
        </w:rPr>
        <w:t>Warranty administration</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rPr>
      </w:pPr>
      <w:r>
        <w:rPr>
          <w:rFonts w:eastAsia="Arial" w:cs="Arial" w:ascii="Arial" w:hAnsi="Arial"/>
        </w:rPr>
        <w:t>Seller assesses the validity of the claim based on claim details, reports, inspections, tests, finding during repairs, defect analysis and other relevant documents and inspected by Seller, at its sole discretion. Acceptance or substantiated rejection of the claim by Seller shall be notified in writing by Seller to Customer.</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Unless otherwise instructed by Seller, Customer shall return Products in accordance with the Incoterm CIP as this term is defined in the Incoterms 2020 publication issued by the International Chamber of Commerce to Seller - SELLER'S SPARES SUPPORT AND SERVICES, P.O. BOX 630262, D-22312 HAMBURG, GERMANY OR ANY OTHER PLACE AS INDICATED BY SELLER.</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860" w:leader="none"/>
        </w:tabs>
        <w:spacing w:lineRule="atLeast" w:line="0"/>
        <w:ind w:hanging="771" w:start="860" w:end="0"/>
        <w:rPr>
          <w:rFonts w:ascii="Arial" w:hAnsi="Arial" w:eastAsia="Arial" w:cs="Arial"/>
        </w:rPr>
      </w:pPr>
      <w:r>
        <w:rPr>
          <w:rFonts w:eastAsia="Arial" w:cs="Arial" w:ascii="Arial" w:hAnsi="Arial"/>
          <w:u w:val="single"/>
        </w:rPr>
        <w:t>Supplier Warranty Transfer</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If Seller has obtained a supplier warranty in its capacity as a buyer of all or part of the Products and Services which are sold to Customer, Seller shall transfer to Customer any remaining portion of such warranty, provided it is transferable.</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1" w:start="100" w:end="0"/>
        <w:jc w:val="both"/>
        <w:rPr>
          <w:rFonts w:ascii="Arial" w:hAnsi="Arial" w:eastAsia="Arial" w:cs="Arial"/>
        </w:rPr>
      </w:pPr>
      <w:r>
        <w:rPr>
          <w:rFonts w:eastAsia="Arial" w:cs="Arial" w:ascii="Arial" w:hAnsi="Arial"/>
        </w:rPr>
        <w:t>Any warranty claim, defects or the like shall be addressed directly to the relevant supplier by Customer, unless otherwise instructed by Seller.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6</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1">
                <wp:simplePos x="0" y="0"/>
                <wp:positionH relativeFrom="column">
                  <wp:posOffset>38100</wp:posOffset>
                </wp:positionH>
                <wp:positionV relativeFrom="paragraph">
                  <wp:posOffset>5715</wp:posOffset>
                </wp:positionV>
                <wp:extent cx="5908040" cy="0"/>
                <wp:effectExtent l="0" t="4445" r="0" b="4445"/>
                <wp:wrapNone/>
                <wp:docPr id="10"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numPr>
          <w:ilvl w:val="0"/>
          <w:numId w:val="24"/>
        </w:numPr>
        <w:tabs>
          <w:tab w:val="clear" w:pos="720"/>
          <w:tab w:val="left" w:pos="805" w:leader="none"/>
        </w:tabs>
        <w:spacing w:lineRule="auto" w:line="472"/>
        <w:ind w:hanging="351" w:start="440" w:end="4280"/>
        <w:rPr>
          <w:rFonts w:ascii="Arial" w:hAnsi="Arial" w:eastAsia="Arial" w:cs="Arial"/>
        </w:rPr>
      </w:pPr>
      <w:bookmarkStart w:id="6" w:name="page7"/>
      <w:bookmarkEnd w:id="6"/>
      <w:r>
        <w:rPr>
          <w:rFonts w:eastAsia="Arial" w:cs="Arial" w:ascii="Arial" w:hAnsi="Arial"/>
          <w:u w:val="single"/>
        </w:rPr>
        <w:t xml:space="preserve">INDEMNITIES AND LIMITATION OF LIABILITY </w:t>
      </w:r>
      <w:r>
        <w:rPr>
          <w:rFonts w:eastAsia="Arial" w:cs="Arial" w:ascii="Arial" w:hAnsi="Arial"/>
        </w:rPr>
        <w:t xml:space="preserve">9.1. </w:t>
      </w:r>
      <w:r>
        <w:rPr>
          <w:rFonts w:eastAsia="Arial" w:cs="Arial" w:ascii="Arial" w:hAnsi="Arial"/>
          <w:u w:val="single"/>
        </w:rPr>
        <w:t>INDEMNITIES</w:t>
      </w:r>
    </w:p>
    <w:p>
      <w:pPr>
        <w:pStyle w:val="Normal"/>
        <w:spacing w:lineRule="exact" w:line="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0" w:end="0"/>
        <w:jc w:val="both"/>
        <w:rPr>
          <w:rFonts w:ascii="Arial" w:hAnsi="Arial" w:eastAsia="Arial" w:cs="Arial"/>
        </w:rPr>
      </w:pPr>
      <w:r>
        <w:rPr>
          <w:rFonts w:eastAsia="Arial" w:cs="Arial" w:ascii="Arial" w:hAnsi="Arial"/>
        </w:rPr>
        <w:t>A Supply Agreement may include the sale of various Products and/or Services, each of them being ruled by the appropriate paragraph here below.</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tLeast" w:line="0"/>
        <w:ind w:start="100" w:end="0"/>
        <w:rPr/>
      </w:pPr>
      <w:r>
        <w:rPr>
          <w:rFonts w:eastAsia="Arial" w:cs="Arial" w:ascii="Arial" w:hAnsi="Arial"/>
        </w:rPr>
        <w:t>9.1.1.</w:t>
      </w:r>
      <w:r>
        <w:rPr>
          <w:rFonts w:eastAsia="Times New Roman" w:cs="Times New Roman" w:ascii="Times New Roman" w:hAnsi="Times New Roman"/>
        </w:rPr>
        <w:tab/>
      </w:r>
      <w:r>
        <w:rPr>
          <w:rFonts w:eastAsia="Arial" w:cs="Arial" w:ascii="Arial" w:hAnsi="Arial"/>
          <w:sz w:val="19"/>
          <w:u w:val="single"/>
        </w:rPr>
        <w:t>For Services without intervention or presence on Aircraft</w:t>
      </w:r>
    </w:p>
    <w:p>
      <w:pPr>
        <w:pStyle w:val="Normal"/>
        <w:spacing w:lineRule="exact" w:line="1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tLeast" w:line="0"/>
        <w:ind w:start="100" w:end="0"/>
        <w:jc w:val="both"/>
        <w:rPr/>
      </w:pPr>
      <w:r>
        <w:rPr>
          <w:rFonts w:eastAsia="Arial" w:cs="Arial" w:ascii="Arial" w:hAnsi="Arial"/>
        </w:rPr>
        <w:t>Each Party (hereafter the “Indemnifying Party”) shall, except in the case of wilful misconduct and/or gross negligence of the other Party, indemnify and hold harmless such Party from and against all liabilities, claims, damages, costs and expenses (including legal expenses and attorney fees) arising out of, caused by or in any way connected with Services provided by Seller to Customer, in respect of:</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600" w:leader="none"/>
        </w:tabs>
        <w:spacing w:lineRule="atLeast" w:line="0"/>
        <w:ind w:hanging="225" w:start="600" w:end="0"/>
        <w:rPr>
          <w:rFonts w:ascii="Arial" w:hAnsi="Arial" w:eastAsia="Arial" w:cs="Arial"/>
        </w:rPr>
      </w:pPr>
      <w:r>
        <w:rPr>
          <w:rFonts w:eastAsia="Arial" w:cs="Arial" w:ascii="Arial" w:hAnsi="Arial"/>
        </w:rPr>
        <w:t>loss of or damage to the Indemnifying Party’s property; and/or</w:t>
      </w:r>
    </w:p>
    <w:p>
      <w:pPr>
        <w:pStyle w:val="Normal"/>
        <w:spacing w:lineRule="exact" w:line="5"/>
        <w:rPr>
          <w:rFonts w:ascii="Arial" w:hAnsi="Arial" w:eastAsia="Arial" w:cs="Arial"/>
        </w:rPr>
      </w:pPr>
      <w:r>
        <w:rPr>
          <w:rFonts w:eastAsia="Arial" w:cs="Arial" w:ascii="Arial" w:hAnsi="Arial"/>
        </w:rPr>
      </w:r>
    </w:p>
    <w:p>
      <w:pPr>
        <w:pStyle w:val="Normal"/>
        <w:numPr>
          <w:ilvl w:val="0"/>
          <w:numId w:val="25"/>
        </w:numPr>
        <w:tabs>
          <w:tab w:val="clear" w:pos="720"/>
          <w:tab w:val="left" w:pos="600" w:leader="none"/>
        </w:tabs>
        <w:spacing w:lineRule="atLeast" w:line="0"/>
        <w:ind w:hanging="225" w:start="600" w:end="0"/>
        <w:rPr>
          <w:rFonts w:ascii="Arial" w:hAnsi="Arial" w:eastAsia="Arial" w:cs="Arial"/>
        </w:rPr>
      </w:pPr>
      <w:r>
        <w:rPr>
          <w:rFonts w:eastAsia="Arial" w:cs="Arial" w:ascii="Arial" w:hAnsi="Arial"/>
        </w:rPr>
        <w:t>injury to or death of the directors, officers, agents or employees of the Indemnifying Party; and/or</w:t>
      </w:r>
    </w:p>
    <w:p>
      <w:pPr>
        <w:pStyle w:val="Normal"/>
        <w:spacing w:lineRule="exact" w:line="2"/>
        <w:rPr>
          <w:rFonts w:ascii="Arial" w:hAnsi="Arial" w:eastAsia="Arial" w:cs="Arial"/>
        </w:rPr>
      </w:pPr>
      <w:r>
        <w:rPr>
          <w:rFonts w:eastAsia="Arial" w:cs="Arial" w:ascii="Arial" w:hAnsi="Arial"/>
        </w:rPr>
      </w:r>
    </w:p>
    <w:p>
      <w:pPr>
        <w:pStyle w:val="Normal"/>
        <w:numPr>
          <w:ilvl w:val="0"/>
          <w:numId w:val="25"/>
        </w:numPr>
        <w:tabs>
          <w:tab w:val="clear" w:pos="720"/>
          <w:tab w:val="left" w:pos="600" w:leader="none"/>
        </w:tabs>
        <w:spacing w:lineRule="atLeast" w:line="0"/>
        <w:ind w:hanging="225" w:start="600" w:end="0"/>
        <w:rPr>
          <w:rFonts w:ascii="Arial" w:hAnsi="Arial" w:eastAsia="Arial" w:cs="Arial"/>
        </w:rPr>
      </w:pPr>
      <w:r>
        <w:rPr>
          <w:rFonts w:eastAsia="Arial" w:cs="Arial" w:ascii="Arial" w:hAnsi="Arial"/>
        </w:rPr>
        <w:t>any loss or damage caused by the Indemnifying Party to third parties.</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For Services that include workshops, on-site visits or co-working on either Parties' premises without intervention or presence on Aircraft (e.g., without limitation consulting, engineering services, ground trainings, within offices or classrooms,…), the visiting party (hereafter the “Visiting Party”) shall, except in case of gross negligence and/or wilful misconduct of the other Party, indemnify and hold the other Party (hereinafter the “Hosting Party”) harmless from damages and claims relating to death or physical injuries incurred by the Visiting Party’s personnel and damages to Visiting Party’s properties (including legal expenses and attorney fees) in connection with the performance of the Service within the premises of the “Hosting Party.</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Notwithstanding the foregoing, the Hosting Party shall, except in case of gross negligence/wilful misconduct of the Visiting Party, indemnify and hold harmless the Visiting Party for damages and claims relating to death or physical injuries or damages to properties (including legal expenses and attorney fees) incurred by third parties in connection with the performance of the Service within the premises of the Hosting Party.</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2" w:start="80" w:end="0"/>
        <w:rPr/>
      </w:pPr>
      <w:r>
        <w:rPr>
          <w:rFonts w:eastAsia="Arial" w:cs="Arial" w:ascii="Arial" w:hAnsi="Arial"/>
        </w:rPr>
        <w:t xml:space="preserve">9.1.2. </w:t>
      </w:r>
      <w:r>
        <w:rPr>
          <w:rFonts w:eastAsia="Arial" w:cs="Arial" w:ascii="Arial" w:hAnsi="Arial"/>
          <w:u w:val="single"/>
        </w:rPr>
        <w:t>For Services performed by Seller with intervention or presence on or next to an Aircraft</w:t>
      </w:r>
      <w:r>
        <w:rPr>
          <w:rFonts w:eastAsia="Arial" w:cs="Arial" w:ascii="Arial" w:hAnsi="Arial"/>
        </w:rPr>
        <w:t xml:space="preserve"> Customer shall, except in the case of wilful misconduct and/or gross negligence of Seller, indemnify and hold harmless Seller and its insurers, from and against all liabilities, claims, damages, costs and expenses incident thereto or incident to successfully establishing the right to indemnification (including legal expenses and attorney fees) arising from, caused by or in any way connected with any Services in respect of:</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546" w:leader="none"/>
        </w:tabs>
        <w:spacing w:lineRule="auto" w:line="235"/>
        <w:ind w:firstLine="44" w:start="100" w:end="20"/>
        <w:rPr>
          <w:rFonts w:ascii="Arial" w:hAnsi="Arial" w:eastAsia="Arial" w:cs="Arial"/>
        </w:rPr>
      </w:pPr>
      <w:r>
        <w:rPr>
          <w:rFonts w:eastAsia="Arial" w:cs="Arial" w:ascii="Arial" w:hAnsi="Arial"/>
        </w:rPr>
        <w:t>death or physical injuries incurred by any person (excluding the directors, officers, agents or employees of Seller); and/or</w:t>
      </w:r>
    </w:p>
    <w:p>
      <w:pPr>
        <w:pStyle w:val="Normal"/>
        <w:spacing w:lineRule="exact" w:line="13"/>
        <w:rPr>
          <w:rFonts w:ascii="Arial" w:hAnsi="Arial" w:eastAsia="Arial" w:cs="Arial"/>
        </w:rPr>
      </w:pPr>
      <w:r>
        <w:rPr>
          <w:rFonts w:eastAsia="Arial" w:cs="Arial" w:ascii="Arial" w:hAnsi="Arial"/>
        </w:rPr>
      </w:r>
    </w:p>
    <w:p>
      <w:pPr>
        <w:pStyle w:val="Normal"/>
        <w:numPr>
          <w:ilvl w:val="0"/>
          <w:numId w:val="26"/>
        </w:numPr>
        <w:tabs>
          <w:tab w:val="clear" w:pos="720"/>
          <w:tab w:val="left" w:pos="551" w:leader="none"/>
        </w:tabs>
        <w:spacing w:lineRule="auto" w:line="235"/>
        <w:ind w:firstLine="44" w:start="100" w:end="0"/>
        <w:rPr>
          <w:rFonts w:ascii="Arial" w:hAnsi="Arial" w:eastAsia="Arial" w:cs="Arial"/>
        </w:rPr>
      </w:pPr>
      <w:r>
        <w:rPr>
          <w:rFonts w:eastAsia="Arial" w:cs="Arial" w:ascii="Arial" w:hAnsi="Arial"/>
        </w:rPr>
        <w:t>loss of and/or damage to and/or loss of use of any property (including the Aircraft in connection with which the Services are provided).</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80" w:leader="none"/>
        </w:tabs>
        <w:spacing w:lineRule="atLeast" w:line="0"/>
        <w:ind w:start="100" w:end="0"/>
        <w:rPr/>
      </w:pPr>
      <w:r>
        <w:rPr>
          <w:rFonts w:eastAsia="Arial" w:cs="Arial" w:ascii="Arial" w:hAnsi="Arial"/>
        </w:rPr>
        <w:t>9.1.3.</w:t>
      </w:r>
      <w:r>
        <w:rPr>
          <w:rFonts w:eastAsia="Times New Roman" w:cs="Times New Roman" w:ascii="Times New Roman" w:hAnsi="Times New Roman"/>
        </w:rPr>
        <w:tab/>
      </w:r>
      <w:r>
        <w:rPr>
          <w:rFonts w:eastAsia="Arial" w:cs="Arial" w:ascii="Arial" w:hAnsi="Arial"/>
          <w:u w:val="single"/>
        </w:rPr>
        <w:t>For supply of Products, Technical Data or Documentation:</w:t>
      </w:r>
    </w:p>
    <w:p>
      <w:pPr>
        <w:pStyle w:val="Normal"/>
        <w:spacing w:lineRule="exact" w:line="13"/>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uto" w:line="240"/>
        <w:ind w:hanging="1" w:start="100" w:end="0"/>
        <w:jc w:val="both"/>
        <w:rPr>
          <w:rFonts w:ascii="Arial" w:hAnsi="Arial" w:eastAsia="Arial" w:cs="Arial"/>
        </w:rPr>
      </w:pPr>
      <w:r>
        <w:rPr>
          <w:rFonts w:eastAsia="Arial" w:cs="Arial" w:ascii="Arial" w:hAnsi="Arial"/>
        </w:rPr>
        <w:t>Customer, using the Products, Technical Data or Documentation supplied hereunder, at its sole risks and liability after delivery and subject to warranties under Article 8 above, shall, except in the case of wilful misconduct and/or gross negligence of Seller, indemnify and hold harmless Seller and its insurers, from and against all liabilities, claims, damages, costs and expenses (including legal expenses and attorney fees) caused by or in any way connected with any Products, Technical Data or Documentation provided hereunder in respect of:</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7"/>
        </w:numPr>
        <w:tabs>
          <w:tab w:val="clear" w:pos="720"/>
          <w:tab w:val="left" w:pos="540" w:leader="none"/>
        </w:tabs>
        <w:spacing w:lineRule="atLeast" w:line="0"/>
        <w:ind w:hanging="396" w:start="540" w:end="0"/>
        <w:rPr>
          <w:rFonts w:ascii="Arial" w:hAnsi="Arial" w:eastAsia="Arial" w:cs="Arial"/>
        </w:rPr>
      </w:pPr>
      <w:r>
        <w:rPr>
          <w:rFonts w:eastAsia="Arial" w:cs="Arial" w:ascii="Arial" w:hAnsi="Arial"/>
        </w:rPr>
        <w:t>injury to or death of any person (excluding the directors, officers, agents or employees of Seller)</w:t>
      </w:r>
    </w:p>
    <w:p>
      <w:pPr>
        <w:pStyle w:val="Normal"/>
        <w:spacing w:lineRule="exact" w:line="13"/>
        <w:rPr>
          <w:rFonts w:ascii="Arial" w:hAnsi="Arial" w:eastAsia="Arial" w:cs="Arial"/>
        </w:rPr>
      </w:pPr>
      <w:r>
        <w:rPr>
          <w:rFonts w:eastAsia="Arial" w:cs="Arial" w:ascii="Arial" w:hAnsi="Arial"/>
        </w:rPr>
      </w:r>
    </w:p>
    <w:p>
      <w:pPr>
        <w:pStyle w:val="Normal"/>
        <w:numPr>
          <w:ilvl w:val="0"/>
          <w:numId w:val="27"/>
        </w:numPr>
        <w:tabs>
          <w:tab w:val="clear" w:pos="720"/>
          <w:tab w:val="left" w:pos="553" w:leader="none"/>
        </w:tabs>
        <w:spacing w:lineRule="auto" w:line="235"/>
        <w:ind w:firstLine="44" w:start="100" w:end="20"/>
        <w:rPr>
          <w:rFonts w:ascii="Arial" w:hAnsi="Arial" w:eastAsia="Arial" w:cs="Arial"/>
        </w:rPr>
      </w:pPr>
      <w:r>
        <w:rPr>
          <w:rFonts w:eastAsia="Arial" w:cs="Arial" w:ascii="Arial" w:hAnsi="Arial"/>
        </w:rPr>
        <w:t>loss of and/or damage to and/or loss of use of any property (including the aircraft in connection with which the Products, Technical Data or Documentation are provided).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pPr>
      <w:r>
        <w:rPr>
          <w:rFonts w:eastAsia="Arial" w:cs="Arial" w:ascii="Arial" w:hAnsi="Arial"/>
        </w:rPr>
        <w:t xml:space="preserve">9.2. </w:t>
      </w:r>
      <w:r>
        <w:rPr>
          <w:rFonts w:eastAsia="Arial" w:cs="Arial" w:ascii="Arial" w:hAnsi="Arial"/>
          <w:u w:val="single"/>
        </w:rPr>
        <w:t>LIMITATION OF LIABILITY</w:t>
      </w:r>
    </w:p>
    <w:p>
      <w:pPr>
        <w:pStyle w:val="Normal"/>
        <w:spacing w:lineRule="exact" w:line="246"/>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uto" w:line="254"/>
        <w:ind w:hanging="1" w:start="100" w:end="0"/>
        <w:jc w:val="both"/>
        <w:rPr/>
      </w:pPr>
      <w:r>
        <w:rPr>
          <w:rFonts w:eastAsia="Arial" w:cs="Arial" w:ascii="Arial" w:hAnsi="Arial"/>
          <w:sz w:val="19"/>
        </w:rPr>
        <w:t>THE WARRANTIES, OBLIGATIONS AND LIABILITIES OF SELLER (AS “SELLER” IS DEFINED BELOW FOR THE PURPOSES OF THIS SECTION) AND REMEDIES OF CUSTOMER SET FORTH IN THESE TERMS ARE EXCLUSIVE AND IN SUBSTITUTION FOR, AND TO THE FULLEST EXTENT PERMITTED BY LAW CUSTOMER HEREBY WAIVES, RELEASES AND RENOUNCES ALL OTHER WARRANTIES, OBLIGATIONS AND LIABILITIES OF SELLER AND RIGHTS, CLAIMS AND REMEDIES OF CUSTOMER AGAINST SELLER, EXPRESS OR IMPLIED HOWSOEVER, ARISING BY LAW OR</w:t>
      </w:r>
    </w:p>
    <w:p>
      <w:pPr>
        <w:pStyle w:val="Normal"/>
        <w:spacing w:lineRule="exact" w:line="18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7</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953"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
                <wp:simplePos x="0" y="0"/>
                <wp:positionH relativeFrom="column">
                  <wp:posOffset>38100</wp:posOffset>
                </wp:positionH>
                <wp:positionV relativeFrom="paragraph">
                  <wp:posOffset>5715</wp:posOffset>
                </wp:positionV>
                <wp:extent cx="5908040" cy="0"/>
                <wp:effectExtent l="0" t="4445" r="0" b="4445"/>
                <wp:wrapNone/>
                <wp:docPr id="11"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0"/>
        <w:ind w:start="100" w:end="0"/>
        <w:jc w:val="both"/>
        <w:rPr/>
      </w:pPr>
      <w:bookmarkStart w:id="7" w:name="page8"/>
      <w:bookmarkEnd w:id="7"/>
      <w:r>
        <w:rPr>
          <w:rFonts w:eastAsia="Arial" w:cs="Arial" w:ascii="Arial" w:hAnsi="Arial"/>
        </w:rPr>
        <w:t>OTHERWISE, WITH RESPECT TO ANY, PRODUCTS AND SERVICES DELIVERED UNDER THESE TERMS INCLUDING BUT NOT LIMITED TO : (A) ANY WARRANTY AGAINST HIDDEN DEFECTS (GARANTIE DES VICES CACHES) ; (B) ANY IMPLIED WARRANTY OF MERCHANTABILITY OR FITNESS FOR PURPOSE; (C) ANY IMPLIED WARRANTY ARISING FROM COURSE OF PERFORMANCE, COURSE OF DEALING OR USAGE OF TRADE ; (D) ANY OBLIGATION, LIABILITY, RIGHT, CLAIM OR REMEDY, WHETHER CONTRACTUAL OR DELICTUAL AND WHETHER OR NOT ARISING FROM SELLER’S NEGLIGENCE, ACTUAL OR IMPUTED</w:t>
      </w:r>
      <w:r>
        <w:rPr>
          <w:rFonts w:eastAsia="Times New Roman" w:cs="Times New Roman" w:ascii="Times New Roman" w:hAnsi="Times New Roman"/>
          <w:sz w:val="32"/>
        </w:rPr>
        <w:t xml:space="preserve"> </w:t>
      </w:r>
      <w:r>
        <w:rPr>
          <w:rFonts w:eastAsia="Times New Roman" w:cs="Times New Roman" w:ascii="Times New Roman" w:hAnsi="Times New Roman"/>
          <w:sz w:val="32"/>
          <w:vertAlign w:val="superscript"/>
        </w:rPr>
        <w:t>(</w:t>
      </w:r>
      <w:r>
        <w:rPr>
          <w:rFonts w:eastAsia="Arial" w:cs="Arial" w:ascii="Arial" w:hAnsi="Arial"/>
        </w:rPr>
        <w:t>SAVE IN CASE OF SELLER’S GROSS NEGLIGENCE OR WILLFUL MISCONDUCT) ; AND (E) ANY OBLIGATION, LIABILITY, RIGHT, CLAIM OR REMEDY FOR LOSS OF OR DAMAGE TO PRODUCTS AND/OR SERVICES. SELLER SHALL HAVE NO OBLIGATION OR LIABILITY, HOWSOEVER ARISING, FOR LOSS OF USE, REVENUE OR PROFIT OR FOR ANY OTHER INDIRECT, INCIDENTAL, OR CONSEQUENTIAL DAMAGES WITH RESPECT TO ANY SELLER’S PARTS AND/OR PRODUCTS AND/OR SERVICES DELIVERED UNDER THE SUPPLY AGREEMENT.</w:t>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For the purposes of this Section, "Seller" shall include Seller, any of its suppliers, cocontractors, subcontractors, its Affiliates, and any of their respective insurers.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INSURANCE</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rPr>
        <w:t>Customer shall maintain, at its own costs, adequate insurance with respect to the undertakings of Customer in the relevant Supply Agreement and shall provide, upon Seller’s request, certificates of insurance from Customer’s insurance company or Customer’s broker, in English, evidencing such insurance coverage, in a form acceptable to Seller.</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Customer shall cause Seller, its Affiliates, their respective subcontractors, the assignees of each of the foregoing and their respective directors, officers, employees and agents and their respective insurers to be named as additional insured under Customer’s Comprehensive Aviation Legal Liability insurance policies, including War Risks and Allied Perils (such insurance shall include the AVN52E Extended Coverage Endorsement (aviation liabilities) or any further Endorsement replacing AVN52E as may be available as well as coverage in respect of War and Allied Perils Third Parties Legal Liabilities insurance) to the extent of Customer's undertaking hereunder.</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With respect to Customer's Hull All Risks and Hull War Risks and Allied Perils insurance, Customer shall cause the insurers of Customer's hull insurance policies to waive all rights of subrogation against Seller, its Affiliates, their respective sub-contractors, the assignees of each of the foregoing and their respective directors, officers, employees and agents and their respective insurers to the extent of Customer's undertaking hereunder.</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1" w:start="100" w:end="0"/>
        <w:jc w:val="both"/>
        <w:rPr/>
      </w:pPr>
      <w:r>
        <w:rPr>
          <w:rFonts w:eastAsia="Arial" w:cs="Arial" w:ascii="Arial" w:hAnsi="Arial"/>
          <w:sz w:val="19"/>
        </w:rPr>
        <w:t>Any applicable deductible shall be borne by Customer with respect to the above policies. Customer shall furnish to Seller, prior to the estimated Delivery Date of Products and/or to the start of any Services performed on Aircraft, a certificate of insurance compliant with the above provisions and certifying that such policies have been endorsed as follows: (i) Customer's policies shall be primary and non-contributory to any insurance maintained by Seller; (ii) such insurance shall not become ineffective, cancelled, or coverage decreased or materially changed in a manner adverse to the additional insured including non-payment of premium by the giving of not less than thirty (30) days’ notice in writing to Seller (seven days</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29"/>
        </w:numPr>
        <w:tabs>
          <w:tab w:val="clear" w:pos="720"/>
          <w:tab w:val="left" w:pos="390" w:leader="none"/>
        </w:tabs>
        <w:spacing w:lineRule="auto" w:line="237"/>
        <w:ind w:hanging="8" w:start="100" w:end="0"/>
        <w:jc w:val="both"/>
        <w:rPr>
          <w:rFonts w:ascii="Arial" w:hAnsi="Arial" w:eastAsia="Arial" w:cs="Arial"/>
        </w:rPr>
      </w:pPr>
      <w:r>
        <w:rPr>
          <w:rFonts w:eastAsia="Arial" w:cs="Arial" w:ascii="Arial" w:hAnsi="Arial"/>
        </w:rPr>
        <w:t>or such lesser period as maybe customarily available in respect of War and Allied Risks); and (iii) under any such cover, all rights of subrogation against Seller have been waived to the extent of Customer's undertaking hereunder.</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rPr>
          <w:rFonts w:ascii="Arial" w:hAnsi="Arial" w:eastAsia="Arial" w:cs="Arial"/>
        </w:rPr>
      </w:pPr>
      <w:r>
        <w:rPr>
          <w:rFonts w:eastAsia="Arial" w:cs="Arial" w:ascii="Arial" w:hAnsi="Arial"/>
        </w:rPr>
        <w:t>Should Customer not be the Operator or the Owner, Customer shall ensure that the Operator or the Owner complies with all obligations specified in connection with the above insurance requirements.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INTELLECTUAL PROPERTY RIGHTS OF PRODUCTS AND SERVICES AND EULA</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11.1.</w:t>
      </w:r>
      <w:r>
        <w:rPr>
          <w:rFonts w:eastAsia="Times New Roman" w:cs="Times New Roman" w:ascii="Times New Roman" w:hAnsi="Times New Roman"/>
        </w:rPr>
        <w:tab/>
      </w:r>
      <w:r>
        <w:rPr>
          <w:rFonts w:eastAsia="Arial" w:cs="Arial" w:ascii="Arial" w:hAnsi="Arial"/>
          <w:sz w:val="19"/>
          <w:u w:val="single"/>
        </w:rPr>
        <w:t>License and conditions of use of  IP Rights</w:t>
      </w:r>
    </w:p>
    <w:p>
      <w:pPr>
        <w:pStyle w:val="Normal"/>
        <w:spacing w:lineRule="exact" w:line="1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tLeast" w:line="0"/>
        <w:ind w:hanging="1" w:start="100" w:end="0"/>
        <w:jc w:val="both"/>
        <w:rPr/>
      </w:pPr>
      <w:r>
        <w:rPr>
          <w:rFonts w:eastAsia="Arial" w:cs="Arial" w:ascii="Arial" w:hAnsi="Arial"/>
        </w:rPr>
        <w:t>In the event that Products and/or Services include Seller’s IP Rights, Seller grants Customer upon complete payment and in consideration of the price, a personal, non-exclusive, non-transferable, world-wide, license to use such Seller’s IP Rights for the duration and for the Authorized Purpose set forth in the relevant Supply Agreement. Any other rights are expressly excluded and are retained by Seller or Seller’s licensor.</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1" w:start="100" w:end="0"/>
        <w:jc w:val="both"/>
        <w:rPr/>
      </w:pPr>
      <w:r>
        <w:rPr>
          <w:rFonts w:eastAsia="Arial" w:cs="Arial" w:ascii="Arial" w:hAnsi="Arial"/>
          <w:sz w:val="19"/>
        </w:rPr>
        <w:t>Customer acknowledges that Seller’s IP may contain Third Party IP. Customer’ access to and use of Third Party IP including but not limited to open source software, is as specified in the relevant Supply Agreement</w:t>
      </w:r>
    </w:p>
    <w:p>
      <w:pPr>
        <w:pStyle w:val="Normal"/>
        <w:spacing w:lineRule="exact" w:line="18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8</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3">
                <wp:simplePos x="0" y="0"/>
                <wp:positionH relativeFrom="column">
                  <wp:posOffset>38100</wp:posOffset>
                </wp:positionH>
                <wp:positionV relativeFrom="paragraph">
                  <wp:posOffset>5715</wp:posOffset>
                </wp:positionV>
                <wp:extent cx="5908040" cy="0"/>
                <wp:effectExtent l="0" t="4445" r="0" b="4445"/>
                <wp:wrapNone/>
                <wp:docPr id="12"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7"/>
        <w:ind w:start="100" w:end="0"/>
        <w:jc w:val="both"/>
        <w:rPr>
          <w:rFonts w:ascii="Arial" w:hAnsi="Arial" w:eastAsia="Arial" w:cs="Arial"/>
        </w:rPr>
      </w:pPr>
      <w:bookmarkStart w:id="8" w:name="page9"/>
      <w:bookmarkEnd w:id="8"/>
      <w:r>
        <w:rPr>
          <w:rFonts w:eastAsia="Arial" w:cs="Arial" w:ascii="Arial" w:hAnsi="Arial"/>
        </w:rPr>
        <w:t>and as part of a Service and/or Product, subject to Customer complying with the licensing terms and conditions applicable to such Third Party IP. Seller disclaims any liability in relation to such Third Party IP, including any access to or usage thereof.</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11.2.</w:t>
      </w:r>
      <w:r>
        <w:rPr>
          <w:rFonts w:eastAsia="Times New Roman" w:cs="Times New Roman" w:ascii="Times New Roman" w:hAnsi="Times New Roman"/>
        </w:rPr>
        <w:tab/>
      </w:r>
      <w:r>
        <w:rPr>
          <w:rFonts w:eastAsia="Arial" w:cs="Arial" w:ascii="Arial" w:hAnsi="Arial"/>
          <w:sz w:val="19"/>
          <w:u w:val="single"/>
        </w:rPr>
        <w:t>Restriction of use</w:t>
      </w:r>
    </w:p>
    <w:p>
      <w:pPr>
        <w:pStyle w:val="Normal"/>
        <w:spacing w:lineRule="exact" w:line="15"/>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uto" w:line="254"/>
        <w:ind w:hanging="1" w:start="100" w:end="0"/>
        <w:jc w:val="both"/>
        <w:rPr/>
      </w:pPr>
      <w:r>
        <w:rPr>
          <w:rFonts w:eastAsia="Arial" w:cs="Arial" w:ascii="Arial" w:hAnsi="Arial"/>
          <w:sz w:val="19"/>
        </w:rPr>
        <w:t xml:space="preserve">In the event that Products and/or Services include Seller’s IP Rights and/or Third Parties IP (together referred to in this clause 11.2 as “IP”), and unless otherwise agreed in writing in the Supply Agreement(s), Customer, shall not, and shall not authorize any third party to, without limitation, (i) extract, all or any part of IP, or create any derivative work from all or part of IP; (ii) reverse engineer, decompile, disassemble or transform, in any way IP and/or the object code of the software and/or digital solution into source code or in any other way attempt to discover, copy, transfer or distribute source code or underlying ideas or algorithms of software and/or digital solution; (iii) provide, distribute, sublicense, assign, share, sell, rent, lease, loan, use IP for time sharing or service bureau purposes or otherwise allow others to use IP or the right to use IP in any way for the benefit of third parties; (iv) delete or modify any copyright, </w:t>
      </w:r>
      <w:r>
        <w:rPr>
          <w:rFonts w:eastAsia="Arial" w:cs="Arial" w:ascii="Arial" w:hAnsi="Arial"/>
          <w:i/>
          <w:sz w:val="19"/>
        </w:rPr>
        <w:t>droits d’auteur,</w:t>
      </w:r>
      <w:r>
        <w:rPr>
          <w:rFonts w:eastAsia="Arial" w:cs="Arial" w:ascii="Arial" w:hAnsi="Arial"/>
          <w:sz w:val="19"/>
        </w:rPr>
        <w:t xml:space="preserve"> trademark or any other proprietary right notice or logo of Seller or its suppliers; (v) adapt any part of IP nor integrate all or part of IP in any manner whatsoever into another product or service or solution; or (vi) use the IP for any purposes other than the Authorized Purpose.</w:t>
      </w:r>
    </w:p>
    <w:p>
      <w:pPr>
        <w:pStyle w:val="Normal"/>
        <w:spacing w:lineRule="exact" w:line="225"/>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1520" w:leader="none"/>
        </w:tabs>
        <w:spacing w:lineRule="atLeast" w:line="0"/>
        <w:ind w:start="440" w:end="0"/>
        <w:rPr/>
      </w:pPr>
      <w:r>
        <w:rPr>
          <w:rFonts w:eastAsia="Arial" w:cs="Arial" w:ascii="Arial" w:hAnsi="Arial"/>
        </w:rPr>
        <w:t>11.3.</w:t>
      </w:r>
      <w:r>
        <w:rPr>
          <w:rFonts w:eastAsia="Times New Roman" w:cs="Times New Roman" w:ascii="Times New Roman" w:hAnsi="Times New Roman"/>
        </w:rPr>
        <w:tab/>
      </w:r>
      <w:r>
        <w:rPr>
          <w:rFonts w:eastAsia="Arial" w:cs="Arial" w:ascii="Arial" w:hAnsi="Arial"/>
          <w:sz w:val="19"/>
          <w:u w:val="single"/>
        </w:rPr>
        <w:t>Update of a Service, software or digital solution</w:t>
      </w:r>
    </w:p>
    <w:p>
      <w:pPr>
        <w:pStyle w:val="Normal"/>
        <w:spacing w:lineRule="exact" w:line="15"/>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uto" w:line="237"/>
        <w:ind w:hanging="1" w:start="100" w:end="0"/>
        <w:jc w:val="both"/>
        <w:rPr>
          <w:rFonts w:ascii="Arial" w:hAnsi="Arial" w:eastAsia="Arial" w:cs="Arial"/>
        </w:rPr>
      </w:pPr>
      <w:r>
        <w:rPr>
          <w:rFonts w:eastAsia="Arial" w:cs="Arial" w:ascii="Arial" w:hAnsi="Arial"/>
        </w:rPr>
        <w:t>Customer shall install any Update provided by Seller, at its own cost, in accordance with the time schedule notified with the provision of such Update. In the event of Customer failing to install any such Update, Seller shall be relieved of any warranty or liability of any kind with respect to the conformity or operation of the Service, software or digital solution.</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100" w:end="0"/>
        <w:jc w:val="both"/>
        <w:rPr/>
      </w:pPr>
      <w:r>
        <w:rPr>
          <w:rFonts w:eastAsia="Arial" w:cs="Arial" w:ascii="Arial" w:hAnsi="Arial"/>
        </w:rPr>
        <w:t>Seller reserves the right to correct and modify any Services, sold as a software as a service (SaaS), platform as a service (PaaS) or any other “as a service” form, at its sole discretion and Customer shall be informed by consulting the Services of any Update.</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11.4.</w:t>
      </w:r>
      <w:r>
        <w:rPr>
          <w:rFonts w:eastAsia="Times New Roman" w:cs="Times New Roman" w:ascii="Times New Roman" w:hAnsi="Times New Roman"/>
        </w:rPr>
        <w:tab/>
      </w:r>
      <w:r>
        <w:rPr>
          <w:rFonts w:eastAsia="Arial" w:cs="Arial" w:ascii="Arial" w:hAnsi="Arial"/>
          <w:sz w:val="19"/>
          <w:u w:val="single"/>
        </w:rPr>
        <w:t>Delegation to third parties</w:t>
      </w:r>
    </w:p>
    <w:p>
      <w:pPr>
        <w:pStyle w:val="Normal"/>
        <w:spacing w:lineRule="exact" w:line="15"/>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uto" w:line="240"/>
        <w:ind w:hanging="1" w:start="100" w:end="0"/>
        <w:jc w:val="both"/>
        <w:rPr/>
      </w:pPr>
      <w:r>
        <w:rPr>
          <w:rFonts w:eastAsia="Arial" w:cs="Arial" w:ascii="Arial" w:hAnsi="Arial"/>
        </w:rPr>
        <w:t>Without prejudice to Clauses 11.1, 11.2 and 11.3, in the event of Customer intending to designate a maintenance and repair organization or a third party or any parent, subsidiary of Customer to perform the maintenance of the Aircraft or to perform data processing on its behalf and requiring for such activities, access to Seller’s IP, (each a “Service Provider”), Customer shall notify Seller of such request. Would Seller accept this request, access to the Seller’s IP is subject to the signature by the Service Provider and Seller of, and compliance at all times with, an appropriate licensing agreement, at technical and commercial conditions to be further agreed.</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11.5.</w:t>
      </w:r>
      <w:r>
        <w:rPr>
          <w:rFonts w:eastAsia="Times New Roman" w:cs="Times New Roman" w:ascii="Times New Roman" w:hAnsi="Times New Roman"/>
        </w:rPr>
        <w:tab/>
      </w:r>
      <w:r>
        <w:rPr>
          <w:rFonts w:eastAsia="Arial" w:cs="Arial" w:ascii="Arial" w:hAnsi="Arial"/>
          <w:u w:val="single"/>
        </w:rPr>
        <w:t>Intellectual property right infringement indemnity</w:t>
      </w:r>
    </w:p>
    <w:p>
      <w:pPr>
        <w:pStyle w:val="Normal"/>
        <w:spacing w:lineRule="exact" w:line="8"/>
        <w:rPr>
          <w:rFonts w:ascii="Times New Roman" w:hAnsi="Times New Roman" w:eastAsia="Times New Roman" w:cs="Times New Roman"/>
          <w:u w:val="single"/>
        </w:rPr>
      </w:pPr>
      <w:r>
        <w:rPr>
          <w:rFonts w:eastAsia="Times New Roman" w:cs="Times New Roman" w:ascii="Times New Roman" w:hAnsi="Times New Roman"/>
          <w:u w:val="single"/>
        </w:rPr>
      </w:r>
    </w:p>
    <w:p>
      <w:pPr>
        <w:pStyle w:val="Normal"/>
        <w:spacing w:lineRule="auto" w:line="232"/>
        <w:ind w:start="100" w:end="0"/>
        <w:jc w:val="both"/>
        <w:rPr>
          <w:rFonts w:ascii="Arial" w:hAnsi="Arial" w:eastAsia="Arial" w:cs="Arial"/>
        </w:rPr>
      </w:pPr>
      <w:r>
        <w:rPr>
          <w:rFonts w:eastAsia="Arial" w:cs="Arial" w:ascii="Arial" w:hAnsi="Arial"/>
        </w:rPr>
        <w:t>Seller warrants to Customer that it is duly authorised to provide Customer with Products and/or Services as set forth in the Supply Agreement.</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100" w:end="0"/>
        <w:jc w:val="both"/>
        <w:rPr/>
      </w:pPr>
      <w:r>
        <w:rPr>
          <w:rFonts w:eastAsia="Arial" w:cs="Arial" w:ascii="Arial" w:hAnsi="Arial"/>
          <w:sz w:val="19"/>
        </w:rPr>
        <w:t>Seller shall as sole and exclusive remedy defend, indemnify and hold Customer harmless from and against any third party claims alleging that use of any Products and/or Services, by the Customer, constitutes an infringement of any Intellectual Property Rights, of a third party, and agrees to bear all costs including notably any financial convictions made in connection with the infringement, attorney’s fees and any other legal fees that may be incurred by Customer as a consequence thereof. The foregoing obligations do not apply (i) where Customer continues using Products and/or Services after being notified by Seller of their allegedly infringing nature and provided with modifications by Seller that would have avoided the alleged infringement, (ii) where Customer’s use of Products and/or Services causing the alleged infringement is not permitted or as anticipated, indicated or specified under the Supply Agreement.</w:t>
      </w:r>
    </w:p>
    <w:p>
      <w:pPr>
        <w:pStyle w:val="Normal"/>
        <w:spacing w:lineRule="exact" w:line="119"/>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start="80" w:end="0"/>
        <w:jc w:val="both"/>
        <w:rPr/>
      </w:pPr>
      <w:r>
        <w:rPr>
          <w:rFonts w:eastAsia="Arial" w:cs="Arial" w:ascii="Arial" w:hAnsi="Arial"/>
        </w:rPr>
        <w:t>The Parties agree that the indemnification obligations provided in Article 9.1 shall apply, provided that: Customer (i) notifies Seller in writing of any such claim within fifteen (15) days once it receives notice of the claim; (ii) gives Seller sole control over the defence and any settlement negotiations; (iii) gives Seller the information, authority and assistance Seller needs to defend against or settle the claim; and (iv) furnish to Seller all data, papers and records within Customer’s control or possession relating to such claim or suit and acts, in such way as to mitigate damages and/or reduce the amount of royalties that may be payable as well as to minimize costs and expenses. Customer may choose to appoint its own legal counsel within the context of the claim, at its sole expense. Customer shall not admit any liability or make any payment or assume any expense, damages, costs or royalties to the third party asserting the claim without Seller’s prior written consent.</w: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SUBCONTRACTING</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rPr>
      </w:pPr>
      <w:r>
        <w:rPr>
          <w:rFonts w:eastAsia="Arial" w:cs="Arial" w:ascii="Arial" w:hAnsi="Arial"/>
        </w:rPr>
        <w:t>Seller shall be entitled to subcontract all or any part of the Services.</w:t>
      </w:r>
    </w:p>
    <w:p>
      <w:pPr>
        <w:pStyle w:val="Normal"/>
        <w:spacing w:lineRule="exact" w:line="1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9</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
                <wp:simplePos x="0" y="0"/>
                <wp:positionH relativeFrom="column">
                  <wp:posOffset>38100</wp:posOffset>
                </wp:positionH>
                <wp:positionV relativeFrom="paragraph">
                  <wp:posOffset>5715</wp:posOffset>
                </wp:positionV>
                <wp:extent cx="5908040" cy="0"/>
                <wp:effectExtent l="0" t="4445" r="0" b="4445"/>
                <wp:wrapNone/>
                <wp:docPr id="13"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5"/>
        <w:ind w:hanging="1" w:start="100" w:end="20"/>
        <w:rPr>
          <w:rFonts w:ascii="Arial" w:hAnsi="Arial" w:eastAsia="Arial" w:cs="Arial"/>
        </w:rPr>
      </w:pPr>
      <w:bookmarkStart w:id="9" w:name="page10"/>
      <w:bookmarkEnd w:id="9"/>
      <w:r>
        <w:rPr>
          <w:rFonts w:eastAsia="Arial" w:cs="Arial" w:ascii="Arial" w:hAnsi="Arial"/>
        </w:rPr>
        <w:t>Seller shall remain the sole point of contact regarding the performance of the Services unless otherwise agreed between the Parties in a Supply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TERMINATION AND/OR SUSPENSION</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13.1.</w:t>
      </w:r>
      <w:r>
        <w:rPr>
          <w:rFonts w:eastAsia="Times New Roman" w:cs="Times New Roman" w:ascii="Times New Roman" w:hAnsi="Times New Roman"/>
        </w:rPr>
        <w:tab/>
      </w:r>
      <w:r>
        <w:rPr>
          <w:rFonts w:eastAsia="Arial" w:cs="Arial" w:ascii="Arial" w:hAnsi="Arial"/>
          <w:sz w:val="19"/>
          <w:u w:val="single"/>
        </w:rPr>
        <w:t>Conditions</w:t>
      </w:r>
    </w:p>
    <w:p>
      <w:pPr>
        <w:pStyle w:val="Normal"/>
        <w:spacing w:lineRule="exact" w:line="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numPr>
          <w:ilvl w:val="0"/>
          <w:numId w:val="33"/>
        </w:numPr>
        <w:tabs>
          <w:tab w:val="clear" w:pos="720"/>
          <w:tab w:val="left" w:pos="600" w:leader="none"/>
        </w:tabs>
        <w:spacing w:lineRule="atLeast" w:line="0"/>
        <w:ind w:hanging="511" w:start="600" w:end="0"/>
        <w:rPr>
          <w:rFonts w:ascii="Arial" w:hAnsi="Arial" w:eastAsia="Arial" w:cs="Arial"/>
        </w:rPr>
      </w:pPr>
      <w:r>
        <w:rPr>
          <w:rFonts w:eastAsia="Arial" w:cs="Arial" w:ascii="Arial" w:hAnsi="Arial"/>
        </w:rPr>
        <w:t>Termination for Insolvency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5">
                <wp:simplePos x="0" y="0"/>
                <wp:positionH relativeFrom="column">
                  <wp:posOffset>56515</wp:posOffset>
                </wp:positionH>
                <wp:positionV relativeFrom="paragraph">
                  <wp:posOffset>-6985</wp:posOffset>
                </wp:positionV>
                <wp:extent cx="1813560" cy="0"/>
                <wp:effectExtent l="0" t="4445" r="0" b="4445"/>
                <wp:wrapNone/>
                <wp:docPr id="14" name=""/>
                <a:graphic xmlns:a="http://schemas.openxmlformats.org/drawingml/2006/main">
                  <a:graphicData uri="http://schemas.microsoft.com/office/word/2010/wordprocessingShape">
                    <wps:wsp>
                      <wps:cNvSpPr/>
                      <wps:spPr>
                        <a:xfrm>
                          <a:off x="0" y="0"/>
                          <a:ext cx="18136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5pt,-0.55pt" to="147.2pt,-0.55pt" stroked="t" o:allowincell="f" style="position:absolute">
                <v:stroke color="black" weight="9000" joinstyle="miter" endcap="flat"/>
                <v:fill o:detectmouseclick="t" on="false"/>
                <w10:wrap type="none"/>
              </v:line>
            </w:pict>
          </mc:Fallback>
        </mc:AlternateContent>
      </w:r>
    </w:p>
    <w:p>
      <w:pPr>
        <w:pStyle w:val="Normal"/>
        <w:spacing w:lineRule="auto" w:line="237"/>
        <w:ind w:hanging="1" w:start="100" w:end="0"/>
        <w:jc w:val="both"/>
        <w:rPr>
          <w:rFonts w:ascii="Arial" w:hAnsi="Arial" w:eastAsia="Arial" w:cs="Arial"/>
        </w:rPr>
      </w:pPr>
      <w:r>
        <w:rPr>
          <w:rFonts w:eastAsia="Arial" w:cs="Arial" w:ascii="Arial" w:hAnsi="Arial"/>
        </w:rPr>
        <w:t>Each Party may, to the full extent permitted by law, by written notice, terminate its obligations under these GTCS and the Supply Agreement, with immediate effect and without having to pay any indemnity, in the event the other Party:</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320" w:leader="none"/>
        </w:tabs>
        <w:spacing w:lineRule="atLeast" w:line="0"/>
        <w:ind w:hanging="231" w:start="320" w:end="0"/>
        <w:rPr>
          <w:rFonts w:ascii="Arial" w:hAnsi="Arial" w:eastAsia="Arial" w:cs="Arial"/>
        </w:rPr>
      </w:pPr>
      <w:r>
        <w:rPr>
          <w:rFonts w:eastAsia="Arial" w:cs="Arial" w:ascii="Arial" w:hAnsi="Arial"/>
        </w:rPr>
        <w:t>makes a general assignment for the benefit of creditors or becomes insolvent;</w:t>
      </w:r>
    </w:p>
    <w:p>
      <w:pPr>
        <w:pStyle w:val="Normal"/>
        <w:spacing w:lineRule="exact" w:line="2"/>
        <w:rPr>
          <w:rFonts w:ascii="Arial" w:hAnsi="Arial" w:eastAsia="Arial" w:cs="Arial"/>
        </w:rPr>
      </w:pPr>
      <w:r>
        <w:rPr>
          <w:rFonts w:eastAsia="Arial" w:cs="Arial" w:ascii="Arial" w:hAnsi="Arial"/>
        </w:rPr>
      </w:r>
    </w:p>
    <w:p>
      <w:pPr>
        <w:pStyle w:val="Normal"/>
        <w:numPr>
          <w:ilvl w:val="0"/>
          <w:numId w:val="34"/>
        </w:numPr>
        <w:tabs>
          <w:tab w:val="clear" w:pos="720"/>
          <w:tab w:val="left" w:pos="360" w:leader="none"/>
        </w:tabs>
        <w:spacing w:lineRule="atLeast" w:line="0"/>
        <w:ind w:hanging="271" w:start="360" w:end="0"/>
        <w:rPr>
          <w:rFonts w:ascii="Arial" w:hAnsi="Arial" w:eastAsia="Arial" w:cs="Arial"/>
        </w:rPr>
      </w:pPr>
      <w:r>
        <w:rPr>
          <w:rFonts w:eastAsia="Arial" w:cs="Arial" w:ascii="Arial" w:hAnsi="Arial"/>
        </w:rPr>
        <w:t>files a voluntary petition in bankruptcy;</w:t>
      </w:r>
    </w:p>
    <w:p>
      <w:pPr>
        <w:pStyle w:val="Normal"/>
        <w:spacing w:lineRule="exact" w:line="13"/>
        <w:rPr>
          <w:rFonts w:ascii="Arial" w:hAnsi="Arial" w:eastAsia="Arial" w:cs="Arial"/>
        </w:rPr>
      </w:pPr>
      <w:r>
        <w:rPr>
          <w:rFonts w:eastAsia="Arial" w:cs="Arial" w:ascii="Arial" w:hAnsi="Arial"/>
        </w:rPr>
      </w:r>
    </w:p>
    <w:p>
      <w:pPr>
        <w:pStyle w:val="Normal"/>
        <w:numPr>
          <w:ilvl w:val="0"/>
          <w:numId w:val="34"/>
        </w:numPr>
        <w:tabs>
          <w:tab w:val="clear" w:pos="720"/>
          <w:tab w:val="left" w:pos="423" w:leader="none"/>
        </w:tabs>
        <w:spacing w:lineRule="auto" w:line="235"/>
        <w:ind w:hanging="11" w:start="100" w:end="20"/>
        <w:rPr>
          <w:rFonts w:ascii="Arial" w:hAnsi="Arial" w:eastAsia="Arial" w:cs="Arial"/>
        </w:rPr>
      </w:pPr>
      <w:r>
        <w:rPr>
          <w:rFonts w:eastAsia="Arial" w:cs="Arial" w:ascii="Arial" w:hAnsi="Arial"/>
        </w:rPr>
        <w:t>petitions for or acquiesces in the appointment of any receiver, trustee or similar officer to liquidate or conserve its business or any substantial part of its assets;</w:t>
      </w:r>
    </w:p>
    <w:p>
      <w:pPr>
        <w:pStyle w:val="Normal"/>
        <w:spacing w:lineRule="exact" w:line="13"/>
        <w:rPr>
          <w:rFonts w:ascii="Arial" w:hAnsi="Arial" w:eastAsia="Arial" w:cs="Arial"/>
        </w:rPr>
      </w:pPr>
      <w:r>
        <w:rPr>
          <w:rFonts w:eastAsia="Arial" w:cs="Arial" w:ascii="Arial" w:hAnsi="Arial"/>
        </w:rPr>
      </w:r>
    </w:p>
    <w:p>
      <w:pPr>
        <w:pStyle w:val="Normal"/>
        <w:numPr>
          <w:ilvl w:val="0"/>
          <w:numId w:val="34"/>
        </w:numPr>
        <w:tabs>
          <w:tab w:val="clear" w:pos="720"/>
          <w:tab w:val="left" w:pos="455" w:leader="none"/>
        </w:tabs>
        <w:spacing w:lineRule="auto" w:line="237"/>
        <w:ind w:hanging="11" w:start="100" w:end="20"/>
        <w:jc w:val="both"/>
        <w:rPr>
          <w:rFonts w:ascii="Arial" w:hAnsi="Arial" w:eastAsia="Arial" w:cs="Arial"/>
        </w:rPr>
      </w:pPr>
      <w:r>
        <w:rPr>
          <w:rFonts w:eastAsia="Arial" w:cs="Arial" w:ascii="Arial" w:hAnsi="Arial"/>
        </w:rPr>
        <w:t>commences under the laws of any competent jurisdiction any proceeding involving its insolvency, bankruptcy, readjustment of debt, liquidation or any other similar proceeding for the relief of financially distressed debtors;</w:t>
      </w:r>
    </w:p>
    <w:p>
      <w:pPr>
        <w:pStyle w:val="Normal"/>
        <w:spacing w:lineRule="exact" w:line="14"/>
        <w:rPr>
          <w:rFonts w:ascii="Arial" w:hAnsi="Arial" w:eastAsia="Arial" w:cs="Arial"/>
        </w:rPr>
      </w:pPr>
      <w:r>
        <w:rPr>
          <w:rFonts w:eastAsia="Arial" w:cs="Arial" w:ascii="Arial" w:hAnsi="Arial"/>
        </w:rPr>
      </w:r>
    </w:p>
    <w:p>
      <w:pPr>
        <w:pStyle w:val="Normal"/>
        <w:numPr>
          <w:ilvl w:val="0"/>
          <w:numId w:val="34"/>
        </w:numPr>
        <w:tabs>
          <w:tab w:val="clear" w:pos="720"/>
          <w:tab w:val="left" w:pos="464" w:leader="none"/>
        </w:tabs>
        <w:spacing w:lineRule="auto" w:line="235"/>
        <w:ind w:hanging="11" w:start="100" w:end="0"/>
        <w:rPr>
          <w:rFonts w:ascii="Arial" w:hAnsi="Arial" w:eastAsia="Arial" w:cs="Arial"/>
        </w:rPr>
      </w:pPr>
      <w:r>
        <w:rPr>
          <w:rFonts w:eastAsia="Arial" w:cs="Arial" w:ascii="Arial" w:hAnsi="Arial"/>
        </w:rPr>
        <w:t>becomes the object of any proceeding or action of the type described in (iii) or (iv) above and such proceeding or action remains undismissed or unstayed for a period of at least sixty (60) days; or</w:t>
      </w:r>
    </w:p>
    <w:p>
      <w:pPr>
        <w:pStyle w:val="Normal"/>
        <w:spacing w:lineRule="exact" w:line="3"/>
        <w:rPr>
          <w:rFonts w:ascii="Arial" w:hAnsi="Arial" w:eastAsia="Arial" w:cs="Arial"/>
        </w:rPr>
      </w:pPr>
      <w:r>
        <w:rPr>
          <w:rFonts w:eastAsia="Arial" w:cs="Arial" w:ascii="Arial" w:hAnsi="Arial"/>
        </w:rPr>
      </w:r>
    </w:p>
    <w:p>
      <w:pPr>
        <w:pStyle w:val="Normal"/>
        <w:numPr>
          <w:ilvl w:val="0"/>
          <w:numId w:val="35"/>
        </w:numPr>
        <w:tabs>
          <w:tab w:val="clear" w:pos="720"/>
          <w:tab w:val="left" w:pos="460" w:leader="none"/>
        </w:tabs>
        <w:spacing w:lineRule="atLeast" w:line="0"/>
        <w:ind w:hanging="371" w:start="460" w:end="0"/>
        <w:rPr>
          <w:rFonts w:ascii="Arial" w:hAnsi="Arial" w:eastAsia="Arial" w:cs="Arial"/>
        </w:rPr>
      </w:pPr>
      <w:r>
        <w:rPr>
          <w:rFonts w:eastAsia="Arial" w:cs="Arial" w:ascii="Arial" w:hAnsi="Arial"/>
        </w:rPr>
        <w:t>is divested of a substantial part of its assets for a period of at least sixty (60) days.</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600" w:leader="none"/>
        </w:tabs>
        <w:spacing w:lineRule="atLeast" w:line="0"/>
        <w:ind w:hanging="511" w:start="600" w:end="0"/>
        <w:rPr>
          <w:rFonts w:ascii="Arial" w:hAnsi="Arial" w:eastAsia="Arial" w:cs="Arial"/>
        </w:rPr>
      </w:pPr>
      <w:r>
        <w:rPr>
          <w:rFonts w:eastAsia="Arial" w:cs="Arial" w:ascii="Arial" w:hAnsi="Arial"/>
        </w:rPr>
        <w:t>Termination and/or suspension for failure to pay down-payment or any invoice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6">
                <wp:simplePos x="0" y="0"/>
                <wp:positionH relativeFrom="column">
                  <wp:posOffset>56515</wp:posOffset>
                </wp:positionH>
                <wp:positionV relativeFrom="paragraph">
                  <wp:posOffset>-6985</wp:posOffset>
                </wp:positionV>
                <wp:extent cx="4702175" cy="0"/>
                <wp:effectExtent l="0" t="4445" r="0" b="4445"/>
                <wp:wrapNone/>
                <wp:docPr id="15" name=""/>
                <a:graphic xmlns:a="http://schemas.openxmlformats.org/drawingml/2006/main">
                  <a:graphicData uri="http://schemas.microsoft.com/office/word/2010/wordprocessingShape">
                    <wps:wsp>
                      <wps:cNvSpPr/>
                      <wps:spPr>
                        <a:xfrm>
                          <a:off x="0" y="0"/>
                          <a:ext cx="47023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5pt,-0.55pt" to="374.65pt,-0.55pt" stroked="t" o:allowincell="f" style="position:absolute">
                <v:stroke color="black" weight="9000" joinstyle="miter" endcap="flat"/>
                <v:fill o:detectmouseclick="t" on="false"/>
                <w10:wrap type="none"/>
              </v:line>
            </w:pict>
          </mc:Fallback>
        </mc:AlternateContent>
      </w:r>
    </w:p>
    <w:p>
      <w:pPr>
        <w:pStyle w:val="Normal"/>
        <w:spacing w:lineRule="auto" w:line="237"/>
        <w:ind w:hanging="1" w:start="100" w:end="0"/>
        <w:jc w:val="both"/>
        <w:rPr>
          <w:rFonts w:ascii="Arial" w:hAnsi="Arial" w:eastAsia="Arial" w:cs="Arial"/>
        </w:rPr>
      </w:pPr>
      <w:r>
        <w:rPr>
          <w:rFonts w:eastAsia="Arial" w:cs="Arial" w:ascii="Arial" w:hAnsi="Arial"/>
        </w:rPr>
        <w:t>Seller may, by written notice, suspend the performance of its obligations under the Supply Agreement if Seller does not receive the down-payment within a period of four (4) Business Days after placing the Purchase Order or signing the Specific Agreement or does not receive the payment of any invoice as per Supply Agreement at the date specified in the Supply Agreement.</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Upon written request by Seller, Customer shall immediately provide satisfactory evidence to Seller, that it will be able to make payment of the balance of the price of the Products and/or Services when such payment is due. Seller reserves the right to suspend delivery of all or part of the Products and/or Services until such evidence is provided.</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pPr>
      <w:r>
        <w:rPr>
          <w:rFonts w:eastAsia="Arial" w:cs="Arial" w:ascii="Arial" w:hAnsi="Arial"/>
        </w:rPr>
        <w:t>In case of Customer’s failure of its payment obligations in accordance with the Supply Agreement and if no evidence of payment is given by Customer, Seller reserves the right to terminate the Supply Agreement in compliance with clause 13.2.</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580" w:leader="none"/>
        </w:tabs>
        <w:spacing w:lineRule="atLeast" w:line="0"/>
        <w:ind w:hanging="491" w:start="580" w:end="0"/>
        <w:rPr>
          <w:rFonts w:ascii="Arial" w:hAnsi="Arial" w:eastAsia="Arial" w:cs="Arial"/>
        </w:rPr>
      </w:pPr>
      <w:r>
        <w:rPr>
          <w:rFonts w:eastAsia="Arial" w:cs="Arial" w:ascii="Arial" w:hAnsi="Arial"/>
        </w:rPr>
        <w:t>Termination for cause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7">
                <wp:simplePos x="0" y="0"/>
                <wp:positionH relativeFrom="column">
                  <wp:posOffset>56515</wp:posOffset>
                </wp:positionH>
                <wp:positionV relativeFrom="paragraph">
                  <wp:posOffset>-6985</wp:posOffset>
                </wp:positionV>
                <wp:extent cx="1545590" cy="0"/>
                <wp:effectExtent l="0" t="4445" r="0" b="4445"/>
                <wp:wrapNone/>
                <wp:docPr id="16" name=""/>
                <a:graphic xmlns:a="http://schemas.openxmlformats.org/drawingml/2006/main">
                  <a:graphicData uri="http://schemas.microsoft.com/office/word/2010/wordprocessingShape">
                    <wps:wsp>
                      <wps:cNvSpPr/>
                      <wps:spPr>
                        <a:xfrm>
                          <a:off x="0" y="0"/>
                          <a:ext cx="1545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5pt,-0.55pt" to="126.1pt,-0.55pt" stroked="t" o:allowincell="f" style="position:absolute">
                <v:stroke color="black" weight="9000" joinstyle="miter" endcap="flat"/>
                <v:fill o:detectmouseclick="t" on="false"/>
                <w10:wrap type="none"/>
              </v:line>
            </w:pict>
          </mc:Fallback>
        </mc:AlternateContent>
      </w:r>
    </w:p>
    <w:p>
      <w:pPr>
        <w:pStyle w:val="Normal"/>
        <w:spacing w:lineRule="atLeast" w:line="0"/>
        <w:ind w:start="80" w:end="0"/>
        <w:rPr>
          <w:rFonts w:ascii="Arial" w:hAnsi="Arial" w:eastAsia="Arial" w:cs="Arial"/>
        </w:rPr>
      </w:pPr>
      <w:r>
        <w:rPr>
          <w:rFonts w:eastAsia="Arial" w:cs="Arial" w:ascii="Arial" w:hAnsi="Arial"/>
        </w:rPr>
        <w:t>Each Party shall be entitled to terminate the Supply Agreement and without incurring any liability:</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220" w:leader="none"/>
        </w:tabs>
        <w:spacing w:lineRule="atLeast" w:line="0"/>
        <w:ind w:hanging="131" w:start="220" w:end="0"/>
        <w:rPr>
          <w:rFonts w:ascii="Arial" w:hAnsi="Arial" w:eastAsia="Arial" w:cs="Arial"/>
        </w:rPr>
      </w:pPr>
      <w:r>
        <w:rPr>
          <w:rFonts w:eastAsia="Arial" w:cs="Arial" w:ascii="Arial" w:hAnsi="Arial"/>
        </w:rPr>
        <w:t>If the other Party is in breach of any ABC/AML Legislation as described in Clause 15;</w:t>
      </w:r>
    </w:p>
    <w:p>
      <w:pPr>
        <w:pStyle w:val="Normal"/>
        <w:spacing w:lineRule="exact" w:line="2"/>
        <w:rPr>
          <w:rFonts w:ascii="Arial" w:hAnsi="Arial" w:eastAsia="Arial" w:cs="Arial"/>
        </w:rPr>
      </w:pPr>
      <w:r>
        <w:rPr>
          <w:rFonts w:eastAsia="Arial" w:cs="Arial" w:ascii="Arial" w:hAnsi="Arial"/>
        </w:rPr>
      </w:r>
    </w:p>
    <w:p>
      <w:pPr>
        <w:pStyle w:val="Normal"/>
        <w:numPr>
          <w:ilvl w:val="0"/>
          <w:numId w:val="38"/>
        </w:numPr>
        <w:tabs>
          <w:tab w:val="clear" w:pos="720"/>
          <w:tab w:val="left" w:pos="220" w:leader="none"/>
        </w:tabs>
        <w:spacing w:lineRule="atLeast" w:line="0"/>
        <w:ind w:hanging="131" w:start="220" w:end="0"/>
        <w:rPr>
          <w:rFonts w:ascii="Arial" w:hAnsi="Arial" w:eastAsia="Arial" w:cs="Arial"/>
        </w:rPr>
      </w:pPr>
      <w:r>
        <w:rPr>
          <w:rFonts w:eastAsia="Arial" w:cs="Arial" w:ascii="Arial" w:hAnsi="Arial"/>
        </w:rPr>
        <w:t>If the other Party is in breach of any Sanctions and Export Control as described in Clause 16.</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Seller shall be entitled to terminate the Supply Agreement and without incurring any liability if Customer is in material breach of any of its obligations under the Supply Agreement.</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13.2.</w:t>
      </w:r>
      <w:r>
        <w:rPr>
          <w:rFonts w:eastAsia="Times New Roman" w:cs="Times New Roman" w:ascii="Times New Roman" w:hAnsi="Times New Roman"/>
        </w:rPr>
        <w:tab/>
      </w:r>
      <w:r>
        <w:rPr>
          <w:rFonts w:eastAsia="Arial" w:cs="Arial" w:ascii="Arial" w:hAnsi="Arial"/>
          <w:sz w:val="19"/>
          <w:u w:val="single"/>
        </w:rPr>
        <w:t>Procedure</w:t>
      </w:r>
    </w:p>
    <w:p>
      <w:pPr>
        <w:pStyle w:val="Normal"/>
        <w:spacing w:lineRule="exact" w:line="1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uto" w:line="235"/>
        <w:ind w:hanging="1" w:start="100" w:end="0"/>
        <w:jc w:val="both"/>
        <w:rPr>
          <w:rFonts w:ascii="Arial" w:hAnsi="Arial" w:eastAsia="Arial" w:cs="Arial"/>
        </w:rPr>
      </w:pPr>
      <w:r>
        <w:rPr>
          <w:rFonts w:eastAsia="Arial" w:cs="Arial" w:ascii="Arial" w:hAnsi="Arial"/>
        </w:rPr>
        <w:t>The Party entitled to terminate the Supply Agreement shall give notice to the other Party of its intent by registered letter with bill of receipt.</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In case of termination for 13.1b) Termination and/or suspension for failure to pay down-payment or any invoice and c), “Termination for cause” the breaching Party shall, within thirty (30) Business Days after receiving notice specifying the nature of the breach, cure such breach, unless such default is of a nature that it cannot be cured within such thirty (30) Business Days period, in which case no default shall exist so long as the breaching Party shall commence the curing of the breach within such thirty (30) Business Days period and shall thereafter diligently prosecute curing the same.</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In case the breach is not cured in the conditions stated hereabove, the Supply Agreement may be terminated by sending a notice to the breaching Party.</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520" w:leader="none"/>
        </w:tabs>
        <w:spacing w:lineRule="atLeast" w:line="0"/>
        <w:ind w:start="440" w:end="0"/>
        <w:rPr/>
      </w:pPr>
      <w:r>
        <w:rPr>
          <w:rFonts w:eastAsia="Arial" w:cs="Arial" w:ascii="Arial" w:hAnsi="Arial"/>
        </w:rPr>
        <w:t>13.3.</w:t>
      </w:r>
      <w:r>
        <w:rPr>
          <w:rFonts w:eastAsia="Times New Roman" w:cs="Times New Roman" w:ascii="Times New Roman" w:hAnsi="Times New Roman"/>
        </w:rPr>
        <w:tab/>
      </w:r>
      <w:r>
        <w:rPr>
          <w:rFonts w:eastAsia="Arial" w:cs="Arial" w:ascii="Arial" w:hAnsi="Arial"/>
          <w:sz w:val="19"/>
          <w:u w:val="single"/>
        </w:rPr>
        <w:t>Duties upon termination</w:t>
      </w:r>
    </w:p>
    <w:p>
      <w:pPr>
        <w:pStyle w:val="Normal"/>
        <w:spacing w:lineRule="exact" w:line="3"/>
        <w:rPr>
          <w:rFonts w:ascii="Times New Roman" w:hAnsi="Times New Roman" w:eastAsia="Times New Roman" w:cs="Times New Roman"/>
          <w:sz w:val="19"/>
          <w:u w:val="single"/>
        </w:rPr>
      </w:pPr>
      <w:r>
        <w:rPr>
          <w:rFonts w:eastAsia="Times New Roman" w:cs="Times New Roman" w:ascii="Times New Roman" w:hAnsi="Times New Roman"/>
          <w:sz w:val="19"/>
          <w:u w:val="single"/>
        </w:rPr>
      </w:r>
    </w:p>
    <w:p>
      <w:pPr>
        <w:pStyle w:val="Normal"/>
        <w:spacing w:lineRule="atLeast" w:line="0"/>
        <w:ind w:start="80" w:end="0"/>
        <w:rPr>
          <w:rFonts w:ascii="Arial" w:hAnsi="Arial" w:eastAsia="Arial" w:cs="Arial"/>
        </w:rPr>
      </w:pPr>
      <w:r>
        <w:rPr>
          <w:rFonts w:eastAsia="Arial" w:cs="Arial" w:ascii="Arial" w:hAnsi="Arial"/>
        </w:rPr>
        <w:t>At the expiry or termination of the Supply Agreement, for whatever reason, Customer:</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495" w:leader="none"/>
        </w:tabs>
        <w:spacing w:lineRule="auto" w:line="237"/>
        <w:ind w:hanging="351" w:start="440" w:end="0"/>
        <w:jc w:val="both"/>
        <w:rPr>
          <w:rFonts w:ascii="Arial" w:hAnsi="Arial" w:eastAsia="Arial" w:cs="Arial"/>
        </w:rPr>
      </w:pPr>
      <w:r>
        <w:rPr>
          <w:rFonts w:eastAsia="Arial" w:cs="Arial" w:ascii="Arial" w:hAnsi="Arial"/>
        </w:rPr>
        <w:t>shall pay to Seller, any and all amounts owed to Seller under such Supply Agreement and Seller's incurred costs at the effective date of termination, which shall automatically be due and payable on the effective date of termination;</w:t>
      </w:r>
    </w:p>
    <w:p>
      <w:pPr>
        <w:pStyle w:val="Normal"/>
        <w:spacing w:lineRule="exact" w:line="16"/>
        <w:rPr>
          <w:rFonts w:ascii="Arial" w:hAnsi="Arial" w:eastAsia="Arial" w:cs="Arial"/>
        </w:rPr>
      </w:pPr>
      <w:r>
        <w:rPr>
          <w:rFonts w:eastAsia="Arial" w:cs="Arial" w:ascii="Arial" w:hAnsi="Arial"/>
        </w:rPr>
      </w:r>
    </w:p>
    <w:p>
      <w:pPr>
        <w:pStyle w:val="Normal"/>
        <w:numPr>
          <w:ilvl w:val="0"/>
          <w:numId w:val="39"/>
        </w:numPr>
        <w:tabs>
          <w:tab w:val="clear" w:pos="720"/>
          <w:tab w:val="left" w:pos="440" w:leader="none"/>
        </w:tabs>
        <w:spacing w:lineRule="auto" w:line="237"/>
        <w:ind w:hanging="351" w:start="440" w:end="0"/>
        <w:jc w:val="both"/>
        <w:rPr>
          <w:rFonts w:ascii="Arial" w:hAnsi="Arial" w:eastAsia="Arial" w:cs="Arial"/>
        </w:rPr>
      </w:pPr>
      <w:r>
        <w:rPr>
          <w:rFonts w:eastAsia="Arial" w:cs="Arial" w:ascii="Arial" w:hAnsi="Arial"/>
        </w:rPr>
        <w:t>acknowledges that all rights, including license rights, granted to Customer by Seller under the Supply Agreement or made available by third party suppliers/providers in the context of the Supply Agreement, shall immediately expire, unless otherwise stated in the relevant Supply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10</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8">
                <wp:simplePos x="0" y="0"/>
                <wp:positionH relativeFrom="column">
                  <wp:posOffset>38100</wp:posOffset>
                </wp:positionH>
                <wp:positionV relativeFrom="paragraph">
                  <wp:posOffset>5715</wp:posOffset>
                </wp:positionV>
                <wp:extent cx="5908040" cy="0"/>
                <wp:effectExtent l="0" t="4445" r="0" b="4445"/>
                <wp:wrapNone/>
                <wp:docPr id="17"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5"/>
        <w:ind w:start="100" w:end="0"/>
        <w:jc w:val="both"/>
        <w:rPr/>
      </w:pPr>
      <w:bookmarkStart w:id="10" w:name="page11"/>
      <w:bookmarkEnd w:id="10"/>
      <w:r>
        <w:rPr>
          <w:rFonts w:eastAsia="Arial" w:cs="Arial" w:ascii="Arial" w:hAnsi="Arial"/>
        </w:rPr>
        <w:t>Upon the effective date of expiry or termination of the Supply Agreement for any reason whatsoever, each Party shall immediately cease using the other Party’s Confidential Information that such other Party has provided in connection with the Supply Agreement.</w:t>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both"/>
        <w:rPr>
          <w:rFonts w:ascii="Arial" w:hAnsi="Arial" w:eastAsia="Arial" w:cs="Arial"/>
        </w:rPr>
      </w:pPr>
      <w:r>
        <w:rPr>
          <w:rFonts w:eastAsia="Arial" w:cs="Arial" w:ascii="Arial" w:hAnsi="Arial"/>
        </w:rPr>
        <w:t>The provisions of the GTCS which by their nature should survive termination of the Supply Agreement, including without limitation those provisions addressing confidentiality, intellectual property, termination, limitation of liability, export authorization, governing laws and jurisdiction shall continue to apply after termination, mutatis mutandis.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CONFIDENTIALITY AND PROPRIETARY INFORMATION</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1" w:start="100" w:end="0"/>
        <w:jc w:val="both"/>
        <w:rPr>
          <w:rFonts w:ascii="Arial" w:hAnsi="Arial" w:eastAsia="Arial" w:cs="Arial"/>
          <w:sz w:val="19"/>
        </w:rPr>
      </w:pPr>
      <w:r>
        <w:rPr>
          <w:rFonts w:eastAsia="Arial" w:cs="Arial" w:ascii="Arial" w:hAnsi="Arial"/>
          <w:sz w:val="19"/>
        </w:rPr>
        <w:t>All proprietary information contained in the Products and/or Services and their respective documentation, including but not limited to price, quotations, equipment, materials, computer software, processes, specifications, patent, copyright, drawings, formulae, data, model, descriptions studies, codes and/or other information relating to the design, assembly, composition, manufacture, performance, application, or operation of the Products and/or Services, and/or any information marked as "Proprietary", "Confidential" or with some other similar marking or denomination or all information communicated orally and is said to be Proprietary or Confidential in its nature and which could be converted into tangible, visible or record form, as the case maybe, that Customer knows or should reasonably know is confidential (collectively the "Confidential Information") are and will remain the exclusive property of Seller and/or its Affiliates as the case may be. Those proprietary rights will also apply to any translation into a language or languages or media that may be performed or caused to be performed by Customer, if so authorised by Seller.</w:t>
      </w:r>
    </w:p>
    <w:p>
      <w:pPr>
        <w:pStyle w:val="Normal"/>
        <w:spacing w:lineRule="exact" w:line="23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hanging="1" w:start="100" w:end="0"/>
        <w:jc w:val="both"/>
        <w:rPr>
          <w:rFonts w:ascii="Arial" w:hAnsi="Arial" w:eastAsia="Arial" w:cs="Arial"/>
        </w:rPr>
      </w:pPr>
      <w:r>
        <w:rPr>
          <w:rFonts w:eastAsia="Arial" w:cs="Arial" w:ascii="Arial" w:hAnsi="Arial"/>
        </w:rPr>
        <w:t>The supply of the Confidential Information will not be construed as a further right for Customer to design or manufacture any aircraft or part thereof or spare part. Whenever Seller authorises Customer to manufacture certain items, such authorisation shall not be construed as express or implicit approval of Customer and/or of such manufactured items.</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Customer shall limit access to Confidential Information to its employees solely having a need to know and shall not use it for any other purposes than those for which the Confidential Information has been communicated.</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Confidential Information is supplied to Customer for the sole use of Customer who shall not disclose it or any part thereof to any third party without the prior written consent of Seller, save as permitted herein. Nevertheless, when disclosure of Confidential Information is required pursuant to any mandatory government or legal requirement imposed upon Customer, Customer shall give Seller prompt notice of any such request for disclosure, in due time, so that Seller may seek an appropriate protective order.</w:t>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rFonts w:ascii="Arial" w:hAnsi="Arial" w:eastAsia="Arial" w:cs="Arial"/>
        </w:rPr>
      </w:pPr>
      <w:r>
        <w:rPr>
          <w:rFonts w:eastAsia="Arial" w:cs="Arial" w:ascii="Arial" w:hAnsi="Arial"/>
        </w:rPr>
        <w:t>Customer shall protect the Confidential Information with, at least, the same degree of care as it uses to protect its own Confidential Information, but in no instance shall such standard be less than reasonable care for highly sensitive data.</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rFonts w:ascii="Arial" w:hAnsi="Arial" w:eastAsia="Arial" w:cs="Arial"/>
        </w:rPr>
      </w:pPr>
      <w:r>
        <w:rPr>
          <w:rFonts w:eastAsia="Arial" w:cs="Arial" w:ascii="Arial" w:hAnsi="Arial"/>
        </w:rPr>
        <w:t>Data pertaining to the operation, maintenance, configuration and/or modification of aircraft that are made available to Seller in the frame of the supply of the Products and/or Services may be shared by Seller with its Affiliates, suppliers, co-contractors, partners, advisors and agents, bound by confidentiality obligations, who can, as can Seller, and until otherwise notified by Customer by registered mail to Seller, use, analyse, aggregate, process, duplicate, transfer, modify, combine those data with other data and develop derivative works with such data, including for other purposes than the provision of the Products and Services. The provision of data to Seller shall not be construed as relieving Customer from any liability with respect to the aircraft, notably their operation, maintenance, airworthiness and with respect to the use of the data generated by such aircraft. Subject to applicable laws, regulations and contracts, Seller shall in particular be under no obligation to analyse any data and/or make reports to Customer, the Operator and/or the Owner of the Aircraft.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820" w:leader="none"/>
        </w:tabs>
        <w:spacing w:lineRule="auto" w:line="235"/>
        <w:ind w:hanging="11" w:start="100" w:end="0"/>
        <w:rPr>
          <w:rFonts w:ascii="Arial" w:hAnsi="Arial" w:eastAsia="Arial" w:cs="Arial"/>
        </w:rPr>
      </w:pPr>
      <w:r>
        <w:rPr>
          <w:rFonts w:eastAsia="Arial" w:cs="Arial" w:ascii="Arial" w:hAnsi="Arial"/>
          <w:u w:val="single"/>
        </w:rPr>
        <w:t>COMPLIANCE WITH ANTI BRIBERY &amp; CORRUPTION / ANTI MONEY LAUNDERING LEGISLATION</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rPr>
        <w:t>Each Party shall, at its own cost, comply (and shall ensure that its directors, officers, agents, employees and its Affiliates) comply with any ABC/AML legislation and with its obligations under this Clause 15. Customer shall provide to Seller any information that Seller may reasonably request from time to time in order to comply with the KYC Procedures (including information relating to the Customer’s corporate structure and ultimate beneficial ownership, and the Customer’s sources of financing).</w:t>
      </w: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11</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3"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9">
                <wp:simplePos x="0" y="0"/>
                <wp:positionH relativeFrom="column">
                  <wp:posOffset>38100</wp:posOffset>
                </wp:positionH>
                <wp:positionV relativeFrom="paragraph">
                  <wp:posOffset>5715</wp:posOffset>
                </wp:positionV>
                <wp:extent cx="5908040" cy="0"/>
                <wp:effectExtent l="0" t="4445" r="0" b="4445"/>
                <wp:wrapNone/>
                <wp:docPr id="18"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40"/>
        <w:ind w:hanging="1" w:start="100" w:end="0"/>
        <w:jc w:val="both"/>
        <w:rPr/>
      </w:pPr>
      <w:bookmarkStart w:id="11" w:name="page12"/>
      <w:bookmarkEnd w:id="11"/>
      <w:r>
        <w:rPr>
          <w:rFonts w:eastAsia="Arial" w:cs="Arial" w:ascii="Arial" w:hAnsi="Arial"/>
        </w:rPr>
        <w:t>Each Party hereby represents and warrants to the other that neither it nor any of its Affiliates (or any person associated with such Party or such Affiliate) has, as at the date hereof, paid, given, offered or received or agreed to pay, give, offer or receive any improper or illegal benefit (including in the form of any fee, commission, payment, salary, sponsorship, gift or other consideration) to and/or from any natural or legal person in connection with the entering into or the performance of this Agreement (an “Improper Benefit”).</w:t>
      </w:r>
    </w:p>
    <w:p>
      <w:pPr>
        <w:pStyle w:val="Normal"/>
        <w:spacing w:lineRule="exact" w:line="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The Parties hereby agree that if, in relation to this Agreement, a Party is found guilty of, or admits to, or enters into a settlement relating to, in each case, granting or receiving an Improper Benefit further to legal proceedings under any Applicable Legislation in respect of an Improper Benefit, the other Party may terminate all or part of this Agreement without any liability towards the first Party.</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pPr>
      <w:r>
        <w:rPr>
          <w:rFonts w:eastAsia="Arial" w:cs="Arial" w:ascii="Arial" w:hAnsi="Arial"/>
        </w:rPr>
        <w:t>Each Party undertakes that it will not, until such time as all of such Party’s obligations hereunder have been discharged in full, pay, give, offer or receive or agree to pay, give, offer or receive any Improper Benefit.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SANCTIONS AND EXPORT CONTROL</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16.1 Each Party represents to the other that neither it nor any of its Affiliates is a Sanctioned Person and undertakes at all times to conduct its business in compliance with all applicable Sanctions and Export Control Laws.</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rPr>
        <w:t>16.2 Customer shall identify any Technical Data or technology provided under this Supply Agreement that is subject to Sanctions and Export Control Laws. In such case, Customer shall provide Seller with all information necessary concerning the applicable Sanctions and Export Control Laws (e.g.: “end use statement”) and clearly mark the documentation with the appropriate Export Control Classification Number (ECCN), export license number, license exemptions and/or distribution restrictions.</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16.3 The Parties acknowledge that performance by Seller of its obligations under this Supply Agreement shall remain subject to obtaining, and to the terms of, any required Export License. In this regard, Customer shall provide Seller with all information necessary to obtain and to comply with any required Export License.</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rFonts w:ascii="Arial" w:hAnsi="Arial" w:eastAsia="Arial" w:cs="Arial"/>
        </w:rPr>
      </w:pPr>
      <w:r>
        <w:rPr>
          <w:rFonts w:eastAsia="Arial" w:cs="Arial" w:ascii="Arial" w:hAnsi="Arial"/>
        </w:rPr>
        <w:t>In the event all or part of the Products and/or Services is subject to Sanctions and Export Control Laws in the country of Customer, Customer shall apply for any relevant import authorization and/or Export Licenses required for Seller to perform all or part of the Products and/or Services.</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16.4 If at any time following the entry into force of these GTCS and/or Supply Agreement, (i) a Party or any of its Affiliates becomes a Sanctioned Person or performance of a Party’s obligations under the Supply Agreement would constitute a breach of Sanctions and Export Control Laws (a “</w:t>
      </w:r>
      <w:r>
        <w:rPr>
          <w:rFonts w:eastAsia="Arial" w:cs="Arial" w:ascii="Arial" w:hAnsi="Arial"/>
          <w:b/>
        </w:rPr>
        <w:t>Sanctions Event</w:t>
      </w:r>
      <w:r>
        <w:rPr>
          <w:rFonts w:eastAsia="Arial" w:cs="Arial" w:ascii="Arial" w:hAnsi="Arial"/>
        </w:rPr>
        <w:t>”), the affected Party shall promptly notify the other Party and the Parties shall, to the extent permitted by applicable Sanctions and Export Laws, consult with each other with a view to mitigating the effects of such Sanctions Event. Such consultation is without prejudice to the right of either Party to suspend its obligations under this Supply Agreement, including to the right of Seller to deny the access to any digital tool or system when applicable, at any time following the occurrence of a Sanctions Event.</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1" w:start="100" w:end="20"/>
        <w:jc w:val="both"/>
        <w:rPr>
          <w:rFonts w:ascii="Arial" w:hAnsi="Arial" w:eastAsia="Arial" w:cs="Arial"/>
          <w:sz w:val="19"/>
        </w:rPr>
      </w:pPr>
      <w:r>
        <w:rPr>
          <w:rFonts w:eastAsia="Arial" w:cs="Arial" w:ascii="Arial" w:hAnsi="Arial"/>
          <w:sz w:val="19"/>
        </w:rPr>
        <w:t>If performance of the obligations of the Parties cannot be lawfully resumed within a period of eighteen (18) months after the occurrence of a Sanctions Event which is continuing, either Party may terminate the Supply Agreement at any time without any liability towards the other Party, upon notice to the other Party.</w:t>
      </w:r>
    </w:p>
    <w:p>
      <w:pPr>
        <w:pStyle w:val="Normal"/>
        <w:spacing w:lineRule="exact" w:line="233"/>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hanging="1" w:start="100" w:end="0"/>
        <w:jc w:val="both"/>
        <w:rPr>
          <w:rFonts w:ascii="Arial" w:hAnsi="Arial" w:eastAsia="Arial" w:cs="Arial"/>
        </w:rPr>
      </w:pPr>
      <w:r>
        <w:rPr>
          <w:rFonts w:eastAsia="Arial" w:cs="Arial" w:ascii="Arial" w:hAnsi="Arial"/>
        </w:rPr>
        <w:t>16.5 Customer undertakes to use the Products and/or Services exclusively for the purposes of civil aviation. Should Customer be entitled to export, re-export or transfer the Products and/or Services it shall be in strict compliance with applicable Sanctions and Export Control Laws.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GENERAL DATA PROTECTION REGULATION</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rPr>
        <w:t>“</w:t>
      </w:r>
      <w:r>
        <w:rPr>
          <w:rFonts w:eastAsia="Arial" w:cs="Arial" w:ascii="Arial" w:hAnsi="Arial"/>
        </w:rPr>
        <w:t>General Data Protection Regulation” or “GDPR” means the European Union regulation (EU) 2016/679 of the European Parliament and of the Council of 27 April 2016 on the protection of natural persons with regard to the processing of personal data and on the free movement of such data, and repealing Directive 95/46/EC, as amended from time to time.</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1" w:start="100" w:end="0"/>
        <w:jc w:val="both"/>
        <w:rPr/>
      </w:pPr>
      <w:r>
        <w:rPr>
          <w:rFonts w:eastAsia="Arial" w:cs="Arial" w:ascii="Arial" w:hAnsi="Arial"/>
          <w:sz w:val="19"/>
        </w:rPr>
        <w:t>“</w:t>
      </w:r>
      <w:r>
        <w:rPr>
          <w:rFonts w:eastAsia="Arial" w:cs="Arial" w:ascii="Arial" w:hAnsi="Arial"/>
          <w:sz w:val="19"/>
        </w:rPr>
        <w:t>Personal Data" means any information relating to an identified or identifiable natural person</w:t>
      </w:r>
      <w:r>
        <w:rPr>
          <w:rFonts w:eastAsia="Arial" w:cs="Arial" w:ascii="Arial" w:hAnsi="Arial"/>
          <w:b/>
          <w:i/>
          <w:sz w:val="19"/>
        </w:rPr>
        <w:t>.</w:t>
      </w:r>
      <w:r>
        <w:rPr>
          <w:rFonts w:eastAsia="Arial" w:cs="Arial" w:ascii="Arial" w:hAnsi="Arial"/>
          <w:sz w:val="19"/>
        </w:rPr>
        <w:t xml:space="preserve"> An identifiable natural person is one who can be identified, directly or indirectly, in particular by reference to an identifier such as a name, an identification number, location data, an online identifier or to one or more</w:t>
      </w:r>
    </w:p>
    <w:p>
      <w:pPr>
        <w:pStyle w:val="Normal"/>
        <w:spacing w:lineRule="exact" w:line="18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12</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0">
                <wp:simplePos x="0" y="0"/>
                <wp:positionH relativeFrom="column">
                  <wp:posOffset>38100</wp:posOffset>
                </wp:positionH>
                <wp:positionV relativeFrom="paragraph">
                  <wp:posOffset>5715</wp:posOffset>
                </wp:positionV>
                <wp:extent cx="5908040" cy="0"/>
                <wp:effectExtent l="0" t="4445" r="0" b="4445"/>
                <wp:wrapNone/>
                <wp:docPr id="19"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5"/>
        <w:ind w:start="100" w:end="0"/>
        <w:jc w:val="both"/>
        <w:rPr>
          <w:rFonts w:ascii="Arial" w:hAnsi="Arial" w:eastAsia="Arial" w:cs="Arial"/>
        </w:rPr>
      </w:pPr>
      <w:bookmarkStart w:id="12" w:name="page13"/>
      <w:bookmarkEnd w:id="12"/>
      <w:r>
        <w:rPr>
          <w:rFonts w:eastAsia="Arial" w:cs="Arial" w:ascii="Arial" w:hAnsi="Arial"/>
        </w:rPr>
        <w:t>factors specific to the physical, physiological, genetic, mental, economic, cultural or social identity of that natural person (as defined in GDPR).</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Each Party hereto, will ensure that it complies, at its own expense, with the requirements of the GDPR, as well as all any applicable national data protection laws and regulations (collectively referred as “Data Protection Laws and Regulations”) for the Personal Data that is provided or made available by one Party to the other Party in the course of the negotiation and performance of Agreement respectively as independent data controller and without joint-controllership (under the meaning of the GDPR). In particular, for the access and use of Seller portals, web sites, applications and/or digital services, Seller is data controller and the relevant Seller privacy notice will apply to Customer’s employees and/or representatives.</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rFonts w:ascii="Arial" w:hAnsi="Arial" w:eastAsia="Arial" w:cs="Arial"/>
        </w:rPr>
      </w:pPr>
      <w:r>
        <w:rPr>
          <w:rFonts w:eastAsia="Arial" w:cs="Arial" w:ascii="Arial" w:hAnsi="Arial"/>
        </w:rPr>
        <w:t>In the event and to the extent that the performance of the Supply Agreement implies other qualification between the Parties such as data controller to processor or joint-controllers qualification, the Parties will ensure to include appropriate data protection provisions as required by articles 26 and/or 28 and subs of the GDPR in the applicable Supply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FORCE MAJEURE</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1" w:start="100" w:end="0"/>
        <w:jc w:val="both"/>
        <w:rPr/>
      </w:pPr>
      <w:r>
        <w:rPr>
          <w:rFonts w:eastAsia="Arial" w:cs="Arial" w:ascii="Arial" w:hAnsi="Arial"/>
          <w:sz w:val="19"/>
        </w:rPr>
        <w:t>Seller shall not be responsible for any delays or interruption in the performance or non-performance or incorrect performance of any Supply Agreement and more generally of any of its obligations hereunder due to any event which is beyond Seller's control, including but not limited to: acts of God or the public enemy, natural disasters, fires, floods, explosions or earthquakes, serious accidents, total or constructive total loss; any law, decision, regulation, directive or any act of any government, governmental priorities, allocation regulations or of the EU authorities or of any department, commission, board, bureau, agency, court; any regulation or orders affecting the supply of Products and/or Services, facilities or completed aircraft ; war, civil war, warlike operations, terrorism, insurrections or riots, failure of transportation, epidemic, public health emergencies of international concern (PHEIC) or quarantine restrictions, strikes or labour troubles causing cessation, slowdown or interruption of work, delay after due and timely diligence to procure materials, accessories, software, equipment, parts and documentation, Seller’s subcontractors or suppliers being affected by the same events as previously described and acts of Customer.</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HARDSHIP</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Customer and Seller hereby agree to expressly exclude the application of Article 1195 of the French civil code to any Supply Agreement and Specific Agreement, including the last provision which entitles the court to revise the Supply Agreement or Specific Agreement or put an end to it upon the request of a Party.</w: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ASSIGNMENT</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1" w:start="100" w:end="0"/>
        <w:jc w:val="both"/>
        <w:rPr>
          <w:rFonts w:ascii="Arial" w:hAnsi="Arial" w:eastAsia="Arial" w:cs="Arial"/>
          <w:sz w:val="19"/>
        </w:rPr>
      </w:pPr>
      <w:r>
        <w:rPr>
          <w:rFonts w:eastAsia="Arial" w:cs="Arial" w:ascii="Arial" w:hAnsi="Arial"/>
          <w:sz w:val="19"/>
        </w:rPr>
        <w:t>Customer shall not assign a Supply Agreement or any interest therein or any rights thereunder (including the right to receive delivery) without the express prior written consent of Seller. Any assignment made without such consent shall be of no effect whatsoever between the Parties hereto. Notwithstanding the above, Seller shall be entitled to assign or transfer all or part of any Supply Agreement to any Affiliate, without further formalities and without remaining liability as from the assignment or transfer date.</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SEVERABILITY</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In the event that a provision of the GTCS and/or of any Supply Agreement is determined by any competent Court to be unlawful or unenforceable, it shall be severed from the GTCS and/or of any Supply Agreement and replaced with another lawful provision having substantially the same effect.</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Such replacement shall not affect any other provision, nor the balance of the GTCS and/or of any Supply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13</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717"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1">
                <wp:simplePos x="0" y="0"/>
                <wp:positionH relativeFrom="column">
                  <wp:posOffset>38100</wp:posOffset>
                </wp:positionH>
                <wp:positionV relativeFrom="paragraph">
                  <wp:posOffset>5715</wp:posOffset>
                </wp:positionV>
                <wp:extent cx="5908040" cy="0"/>
                <wp:effectExtent l="0" t="4445" r="0" b="4445"/>
                <wp:wrapNone/>
                <wp:docPr id="20"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numPr>
          <w:ilvl w:val="0"/>
          <w:numId w:val="48"/>
        </w:numPr>
        <w:tabs>
          <w:tab w:val="clear" w:pos="720"/>
          <w:tab w:val="left" w:pos="820" w:leader="none"/>
        </w:tabs>
        <w:spacing w:lineRule="atLeast" w:line="0"/>
        <w:ind w:hanging="731" w:start="820" w:end="0"/>
        <w:rPr>
          <w:rFonts w:ascii="Arial" w:hAnsi="Arial" w:eastAsia="Arial" w:cs="Arial"/>
        </w:rPr>
      </w:pPr>
      <w:bookmarkStart w:id="13" w:name="page14"/>
      <w:bookmarkEnd w:id="13"/>
      <w:r>
        <w:rPr>
          <w:rFonts w:eastAsia="Arial" w:cs="Arial" w:ascii="Arial" w:hAnsi="Arial"/>
          <w:u w:val="single"/>
        </w:rPr>
        <w:t>NOTICES</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80" w:end="0"/>
        <w:jc w:val="both"/>
        <w:rPr>
          <w:rFonts w:ascii="Arial" w:hAnsi="Arial" w:eastAsia="Arial" w:cs="Arial"/>
        </w:rPr>
      </w:pPr>
      <w:r>
        <w:rPr>
          <w:rFonts w:eastAsia="Arial" w:cs="Arial" w:ascii="Arial" w:hAnsi="Arial"/>
        </w:rPr>
        <w:t>All notices and requests, demands or other communications shall be delivered to each Party either by personal delivery or registered mail (return receipt requested) or express mail (tracking receipt requested) or traced electronic mail ("Email") ") when transmission has been confirmed by an Email delivery receipt.. In the case of registered mail, the date upon which it is received by the addressee, the date upon which it is sent a correct confirmation printout, provided that if such date of receipt is not a Business Day notice shall be deemed to have been received on the first following Business Day, shall be deemed to be the effective date of such notice or request.</w: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All correspondence, documents and any other written matters in connection with the GTCS shall be in English.</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rPr>
        <w:t>The date of delivery of any such notice or communication shall be the date of dispatch, if personal delivery or Email, or shall be deemed to be three (3) Business Days after mailing, if delivered by mail or registered mail. Notices shall be sent as appropriate to the names and addresses given by Customer in information sheet or frame agreement with Seller or to Customer’s CEO.</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Either Party may change its postal address (or addressee) for receipt of such notices with a ten (10) Business Days written notice to the other Party.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NO WAIVER</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320"/>
        <w:rPr>
          <w:rFonts w:ascii="Arial" w:hAnsi="Arial" w:eastAsia="Arial" w:cs="Arial"/>
        </w:rPr>
      </w:pPr>
      <w:r>
        <w:rPr>
          <w:rFonts w:eastAsia="Arial" w:cs="Arial" w:ascii="Arial" w:hAnsi="Arial"/>
        </w:rPr>
        <w:t>The failure of either Party to enforce at any time any of the provisions of the GTCS shall in no way be construed as a waiver of such provisions.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GOVERNING LAW AND DISPUTE RESOLUTION</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rFonts w:ascii="Arial" w:hAnsi="Arial" w:eastAsia="Arial" w:cs="Arial"/>
        </w:rPr>
      </w:pPr>
      <w:r>
        <w:rPr>
          <w:rFonts w:eastAsia="Arial" w:cs="Arial" w:ascii="Arial" w:hAnsi="Arial"/>
        </w:rPr>
        <w:t>The GTCS shall be governed by, subject to and construed and the performance thereof shall be determined in accordance with the laws of France. The United Nation Convention on contract for the International Sale of Goods (April 11, 1980) and any successor thereto shall not apply.</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rFonts w:ascii="Arial" w:hAnsi="Arial" w:eastAsia="Arial" w:cs="Arial"/>
        </w:rPr>
      </w:pPr>
      <w:r>
        <w:rPr>
          <w:rFonts w:eastAsia="Arial" w:cs="Arial" w:ascii="Arial" w:hAnsi="Arial"/>
        </w:rPr>
        <w:t>Any dispute shall be determined and settled by arbitration under the current Rules of Arbitration of the International Chamber of Commerce. The place of arbitration shall be Paris. The language to be used in the arbitral proceedings shall be English.</w:t>
      </w:r>
    </w:p>
    <w:p>
      <w:pPr>
        <w:pStyle w:val="Normal"/>
        <w:spacing w:lineRule="exact" w:line="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20"/>
        <w:jc w:val="both"/>
        <w:rPr>
          <w:rFonts w:ascii="Arial" w:hAnsi="Arial" w:eastAsia="Arial" w:cs="Arial"/>
        </w:rPr>
      </w:pPr>
      <w:r>
        <w:rPr>
          <w:rFonts w:eastAsia="Arial" w:cs="Arial" w:ascii="Arial" w:hAnsi="Arial"/>
        </w:rPr>
        <w:t>Nothing in these GTCS shall prevent any Party seeking injunctive relief or other interim measures of protection in any court of competent jurisdiction.</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rFonts w:ascii="Arial" w:hAnsi="Arial" w:eastAsia="Arial" w:cs="Arial"/>
        </w:rPr>
      </w:pPr>
      <w:r>
        <w:rPr>
          <w:rFonts w:eastAsia="Arial" w:cs="Arial" w:ascii="Arial" w:hAnsi="Arial"/>
        </w:rPr>
        <w:t>Notwithstanding the above, in case of dispute arising from a Supply Agreement and a Purchase Agreement, the place of arbitration shall be the one set out in such Purchase Agreement.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1"/>
        </w:numPr>
        <w:tabs>
          <w:tab w:val="clear" w:pos="720"/>
          <w:tab w:val="left" w:pos="820" w:leader="none"/>
        </w:tabs>
        <w:spacing w:lineRule="atLeast" w:line="0"/>
        <w:ind w:hanging="731" w:start="820" w:end="0"/>
        <w:rPr>
          <w:rFonts w:ascii="Arial" w:hAnsi="Arial" w:eastAsia="Arial" w:cs="Arial"/>
        </w:rPr>
      </w:pPr>
      <w:r>
        <w:rPr>
          <w:rFonts w:eastAsia="Arial" w:cs="Arial" w:ascii="Arial" w:hAnsi="Arial"/>
          <w:u w:val="single"/>
        </w:rPr>
        <w:t>DEFINITIONS</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ind w:firstLine="53" w:start="100" w:end="0"/>
        <w:jc w:val="both"/>
        <w:rPr/>
      </w:pPr>
      <w:r>
        <w:rPr>
          <w:rFonts w:eastAsia="Arial" w:cs="Arial" w:ascii="Arial" w:hAnsi="Arial"/>
          <w:b/>
        </w:rPr>
        <w:t>“</w:t>
      </w:r>
      <w:r>
        <w:rPr>
          <w:rFonts w:eastAsia="Arial" w:cs="Arial" w:ascii="Arial" w:hAnsi="Arial"/>
          <w:b/>
        </w:rPr>
        <w:t>ABC/AML Legislation</w:t>
      </w:r>
      <w:r>
        <w:rPr>
          <w:rFonts w:eastAsia="Times New Roman" w:cs="Times New Roman" w:ascii="Times New Roman" w:hAnsi="Times New Roman"/>
          <w:b/>
          <w:sz w:val="32"/>
          <w:vertAlign w:val="superscript"/>
        </w:rPr>
        <w:t>”</w:t>
      </w:r>
      <w:r>
        <w:rPr>
          <w:rFonts w:eastAsia="Arial" w:cs="Arial" w:ascii="Arial" w:hAnsi="Arial"/>
        </w:rPr>
        <w:t xml:space="preserve"> means any law, regulation, embargo or restrictive measure (in each case having a force of law) of, or imposed by, the United Nations, the United States of America, the Council of the European Union or any of its member States, the United Kingdom, any other country or any official institution or agency of any of the foregoing, in relation to anti-money laundering, anti-corruption, anti-bribery and counter terrorism financing."</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b/>
        </w:rPr>
        <w:t>“</w:t>
      </w:r>
      <w:r>
        <w:rPr>
          <w:rFonts w:eastAsia="Arial" w:cs="Arial" w:ascii="Arial" w:hAnsi="Arial"/>
          <w:b/>
        </w:rPr>
        <w:t>Acceptance Letter”</w:t>
      </w:r>
      <w:r>
        <w:rPr>
          <w:rFonts w:eastAsia="Arial" w:cs="Arial" w:ascii="Arial" w:hAnsi="Arial"/>
        </w:rPr>
        <w:t xml:space="preserve"> means Seller’s written acceptance of Customer’s Purchase Order.</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firstLine="53" w:start="100" w:end="20"/>
        <w:jc w:val="both"/>
        <w:rPr/>
      </w:pPr>
      <w:r>
        <w:rPr>
          <w:rFonts w:eastAsia="Arial" w:cs="Arial" w:ascii="Arial" w:hAnsi="Arial"/>
          <w:b/>
        </w:rPr>
        <w:t>“</w:t>
      </w:r>
      <w:r>
        <w:rPr>
          <w:rFonts w:eastAsia="Arial" w:cs="Arial" w:ascii="Arial" w:hAnsi="Arial"/>
          <w:b/>
        </w:rPr>
        <w:t>Affiliate</w:t>
      </w:r>
      <w:r>
        <w:rPr>
          <w:rFonts w:eastAsia="Arial" w:cs="Arial" w:ascii="Arial" w:hAnsi="Arial"/>
        </w:rPr>
        <w:t>” means any natural or legal person, another natural or legal person directly or indirectly Controlling, Controlled by or under common Control with such person.</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jc w:val="both"/>
        <w:rPr/>
      </w:pPr>
      <w:r>
        <w:rPr>
          <w:rFonts w:eastAsia="Arial" w:cs="Arial" w:ascii="Arial" w:hAnsi="Arial"/>
          <w:b/>
        </w:rPr>
        <w:t>“</w:t>
      </w:r>
      <w:r>
        <w:rPr>
          <w:rFonts w:eastAsia="Arial" w:cs="Arial" w:ascii="Arial" w:hAnsi="Arial"/>
          <w:b/>
        </w:rPr>
        <w:t>Airbus Catalogue or CSC”</w:t>
      </w:r>
      <w:r>
        <w:rPr>
          <w:rFonts w:eastAsia="Arial" w:cs="Arial" w:ascii="Arial" w:hAnsi="Arial"/>
        </w:rPr>
        <w:t xml:space="preserve"> means current customer services e-catalogue available on AirbusWorld, . describing Products and Services which may be purchased by Customer from Seller under a Supply Agreement.</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pPr>
      <w:r>
        <w:rPr>
          <w:rFonts w:eastAsia="Arial" w:cs="Arial" w:ascii="Arial" w:hAnsi="Arial"/>
          <w:b/>
        </w:rPr>
        <w:t>“</w:t>
      </w:r>
      <w:r>
        <w:rPr>
          <w:rFonts w:eastAsia="Arial" w:cs="Arial" w:ascii="Arial" w:hAnsi="Arial"/>
          <w:b/>
        </w:rPr>
        <w:t>Aircraft”</w:t>
      </w:r>
      <w:r>
        <w:rPr>
          <w:rFonts w:eastAsia="Arial" w:cs="Arial" w:ascii="Arial" w:hAnsi="Arial"/>
        </w:rPr>
        <w:t xml:space="preserve"> means, individually or collectively, the aircraft operated by Customer or in connection with Product and/or Service provided under a Supply Agreement.</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pPr>
      <w:r>
        <w:rPr>
          <w:rFonts w:eastAsia="Arial" w:cs="Arial" w:ascii="Arial" w:hAnsi="Arial"/>
          <w:b/>
        </w:rPr>
        <w:t>“</w:t>
      </w:r>
      <w:r>
        <w:rPr>
          <w:rFonts w:eastAsia="Arial" w:cs="Arial" w:ascii="Arial" w:hAnsi="Arial"/>
          <w:b/>
        </w:rPr>
        <w:t>Authorized Purpose”</w:t>
      </w:r>
      <w:r>
        <w:rPr>
          <w:rFonts w:eastAsia="Arial" w:cs="Arial" w:ascii="Arial" w:hAnsi="Arial"/>
        </w:rPr>
        <w:t xml:space="preserve"> means use of the Products and/or Services subject to IP Rights for the defined purpose as set out in the Supply Agreement or the Airbus Catalogue.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14</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1175"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2">
                <wp:simplePos x="0" y="0"/>
                <wp:positionH relativeFrom="column">
                  <wp:posOffset>38100</wp:posOffset>
                </wp:positionH>
                <wp:positionV relativeFrom="paragraph">
                  <wp:posOffset>5715</wp:posOffset>
                </wp:positionV>
                <wp:extent cx="5908040" cy="0"/>
                <wp:effectExtent l="0" t="4445" r="0" b="4445"/>
                <wp:wrapNone/>
                <wp:docPr id="21"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40"/>
        <w:ind w:hanging="1" w:start="100" w:end="0"/>
        <w:jc w:val="both"/>
        <w:rPr/>
      </w:pPr>
      <w:bookmarkStart w:id="14" w:name="page15"/>
      <w:bookmarkEnd w:id="14"/>
      <w:r>
        <w:rPr>
          <w:rFonts w:eastAsia="Arial" w:cs="Arial" w:ascii="Arial" w:hAnsi="Arial"/>
          <w:b/>
        </w:rPr>
        <w:t>“</w:t>
      </w:r>
      <w:r>
        <w:rPr>
          <w:rFonts w:eastAsia="Arial" w:cs="Arial" w:ascii="Arial" w:hAnsi="Arial"/>
          <w:b/>
        </w:rPr>
        <w:t>Binding Purchase Order”</w:t>
      </w:r>
      <w:r>
        <w:rPr>
          <w:rFonts w:eastAsia="Arial" w:cs="Arial" w:ascii="Arial" w:hAnsi="Arial"/>
        </w:rPr>
        <w:t xml:space="preserve"> means a Purchase Order of Customer accepted by Seller with an Acceptance Letter. Binding Purchase Orders are governed by GTCS, despite any provision to the contrary of the Purchase Order. Binding Purchase Order creates Customer’s obligation to buy and Seller’s obligation to sell the Products and Services listed or referred to in the Purchase Order as accepted by the Acceptance Letter. The Commercial Offer and the GTCS shall form part of the Binding Purchase Order, together with the Purchase Order and the Acceptance Letter.</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pPr>
      <w:r>
        <w:rPr>
          <w:rFonts w:eastAsia="Arial" w:cs="Arial" w:ascii="Arial" w:hAnsi="Arial"/>
          <w:b/>
        </w:rPr>
        <w:t>“</w:t>
      </w:r>
      <w:r>
        <w:rPr>
          <w:rFonts w:eastAsia="Arial" w:cs="Arial" w:ascii="Arial" w:hAnsi="Arial"/>
          <w:b/>
        </w:rPr>
        <w:t>Business Day”</w:t>
      </w:r>
      <w:r>
        <w:rPr>
          <w:rFonts w:eastAsia="Arial" w:cs="Arial" w:ascii="Arial" w:hAnsi="Arial"/>
        </w:rPr>
        <w:t xml:space="preserve"> means any day (other than a Saturday or Sunday) on which banks are open for business in France.</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b/>
        </w:rPr>
        <w:t>“</w:t>
      </w:r>
      <w:r>
        <w:rPr>
          <w:rFonts w:eastAsia="Arial" w:cs="Arial" w:ascii="Arial" w:hAnsi="Arial"/>
          <w:b/>
        </w:rPr>
        <w:t>Commercial Offer”</w:t>
      </w:r>
      <w:r>
        <w:rPr>
          <w:rFonts w:eastAsia="Arial" w:cs="Arial" w:ascii="Arial" w:hAnsi="Arial"/>
        </w:rPr>
        <w:t xml:space="preserve"> means the offer provided by Seller to Customer with the commercial, technical and financial terms applicable to the sale of certain Products and/or Services, by reference to the CSC as the case may be.</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rPr>
        <w:t>“</w:t>
      </w:r>
      <w:r>
        <w:rPr>
          <w:rFonts w:eastAsia="Arial" w:cs="Arial" w:ascii="Arial" w:hAnsi="Arial"/>
          <w:b/>
        </w:rPr>
        <w:t>Control</w:t>
      </w:r>
      <w:r>
        <w:rPr>
          <w:rFonts w:eastAsia="Arial" w:cs="Arial" w:ascii="Arial" w:hAnsi="Arial"/>
        </w:rPr>
        <w:t>” means, in respect of a natural or legal person, the power of another natural or legal person to direct the affairs and/or control the composition of the board of directors or equivalent body of the first natural or legal person and the terms “</w:t>
      </w:r>
      <w:r>
        <w:rPr>
          <w:rFonts w:eastAsia="Arial" w:cs="Arial" w:ascii="Arial" w:hAnsi="Arial"/>
          <w:b/>
        </w:rPr>
        <w:t>Controlling</w:t>
      </w:r>
      <w:r>
        <w:rPr>
          <w:rFonts w:eastAsia="Arial" w:cs="Arial" w:ascii="Arial" w:hAnsi="Arial"/>
        </w:rPr>
        <w:t>” and “</w:t>
      </w:r>
      <w:r>
        <w:rPr>
          <w:rFonts w:eastAsia="Arial" w:cs="Arial" w:ascii="Arial" w:hAnsi="Arial"/>
          <w:b/>
        </w:rPr>
        <w:t>Controlled</w:t>
      </w:r>
      <w:r>
        <w:rPr>
          <w:rFonts w:eastAsia="Arial" w:cs="Arial" w:ascii="Arial" w:hAnsi="Arial"/>
        </w:rPr>
        <w:t>” shall be construed accordingly.</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pPr>
      <w:r>
        <w:rPr>
          <w:rFonts w:eastAsia="Arial" w:cs="Arial" w:ascii="Arial" w:hAnsi="Arial"/>
          <w:b/>
        </w:rPr>
        <w:t>“</w:t>
      </w:r>
      <w:r>
        <w:rPr>
          <w:rFonts w:eastAsia="Arial" w:cs="Arial" w:ascii="Arial" w:hAnsi="Arial"/>
          <w:b/>
        </w:rPr>
        <w:t>Customer”</w:t>
      </w:r>
      <w:r>
        <w:rPr>
          <w:rFonts w:eastAsia="Arial" w:cs="Arial" w:ascii="Arial" w:hAnsi="Arial"/>
        </w:rPr>
        <w:t xml:space="preserve"> means any legal entity which buys or procures the purchase for consideration and/or free of charge, of Products and/or Services from Seller.</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b/>
        </w:rPr>
        <w:t>“</w:t>
      </w:r>
      <w:r>
        <w:rPr>
          <w:rFonts w:eastAsia="Arial" w:cs="Arial" w:ascii="Arial" w:hAnsi="Arial"/>
          <w:b/>
        </w:rPr>
        <w:t>Delivery Date”</w:t>
      </w:r>
      <w:r>
        <w:rPr>
          <w:rFonts w:eastAsia="Arial" w:cs="Arial" w:ascii="Arial" w:hAnsi="Arial"/>
        </w:rPr>
        <w:t xml:space="preserve"> means the date when a Product or a Service is made available to Customer.</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hanging="1" w:start="100" w:end="0"/>
        <w:jc w:val="both"/>
        <w:rPr/>
      </w:pPr>
      <w:r>
        <w:rPr>
          <w:rFonts w:eastAsia="Arial" w:cs="Arial" w:ascii="Arial" w:hAnsi="Arial"/>
          <w:b/>
          <w:sz w:val="19"/>
        </w:rPr>
        <w:t>“</w:t>
      </w:r>
      <w:r>
        <w:rPr>
          <w:rFonts w:eastAsia="Arial" w:cs="Arial" w:ascii="Arial" w:hAnsi="Arial"/>
          <w:b/>
          <w:sz w:val="19"/>
        </w:rPr>
        <w:t>Documentation”</w:t>
      </w:r>
      <w:r>
        <w:rPr>
          <w:rFonts w:eastAsia="Arial" w:cs="Arial" w:ascii="Arial" w:hAnsi="Arial"/>
          <w:sz w:val="19"/>
        </w:rPr>
        <w:t xml:space="preserve"> means documents, provided together with Products and/or Services, which describes the main features of the Products and/or Services and how to use it, including technical publication.</w:t>
      </w:r>
    </w:p>
    <w:p>
      <w:pPr>
        <w:pStyle w:val="Normal"/>
        <w:spacing w:lineRule="exact" w:line="22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hanging="1" w:start="100" w:end="20"/>
        <w:jc w:val="both"/>
        <w:rPr/>
      </w:pPr>
      <w:r>
        <w:rPr>
          <w:rFonts w:eastAsia="Arial" w:cs="Arial" w:ascii="Arial" w:hAnsi="Arial"/>
          <w:b/>
        </w:rPr>
        <w:t>“</w:t>
      </w:r>
      <w:r>
        <w:rPr>
          <w:rFonts w:eastAsia="Arial" w:cs="Arial" w:ascii="Arial" w:hAnsi="Arial"/>
          <w:b/>
        </w:rPr>
        <w:t>End User License Agreement</w:t>
      </w:r>
      <w:r>
        <w:rPr>
          <w:rFonts w:eastAsia="Arial" w:cs="Arial" w:ascii="Arial" w:hAnsi="Arial"/>
        </w:rPr>
        <w:t xml:space="preserve"> or </w:t>
      </w:r>
      <w:r>
        <w:rPr>
          <w:rFonts w:eastAsia="Arial" w:cs="Arial" w:ascii="Arial" w:hAnsi="Arial"/>
          <w:b/>
        </w:rPr>
        <w:t>EULA”</w:t>
      </w:r>
      <w:r>
        <w:rPr>
          <w:rFonts w:eastAsia="Arial" w:cs="Arial" w:ascii="Arial" w:hAnsi="Arial"/>
        </w:rPr>
        <w:t xml:space="preserve"> means the rights and obligations of the Parties in relation with Seller’s IP Rights as described in Clause 11.</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20"/>
        <w:jc w:val="both"/>
        <w:rPr/>
      </w:pPr>
      <w:r>
        <w:rPr>
          <w:rFonts w:eastAsia="Arial" w:cs="Arial" w:ascii="Arial" w:hAnsi="Arial"/>
          <w:b/>
        </w:rPr>
        <w:t>“</w:t>
      </w:r>
      <w:r>
        <w:rPr>
          <w:rFonts w:eastAsia="Arial" w:cs="Arial" w:ascii="Arial" w:hAnsi="Arial"/>
          <w:b/>
        </w:rPr>
        <w:t>Export Licenses”</w:t>
      </w:r>
      <w:r>
        <w:rPr>
          <w:rFonts w:eastAsia="Arial" w:cs="Arial" w:ascii="Arial" w:hAnsi="Arial"/>
        </w:rPr>
        <w:t xml:space="preserve"> means any export, re-export licenses or other authorizations that may be required under Sanctions and Export Control Laws in connection with the performance of the GTCS and/or Specific Agreement.</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GTCS”</w:t>
      </w:r>
      <w:r>
        <w:rPr>
          <w:rFonts w:eastAsia="Arial" w:cs="Arial" w:ascii="Arial" w:hAnsi="Arial"/>
        </w:rPr>
        <w:t xml:space="preserve"> means this document entitled “Airbus General Terms and Conditions of Supply” as published and available online, notably in the CSC on Seller’s customer portal AirbusWorld and/or at</w:t>
      </w:r>
      <w:r>
        <w:rPr>
          <w:rFonts w:eastAsia="Arial" w:cs="Arial" w:ascii="Arial" w:hAnsi="Arial"/>
          <w:color w:val="0000FF"/>
          <w:u w:val="single"/>
        </w:rPr>
        <w:t xml:space="preserve"> </w:t>
      </w:r>
      <w:hyperlink r:id="rId4">
        <w:r>
          <w:rPr>
            <w:rStyle w:val="Hyperlink"/>
            <w:rFonts w:eastAsia="Arial" w:cs="Arial" w:ascii="Arial" w:hAnsi="Arial"/>
            <w:color w:val="0000FF"/>
            <w:u w:val="single"/>
          </w:rPr>
          <w:t>https://www.airbus.com/general-terms-and-conditions-of-supply.html</w:t>
        </w:r>
        <w:r>
          <w:rPr>
            <w:rStyle w:val="Hyperlink"/>
            <w:rFonts w:eastAsia="Arial" w:cs="Arial" w:ascii="Arial" w:hAnsi="Arial"/>
            <w:color w:val="000000"/>
          </w:rPr>
          <w:t xml:space="preserve">, </w:t>
        </w:r>
      </w:hyperlink>
      <w:r>
        <w:rPr>
          <w:rFonts w:eastAsia="Arial" w:cs="Arial" w:ascii="Arial" w:hAnsi="Arial"/>
          <w:color w:val="0000FF"/>
          <w:u w:val="single"/>
        </w:rPr>
        <w:t>as</w:t>
      </w:r>
      <w:r>
        <w:rPr>
          <w:rFonts w:eastAsia="Arial" w:cs="Arial" w:ascii="Arial" w:hAnsi="Arial"/>
          <w:color w:val="000000"/>
        </w:rPr>
        <w:t xml:space="preserve"> may be extended, modified and/or amended from time to time.</w:t>
      </w:r>
    </w:p>
    <w:p>
      <w:pPr>
        <w:pStyle w:val="Normal"/>
        <w:spacing w:lineRule="exact" w:line="243"/>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uto" w:line="256"/>
        <w:ind w:hanging="1" w:start="100" w:end="0"/>
        <w:jc w:val="both"/>
        <w:rPr/>
      </w:pPr>
      <w:r>
        <w:rPr>
          <w:rFonts w:eastAsia="Arial" w:cs="Arial" w:ascii="Arial" w:hAnsi="Arial"/>
          <w:b/>
          <w:sz w:val="19"/>
        </w:rPr>
        <w:t>“</w:t>
      </w:r>
      <w:r>
        <w:rPr>
          <w:rFonts w:eastAsia="Arial" w:cs="Arial" w:ascii="Arial" w:hAnsi="Arial"/>
          <w:b/>
          <w:sz w:val="19"/>
        </w:rPr>
        <w:t>Intellectual Property Rights</w:t>
      </w:r>
      <w:r>
        <w:rPr>
          <w:rFonts w:eastAsia="Arial" w:cs="Arial" w:ascii="Arial" w:hAnsi="Arial"/>
          <w:sz w:val="19"/>
        </w:rPr>
        <w:t xml:space="preserve"> or </w:t>
      </w:r>
      <w:r>
        <w:rPr>
          <w:rFonts w:eastAsia="Arial" w:cs="Arial" w:ascii="Arial" w:hAnsi="Arial"/>
          <w:b/>
          <w:sz w:val="19"/>
        </w:rPr>
        <w:t>IP Rights”</w:t>
      </w:r>
      <w:r>
        <w:rPr>
          <w:rFonts w:eastAsia="Arial" w:cs="Arial" w:ascii="Arial" w:hAnsi="Arial"/>
          <w:sz w:val="19"/>
        </w:rPr>
        <w:t xml:space="preserve"> means any intellectual and industrial property rights including but not limited to all rights in patents, utility models, semi-conductor topography rights, copyrights, authors’ rights, trade marks, brands, domain names, trade secrets, know-how and other rights in information, drawings, logos, plans, database rights, technical notes, prototypes, processes, methods, algorithms, workflows, any technical-related documentation, any software, source code, registered designs and other designs, in each case, whether registered or unregistered and including applications for registration, and all rights or forms of protection having equivalent or similar effect anywhere in the world.</w:t>
      </w:r>
    </w:p>
    <w:p>
      <w:pPr>
        <w:pStyle w:val="Normal"/>
        <w:spacing w:lineRule="exact" w:line="23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40"/>
        <w:ind w:hanging="1" w:start="100" w:end="0"/>
        <w:jc w:val="both"/>
        <w:rPr/>
      </w:pPr>
      <w:r>
        <w:rPr>
          <w:rFonts w:eastAsia="Arial" w:cs="Arial" w:ascii="Arial" w:hAnsi="Arial"/>
          <w:b/>
        </w:rPr>
        <w:t>“</w:t>
      </w:r>
      <w:r>
        <w:rPr>
          <w:rFonts w:eastAsia="Arial" w:cs="Arial" w:ascii="Arial" w:hAnsi="Arial"/>
          <w:b/>
        </w:rPr>
        <w:t>KYC Procedures”</w:t>
      </w:r>
      <w:r>
        <w:rPr>
          <w:rFonts w:eastAsia="Arial" w:cs="Arial" w:ascii="Arial" w:hAnsi="Arial"/>
        </w:rPr>
        <w:t xml:space="preserve"> means any applicable “know your customer” due diligence, including, anti-money laundering, anti-corruption, anti-bribery, counter terrorism financing, sanctions or other similar checks and procedures, whether resulting from any internal requirement of Seller or from the operation of any Applicable Legislation.</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hanging="1" w:start="100" w:end="0"/>
        <w:jc w:val="both"/>
        <w:rPr/>
      </w:pPr>
      <w:r>
        <w:rPr>
          <w:rFonts w:eastAsia="Arial" w:cs="Arial" w:ascii="Arial" w:hAnsi="Arial"/>
        </w:rPr>
        <w:t>“</w:t>
      </w:r>
      <w:r>
        <w:rPr>
          <w:rFonts w:eastAsia="Arial" w:cs="Arial" w:ascii="Arial" w:hAnsi="Arial"/>
          <w:b/>
        </w:rPr>
        <w:t>Operator/Owner</w:t>
      </w:r>
      <w:r>
        <w:rPr>
          <w:rFonts w:eastAsia="Arial" w:cs="Arial" w:ascii="Arial" w:hAnsi="Arial"/>
        </w:rPr>
        <w:t>” means the operator and/or the owner, as applicable, of the Aircraft on which the Service is performed or for installation in, or with respect to, which a Product is delivered</w:t>
      </w:r>
      <w:r>
        <w:rPr>
          <w:rFonts w:eastAsia="Arial" w:cs="Arial" w:ascii="Arial" w:hAnsi="Arial"/>
          <w:i/>
        </w:rPr>
        <w:t>.</w:t>
      </w:r>
    </w:p>
    <w:p>
      <w:pPr>
        <w:pStyle w:val="Normal"/>
        <w:spacing w:lineRule="exact" w:line="24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80" w:end="0"/>
        <w:rPr/>
      </w:pPr>
      <w:r>
        <w:rPr>
          <w:rFonts w:eastAsia="Arial" w:cs="Arial" w:ascii="Arial" w:hAnsi="Arial"/>
          <w:b/>
        </w:rPr>
        <w:t>“</w:t>
      </w:r>
      <w:r>
        <w:rPr>
          <w:rFonts w:eastAsia="Arial" w:cs="Arial" w:ascii="Arial" w:hAnsi="Arial"/>
          <w:b/>
        </w:rPr>
        <w:t>Party</w:t>
      </w:r>
      <w:r>
        <w:rPr>
          <w:rFonts w:eastAsia="Arial" w:cs="Arial" w:ascii="Arial" w:hAnsi="Arial"/>
        </w:rPr>
        <w:t xml:space="preserve"> or </w:t>
      </w:r>
      <w:r>
        <w:rPr>
          <w:rFonts w:eastAsia="Arial" w:cs="Arial" w:ascii="Arial" w:hAnsi="Arial"/>
          <w:b/>
        </w:rPr>
        <w:t>Parties”</w:t>
      </w:r>
      <w:r>
        <w:rPr>
          <w:rFonts w:eastAsia="Arial" w:cs="Arial" w:ascii="Arial" w:hAnsi="Arial"/>
        </w:rPr>
        <w:t xml:space="preserve"> means Customer and/or Seller, as the case may be.</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pPr>
      <w:r>
        <w:rPr>
          <w:rFonts w:eastAsia="Arial" w:cs="Arial" w:ascii="Arial" w:hAnsi="Arial"/>
          <w:b/>
        </w:rPr>
        <w:t>“</w:t>
      </w:r>
      <w:r>
        <w:rPr>
          <w:rFonts w:eastAsia="Arial" w:cs="Arial" w:ascii="Arial" w:hAnsi="Arial"/>
          <w:b/>
        </w:rPr>
        <w:t>Pre-requisites”</w:t>
      </w:r>
      <w:r>
        <w:rPr>
          <w:rFonts w:eastAsia="Arial" w:cs="Arial" w:ascii="Arial" w:hAnsi="Arial"/>
        </w:rPr>
        <w:t xml:space="preserve"> mean those obligations described in Supply Agreement or in the CSC which are required to be complied with by Customer for Seller to deliver Product and/or Service.</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b/>
        </w:rPr>
        <w:t>“</w:t>
      </w:r>
      <w:r>
        <w:rPr>
          <w:rFonts w:eastAsia="Arial" w:cs="Arial" w:ascii="Arial" w:hAnsi="Arial"/>
          <w:b/>
        </w:rPr>
        <w:t>Products”</w:t>
      </w:r>
      <w:r>
        <w:rPr>
          <w:rFonts w:eastAsia="Arial" w:cs="Arial" w:ascii="Arial" w:hAnsi="Arial"/>
        </w:rPr>
        <w:t xml:space="preserve"> mean any material products sold, supplied or leased by Seller to Customer under a Supply Agreement including but not limited to spares parts and tools, supplier’s equipment, ground support equipment, and documentation, modification kits.</w: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15</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sectPr>
          <w:type w:val="nextPage"/>
          <w:pgSz w:w="11906" w:h="16838"/>
          <w:pgMar w:left="1440" w:right="1126" w:gutter="0" w:header="0" w:top="948" w:footer="0" w:bottom="11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3">
                <wp:simplePos x="0" y="0"/>
                <wp:positionH relativeFrom="column">
                  <wp:posOffset>38100</wp:posOffset>
                </wp:positionH>
                <wp:positionV relativeFrom="paragraph">
                  <wp:posOffset>5715</wp:posOffset>
                </wp:positionV>
                <wp:extent cx="5908040" cy="0"/>
                <wp:effectExtent l="0" t="4445" r="0" b="4445"/>
                <wp:wrapNone/>
                <wp:docPr id="22"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p>
      <w:pPr>
        <w:pStyle w:val="Normal"/>
        <w:spacing w:lineRule="auto" w:line="237"/>
        <w:ind w:hanging="1" w:start="100" w:end="0"/>
        <w:jc w:val="both"/>
        <w:rPr/>
      </w:pPr>
      <w:bookmarkStart w:id="15" w:name="page16"/>
      <w:bookmarkEnd w:id="15"/>
      <w:r>
        <w:rPr>
          <w:rFonts w:eastAsia="Arial" w:cs="Arial" w:ascii="Arial" w:hAnsi="Arial"/>
          <w:b/>
        </w:rPr>
        <w:t>“</w:t>
      </w:r>
      <w:r>
        <w:rPr>
          <w:rFonts w:eastAsia="Arial" w:cs="Arial" w:ascii="Arial" w:hAnsi="Arial"/>
          <w:b/>
        </w:rPr>
        <w:t>Purchase Agreement”</w:t>
      </w:r>
      <w:r>
        <w:rPr>
          <w:rFonts w:eastAsia="Arial" w:cs="Arial" w:ascii="Arial" w:hAnsi="Arial"/>
        </w:rPr>
        <w:t xml:space="preserve"> means the purchase agreement signed between Customer and Seller for the purchase of an Aircraft.</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Purchase Order”</w:t>
      </w:r>
      <w:r>
        <w:rPr>
          <w:rFonts w:eastAsia="Arial" w:cs="Arial" w:ascii="Arial" w:hAnsi="Arial"/>
        </w:rPr>
        <w:t xml:space="preserve"> means a written order sent by Customer to Seller for the purchase of Products and/or Services, which may refer to an Airbus Catalogue, a Commercial Offer or to a Specific Agreement, and with a detailed description, the quantities, the order number, the delivery schedule, the currency and Seller’s prices, as available.</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Sanctions Authority”</w:t>
      </w:r>
      <w:r>
        <w:rPr>
          <w:rFonts w:eastAsia="Arial" w:cs="Arial" w:ascii="Arial" w:hAnsi="Arial"/>
        </w:rPr>
        <w:t xml:space="preserve"> means the Government of the United States of America (including, without limitation, the Department of State, the Department of Commerce and the Office of Foreign Assets Control (OFAC) of the US Department of the Treasury), the United Nations Security Council, the European Union, the United Kingdom or the government of any country with jurisdiction over Seller.</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Sanctions and Export Control Laws”</w:t>
      </w:r>
      <w:r>
        <w:rPr>
          <w:rFonts w:eastAsia="Arial" w:cs="Arial" w:ascii="Arial" w:hAnsi="Arial"/>
        </w:rPr>
        <w:t xml:space="preserve"> means any laws and regulations (i) imposing economic, trade and other restrictive measures that are issued and enforced by a Sanctions Authority and (“</w:t>
      </w:r>
      <w:r>
        <w:rPr>
          <w:rFonts w:eastAsia="Arial" w:cs="Arial" w:ascii="Arial" w:hAnsi="Arial"/>
          <w:b/>
        </w:rPr>
        <w:t>Sanctions Laws</w:t>
      </w:r>
      <w:r>
        <w:rPr>
          <w:rFonts w:eastAsia="Arial" w:cs="Arial" w:ascii="Arial" w:hAnsi="Arial"/>
        </w:rPr>
        <w:t>”) and (ii) relating to the export, re-export and transfer of any hardware, technology, software or services (“</w:t>
      </w:r>
      <w:r>
        <w:rPr>
          <w:rFonts w:eastAsia="Arial" w:cs="Arial" w:ascii="Arial" w:hAnsi="Arial"/>
          <w:b/>
        </w:rPr>
        <w:t>Export Control Laws</w:t>
      </w:r>
      <w:r>
        <w:rPr>
          <w:rFonts w:eastAsia="Arial" w:cs="Arial" w:ascii="Arial" w:hAnsi="Arial"/>
        </w:rPr>
        <w:t>”) in each case issued and enforced by a Sanctions Authorities.</w:t>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b/>
        </w:rPr>
        <w:t>“</w:t>
      </w:r>
      <w:r>
        <w:rPr>
          <w:rFonts w:eastAsia="Arial" w:cs="Arial" w:ascii="Arial" w:hAnsi="Arial"/>
          <w:b/>
        </w:rPr>
        <w:t>Sanctioned Person”</w:t>
      </w:r>
      <w:r>
        <w:rPr>
          <w:rFonts w:eastAsia="Arial" w:cs="Arial" w:ascii="Arial" w:hAnsi="Arial"/>
        </w:rPr>
        <w:t xml:space="preserve"> means:</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2"/>
        </w:numPr>
        <w:tabs>
          <w:tab w:val="clear" w:pos="720"/>
          <w:tab w:val="left" w:pos="397" w:leader="none"/>
        </w:tabs>
        <w:spacing w:lineRule="auto" w:line="235"/>
        <w:ind w:hanging="11" w:start="100" w:end="20"/>
        <w:rPr>
          <w:rFonts w:ascii="Arial" w:hAnsi="Arial" w:eastAsia="Arial" w:cs="Arial"/>
        </w:rPr>
      </w:pPr>
      <w:r>
        <w:rPr>
          <w:rFonts w:eastAsia="Arial" w:cs="Arial" w:ascii="Arial" w:hAnsi="Arial"/>
        </w:rPr>
        <w:t>any natural or legal person in any list of sanctioned persons of any Sanctions Authority (including List of Specially Designated Nationals (SDN) and Sectorial or Sanctions Identifications (SSI) List); or</w:t>
      </w:r>
    </w:p>
    <w:p>
      <w:pPr>
        <w:pStyle w:val="Normal"/>
        <w:spacing w:lineRule="exact" w:line="13"/>
        <w:rPr>
          <w:rFonts w:ascii="Arial" w:hAnsi="Arial" w:eastAsia="Arial" w:cs="Arial"/>
        </w:rPr>
      </w:pPr>
      <w:r>
        <w:rPr>
          <w:rFonts w:eastAsia="Arial" w:cs="Arial" w:ascii="Arial" w:hAnsi="Arial"/>
        </w:rPr>
      </w:r>
    </w:p>
    <w:p>
      <w:pPr>
        <w:pStyle w:val="Normal"/>
        <w:numPr>
          <w:ilvl w:val="0"/>
          <w:numId w:val="52"/>
        </w:numPr>
        <w:tabs>
          <w:tab w:val="clear" w:pos="720"/>
          <w:tab w:val="left" w:pos="426" w:leader="none"/>
        </w:tabs>
        <w:spacing w:lineRule="auto" w:line="235"/>
        <w:ind w:hanging="11" w:start="100" w:end="20"/>
        <w:rPr>
          <w:rFonts w:ascii="Arial" w:hAnsi="Arial" w:eastAsia="Arial" w:cs="Arial"/>
        </w:rPr>
      </w:pPr>
      <w:r>
        <w:rPr>
          <w:rFonts w:eastAsia="Arial" w:cs="Arial" w:ascii="Arial" w:hAnsi="Arial"/>
        </w:rPr>
        <w:t>any natural or legal person directly or indirectly owned or Controlled by one or several person(s) designated under (a) here above.</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 w:start="100" w:end="0"/>
        <w:jc w:val="both"/>
        <w:rPr/>
      </w:pPr>
      <w:r>
        <w:rPr>
          <w:rFonts w:eastAsia="Arial" w:cs="Arial" w:ascii="Arial" w:hAnsi="Arial"/>
          <w:b/>
        </w:rPr>
        <w:t>“</w:t>
      </w:r>
      <w:r>
        <w:rPr>
          <w:rFonts w:eastAsia="Arial" w:cs="Arial" w:ascii="Arial" w:hAnsi="Arial"/>
          <w:b/>
        </w:rPr>
        <w:t>Seller”</w:t>
      </w:r>
      <w:r>
        <w:rPr>
          <w:rFonts w:eastAsia="Arial" w:cs="Arial" w:ascii="Arial" w:hAnsi="Arial"/>
        </w:rPr>
        <w:t xml:space="preserve"> means Airbus S.A.S. a French société par actions simplifiée, with its registered office at 2 rond-point Emile Dewoitine, 31700 Blagnac, France registered with the Commercial and Companies Register of Toulouse under number 383 474 814.</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20"/>
        <w:jc w:val="both"/>
        <w:rPr/>
      </w:pPr>
      <w:r>
        <w:rPr>
          <w:rFonts w:eastAsia="Arial" w:cs="Arial" w:ascii="Arial" w:hAnsi="Arial"/>
          <w:b/>
        </w:rPr>
        <w:t>“</w:t>
      </w:r>
      <w:r>
        <w:rPr>
          <w:rFonts w:eastAsia="Arial" w:cs="Arial" w:ascii="Arial" w:hAnsi="Arial"/>
          <w:b/>
        </w:rPr>
        <w:t>Seller’s Part(s)”</w:t>
      </w:r>
      <w:r>
        <w:rPr>
          <w:rFonts w:eastAsia="Arial" w:cs="Arial" w:ascii="Arial" w:hAnsi="Arial"/>
        </w:rPr>
        <w:t xml:space="preserve"> means parts manufactured by Seller in the Products and/or Services and which are bearing a Seller’s part number.</w: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Services”</w:t>
      </w:r>
      <w:r>
        <w:rPr>
          <w:rFonts w:eastAsia="Arial" w:cs="Arial" w:ascii="Arial" w:hAnsi="Arial"/>
        </w:rPr>
        <w:t xml:space="preserve"> mean any intangible services such as service bulletins, Technical Data, software, data-bases, on-line services, and Documentation sold, supplied or leased by Seller to Customer under a Supply Agreement including but not limited to on-site support representative, training services, software, digital solutions, engineering services, technical assistance.</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pPr>
      <w:r>
        <w:rPr>
          <w:rFonts w:eastAsia="Arial" w:cs="Arial" w:ascii="Arial" w:hAnsi="Arial"/>
          <w:b/>
        </w:rPr>
        <w:t>“</w:t>
      </w:r>
      <w:r>
        <w:rPr>
          <w:rFonts w:eastAsia="Arial" w:cs="Arial" w:ascii="Arial" w:hAnsi="Arial"/>
          <w:b/>
        </w:rPr>
        <w:t>Specific Agreement”</w:t>
      </w:r>
      <w:r>
        <w:rPr>
          <w:rFonts w:eastAsia="Arial" w:cs="Arial" w:ascii="Arial" w:hAnsi="Arial"/>
        </w:rPr>
        <w:t xml:space="preserve"> means any agreement in force for any sale, lease or supply of Products and/or Services by Seller to Customer, either for consideration or free of charge.</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Supply Agreement”</w:t>
      </w:r>
      <w:r>
        <w:rPr>
          <w:rFonts w:eastAsia="Arial" w:cs="Arial" w:ascii="Arial" w:hAnsi="Arial"/>
        </w:rPr>
        <w:t xml:space="preserve"> means any signed Specific Agreement or any Binding Purchase Order, for any sale, lease or supply of Products and/or Services by Seller to Customer, either for consideration or free of charge.</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53" w:start="100" w:end="0"/>
        <w:jc w:val="both"/>
        <w:rPr/>
      </w:pPr>
      <w:r>
        <w:rPr>
          <w:rFonts w:eastAsia="Arial" w:cs="Arial" w:ascii="Arial" w:hAnsi="Arial"/>
        </w:rPr>
        <w:t>“</w:t>
      </w:r>
      <w:r>
        <w:rPr>
          <w:rFonts w:eastAsia="Arial" w:cs="Arial" w:ascii="Arial" w:hAnsi="Arial"/>
          <w:b/>
        </w:rPr>
        <w:t>Taxes</w:t>
      </w:r>
      <w:r>
        <w:rPr>
          <w:rFonts w:eastAsia="Arial" w:cs="Arial" w:ascii="Arial" w:hAnsi="Arial"/>
        </w:rPr>
        <w:t>” mean any present or future taxes, stamp duties, levies, imposts, customs duties, charges, dues, fees, deductions or withholding, imposed, levied, collected, withheld or assessed by any governmental authority or any political subdivision or taxing authority.</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1" w:start="100" w:end="0"/>
        <w:jc w:val="both"/>
        <w:rPr/>
      </w:pPr>
      <w:r>
        <w:rPr>
          <w:rFonts w:eastAsia="Arial" w:cs="Arial" w:ascii="Arial" w:hAnsi="Arial"/>
          <w:b/>
        </w:rPr>
        <w:t>“</w:t>
      </w:r>
      <w:r>
        <w:rPr>
          <w:rFonts w:eastAsia="Arial" w:cs="Arial" w:ascii="Arial" w:hAnsi="Arial"/>
          <w:b/>
        </w:rPr>
        <w:t>Technical Data”</w:t>
      </w:r>
      <w:r>
        <w:rPr>
          <w:rFonts w:eastAsia="Arial" w:cs="Arial" w:ascii="Arial" w:hAnsi="Arial"/>
        </w:rPr>
        <w:t xml:space="preserve"> means the flight operations and maintenance engineering technical data and Performance Engineer Package (</w:t>
      </w:r>
      <w:r>
        <w:rPr>
          <w:rFonts w:eastAsia="Arial" w:cs="Arial" w:ascii="Arial" w:hAnsi="Arial"/>
          <w:color w:val="222222"/>
        </w:rPr>
        <w:t>set of performance computation modules for the aircraft type covered under this Agreement including software components, databases and consultation tools)</w:t>
      </w:r>
      <w:r>
        <w:rPr>
          <w:rFonts w:eastAsia="Arial" w:cs="Arial" w:ascii="Arial" w:hAnsi="Arial"/>
          <w:color w:val="000000"/>
        </w:rPr>
        <w:t xml:space="preserve"> necessary to operate and maintain aircraft, listed in the then current CSC throughout the operation of each Aircraft.</w:t>
      </w:r>
    </w:p>
    <w:p>
      <w:pPr>
        <w:pStyle w:val="Normal"/>
        <w:spacing w:lineRule="exact" w:line="243"/>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pacing w:lineRule="auto" w:line="240"/>
        <w:ind w:hanging="1" w:start="100" w:end="0"/>
        <w:jc w:val="both"/>
        <w:rPr/>
      </w:pPr>
      <w:r>
        <w:rPr>
          <w:rFonts w:eastAsia="Arial" w:cs="Arial" w:ascii="Arial" w:hAnsi="Arial"/>
          <w:b/>
        </w:rPr>
        <w:t>“</w:t>
      </w:r>
      <w:r>
        <w:rPr>
          <w:rFonts w:eastAsia="Arial" w:cs="Arial" w:ascii="Arial" w:hAnsi="Arial"/>
          <w:b/>
        </w:rPr>
        <w:t>Third Party IP”</w:t>
      </w:r>
      <w:r>
        <w:rPr>
          <w:rFonts w:eastAsia="Arial" w:cs="Arial" w:ascii="Arial" w:hAnsi="Arial"/>
        </w:rPr>
        <w:t xml:space="preserve"> means any third party computer program, database or component that Seller purchases or licenses from any third party and distributed to Customer either as a sublicense or as a direct license from such third party, under its own license terms and conditions.</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1" w:start="100" w:end="0"/>
        <w:jc w:val="both"/>
        <w:rPr/>
      </w:pPr>
      <w:r>
        <w:rPr>
          <w:rFonts w:eastAsia="Arial" w:cs="Arial" w:ascii="Arial" w:hAnsi="Arial"/>
          <w:b/>
        </w:rPr>
        <w:t>“</w:t>
      </w:r>
      <w:r>
        <w:rPr>
          <w:rFonts w:eastAsia="Arial" w:cs="Arial" w:ascii="Arial" w:hAnsi="Arial"/>
          <w:b/>
        </w:rPr>
        <w:t>Update(s)”</w:t>
      </w:r>
      <w:r>
        <w:rPr>
          <w:rFonts w:eastAsia="Arial" w:cs="Arial" w:ascii="Arial" w:hAnsi="Arial"/>
        </w:rPr>
        <w:t xml:space="preserve"> means any update(s) or revision of Service, which Seller, at its discretion, makes generally available to Customer.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16</w:t>
      </w:r>
    </w:p>
    <w:p>
      <w:pPr>
        <w:pStyle w:val="Normal"/>
        <w:spacing w:lineRule="exact" w:line="19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end="-79"/>
        <w:jc w:val="center"/>
        <w:rPr>
          <w:rFonts w:ascii="Times New Roman" w:hAnsi="Times New Roman" w:eastAsia="Times New Roman" w:cs="Times New Roman"/>
          <w:sz w:val="16"/>
        </w:rPr>
      </w:pPr>
      <w:r>
        <w:rPr>
          <w:rFonts w:eastAsia="Times New Roman" w:cs="Times New Roman" w:ascii="Times New Roman" w:hAnsi="Times New Roman"/>
          <w:sz w:val="16"/>
        </w:rPr>
        <w:t>Version July 2020</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4">
                <wp:simplePos x="0" y="0"/>
                <wp:positionH relativeFrom="column">
                  <wp:posOffset>38100</wp:posOffset>
                </wp:positionH>
                <wp:positionV relativeFrom="paragraph">
                  <wp:posOffset>5715</wp:posOffset>
                </wp:positionV>
                <wp:extent cx="5908040" cy="0"/>
                <wp:effectExtent l="0" t="4445" r="0" b="4445"/>
                <wp:wrapNone/>
                <wp:docPr id="23" name=""/>
                <a:graphic xmlns:a="http://schemas.openxmlformats.org/drawingml/2006/main">
                  <a:graphicData uri="http://schemas.microsoft.com/office/word/2010/wordprocessingShape">
                    <wps:wsp>
                      <wps:cNvSpPr/>
                      <wps:spPr>
                        <a:xfrm>
                          <a:off x="0" y="0"/>
                          <a:ext cx="59079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pt,0.45pt" to="468.15pt,0.45pt" stroked="t" o:allowincell="f" style="position:absolute">
                <v:stroke color="black" weight="9000" joinstyle="miter" endcap="flat"/>
                <v:fill o:detectmouseclick="t" on="false"/>
                <w10:wrap type="none"/>
              </v:line>
            </w:pict>
          </mc:Fallback>
        </mc:AlternateContent>
      </w:r>
    </w:p>
    <w:sectPr>
      <w:type w:val="nextPage"/>
      <w:pgSz w:w="11906" w:h="16838"/>
      <w:pgMar w:left="1440" w:right="1126" w:gutter="0" w:header="0" w:top="948" w:footer="0" w:bottom="11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2"/>
      <w:numFmt w:val="decimal"/>
      <w:lvlText w:val="%1."/>
      <w:lvlJc w:val="start"/>
      <w:pPr>
        <w:tabs>
          <w:tab w:val="num" w:pos="0"/>
        </w:tabs>
        <w:ind w:start="0" w:hanging="0"/>
      </w:pPr>
    </w:lvl>
  </w:abstractNum>
  <w:abstractNum w:abstractNumId="5">
    <w:lvl w:ilvl="0">
      <w:start w:val="3"/>
      <w:numFmt w:val="decimal"/>
      <w:lvlText w:val="%1"/>
      <w:lvlJc w:val="start"/>
      <w:pPr>
        <w:tabs>
          <w:tab w:val="num" w:pos="0"/>
        </w:tabs>
        <w:ind w:start="0" w:hanging="0"/>
      </w:pPr>
    </w:lvl>
  </w:abstractNum>
  <w:abstractNum w:abstractNumId="6">
    <w:lvl w:ilvl="0">
      <w:start w:val="1"/>
      <w:numFmt w:val="lowerRoman"/>
      <w:lvlText w:val="(%1)"/>
      <w:lvlJc w:val="start"/>
      <w:pPr>
        <w:tabs>
          <w:tab w:val="num" w:pos="0"/>
        </w:tabs>
        <w:ind w:start="0" w:hanging="0"/>
      </w:pPr>
    </w:lvl>
  </w:abstractNum>
  <w:abstractNum w:abstractNumId="7">
    <w:lvl w:ilvl="0">
      <w:start w:val="4"/>
      <w:numFmt w:val="decimal"/>
      <w:lvlText w:val="%1"/>
      <w:lvlJc w:val="start"/>
      <w:pPr>
        <w:tabs>
          <w:tab w:val="num" w:pos="0"/>
        </w:tabs>
        <w:ind w:start="0" w:hanging="0"/>
      </w:pPr>
    </w:lvl>
  </w:abstractNum>
  <w:abstractNum w:abstractNumId="8">
    <w:lvl w:ilvl="0">
      <w:start w:val="5"/>
      <w:numFmt w:val="decimal"/>
      <w:lvlText w:val="%1"/>
      <w:lvlJc w:val="start"/>
      <w:pPr>
        <w:tabs>
          <w:tab w:val="num" w:pos="0"/>
        </w:tabs>
        <w:ind w:start="0" w:hanging="0"/>
      </w:pPr>
    </w:lvl>
  </w:abstractNum>
  <w:abstractNum w:abstractNumId="9">
    <w:lvl w:ilvl="0">
      <w:start w:val="6"/>
      <w:numFmt w:val="decimal"/>
      <w:lvlText w:val="%1"/>
      <w:lvlJc w:val="start"/>
      <w:pPr>
        <w:tabs>
          <w:tab w:val="num" w:pos="0"/>
        </w:tabs>
        <w:ind w:start="0" w:hanging="0"/>
      </w:pPr>
    </w:lvl>
  </w:abstractNum>
  <w:abstractNum w:abstractNumId="10">
    <w:lvl w:ilvl="0">
      <w:start w:val="7"/>
      <w:numFmt w:val="decimal"/>
      <w:lvlText w:val="%1"/>
      <w:lvlJc w:val="start"/>
      <w:pPr>
        <w:tabs>
          <w:tab w:val="num" w:pos="0"/>
        </w:tabs>
        <w:ind w:start="0" w:hanging="0"/>
      </w:pPr>
    </w:lvl>
  </w:abstractNum>
  <w:abstractNum w:abstractNumId="11">
    <w:lvl w:ilvl="0">
      <w:start w:val="1"/>
      <w:numFmt w:val="lowerRoman"/>
      <w:lvlText w:val="%1."/>
      <w:lvlJc w:val="start"/>
      <w:pPr>
        <w:tabs>
          <w:tab w:val="num" w:pos="0"/>
        </w:tabs>
        <w:ind w:start="0" w:hanging="0"/>
      </w:pPr>
    </w:lvl>
  </w:abstractNum>
  <w:abstractNum w:abstractNumId="12">
    <w:lvl w:ilvl="0">
      <w:start w:val="8"/>
      <w:numFmt w:val="decimal"/>
      <w:lvlText w:val="%1"/>
      <w:lvlJc w:val="start"/>
      <w:pPr>
        <w:tabs>
          <w:tab w:val="num" w:pos="0"/>
        </w:tabs>
        <w:ind w:start="0" w:hanging="0"/>
      </w:pPr>
    </w:lvl>
  </w:abstractNum>
  <w:abstractNum w:abstractNumId="13">
    <w:lvl w:ilvl="0">
      <w:start w:val="1"/>
      <w:numFmt w:val="lowerLetter"/>
      <w:lvlText w:val="%1."/>
      <w:lvlJc w:val="start"/>
      <w:pPr>
        <w:tabs>
          <w:tab w:val="num" w:pos="0"/>
        </w:tabs>
        <w:ind w:start="0" w:hanging="0"/>
      </w:pPr>
    </w:lvl>
  </w:abstractNum>
  <w:abstractNum w:abstractNumId="14">
    <w:lvl w:ilvl="0">
      <w:start w:val="2"/>
      <w:numFmt w:val="lowerLetter"/>
      <w:lvlText w:val="%1."/>
      <w:lvlJc w:val="start"/>
      <w:pPr>
        <w:tabs>
          <w:tab w:val="num" w:pos="0"/>
        </w:tabs>
        <w:ind w:start="0" w:hanging="0"/>
      </w:pPr>
    </w:lvl>
  </w:abstractNum>
  <w:abstractNum w:abstractNumId="15">
    <w:lvl w:ilvl="0">
      <w:start w:val="1"/>
      <w:numFmt w:val="lowerRoman"/>
      <w:lvlText w:val="%1."/>
      <w:lvlJc w:val="start"/>
      <w:pPr>
        <w:tabs>
          <w:tab w:val="num" w:pos="0"/>
        </w:tabs>
        <w:ind w:start="0" w:hanging="0"/>
      </w:pPr>
    </w:lvl>
  </w:abstractNum>
  <w:abstractNum w:abstractNumId="16">
    <w:lvl w:ilvl="0">
      <w:start w:val="1"/>
      <w:numFmt w:val="lowerRoman"/>
      <w:lvlText w:val="%1"/>
      <w:lvlJc w:val="start"/>
      <w:pPr>
        <w:tabs>
          <w:tab w:val="num" w:pos="0"/>
        </w:tabs>
        <w:ind w:start="0" w:hanging="0"/>
      </w:pPr>
    </w:lvl>
    <w:lvl w:ilvl="1">
      <w:start w:val="3"/>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7"/>
      <w:numFmt w:val="lowerRoman"/>
      <w:lvlText w:val="%1."/>
      <w:lvlJc w:val="start"/>
      <w:pPr>
        <w:tabs>
          <w:tab w:val="num" w:pos="0"/>
        </w:tabs>
        <w:ind w:start="0" w:hanging="0"/>
      </w:pPr>
    </w:lvl>
  </w:abstractNum>
  <w:abstractNum w:abstractNumId="18">
    <w:lvl w:ilvl="0">
      <w:start w:val="3"/>
      <w:numFmt w:val="lowerLetter"/>
      <w:lvlText w:val="%1."/>
      <w:lvlJc w:val="start"/>
      <w:pPr>
        <w:tabs>
          <w:tab w:val="num" w:pos="0"/>
        </w:tabs>
        <w:ind w:start="0" w:hanging="0"/>
      </w:pPr>
    </w:lvl>
  </w:abstractNum>
  <w:abstractNum w:abstractNumId="19">
    <w:lvl w:ilvl="0">
      <w:start w:val="12"/>
      <w:numFmt w:val="decimal"/>
      <w:lvlText w:val="(%1)"/>
      <w:lvlJc w:val="start"/>
      <w:pPr>
        <w:tabs>
          <w:tab w:val="num" w:pos="0"/>
        </w:tabs>
        <w:ind w:start="0" w:hanging="0"/>
      </w:pPr>
    </w:lvl>
  </w:abstractNum>
  <w:abstractNum w:abstractNumId="20">
    <w:lvl w:ilvl="0">
      <w:start w:val="4"/>
      <w:numFmt w:val="lowerLetter"/>
      <w:lvlText w:val="%1."/>
      <w:lvlJc w:val="start"/>
      <w:pPr>
        <w:tabs>
          <w:tab w:val="num" w:pos="0"/>
        </w:tabs>
        <w:ind w:start="0" w:hanging="0"/>
      </w:pPr>
    </w:lvl>
  </w:abstractNum>
  <w:abstractNum w:abstractNumId="21">
    <w:lvl w:ilvl="0">
      <w:start w:val="5"/>
      <w:numFmt w:val="lowerLetter"/>
      <w:lvlText w:val="%1."/>
      <w:lvlJc w:val="start"/>
      <w:pPr>
        <w:tabs>
          <w:tab w:val="num" w:pos="0"/>
        </w:tabs>
        <w:ind w:start="0" w:hanging="0"/>
      </w:pPr>
    </w:lvl>
  </w:abstractNum>
  <w:abstractNum w:abstractNumId="22">
    <w:lvl w:ilvl="0">
      <w:start w:val="6"/>
      <w:numFmt w:val="lowerLetter"/>
      <w:lvlText w:val="%1."/>
      <w:lvlJc w:val="start"/>
      <w:pPr>
        <w:tabs>
          <w:tab w:val="num" w:pos="0"/>
        </w:tabs>
        <w:ind w:start="0" w:hanging="0"/>
      </w:pPr>
    </w:lvl>
  </w:abstractNum>
  <w:abstractNum w:abstractNumId="23">
    <w:lvl w:ilvl="0">
      <w:start w:val="7"/>
      <w:numFmt w:val="lowerLetter"/>
      <w:lvlText w:val="%1."/>
      <w:lvlJc w:val="start"/>
      <w:pPr>
        <w:tabs>
          <w:tab w:val="num" w:pos="0"/>
        </w:tabs>
        <w:ind w:start="0" w:hanging="0"/>
      </w:pPr>
    </w:lvl>
  </w:abstractNum>
  <w:abstractNum w:abstractNumId="24">
    <w:lvl w:ilvl="0">
      <w:start w:val="9"/>
      <w:numFmt w:val="decimal"/>
      <w:lvlText w:val="%1"/>
      <w:lvlJc w:val="start"/>
      <w:pPr>
        <w:tabs>
          <w:tab w:val="num" w:pos="0"/>
        </w:tabs>
        <w:ind w:start="0" w:hanging="0"/>
      </w:pPr>
    </w:lvl>
  </w:abstractNum>
  <w:abstractNum w:abstractNumId="25">
    <w:lvl w:ilvl="0">
      <w:start w:val="1"/>
      <w:numFmt w:val="lowerLetter"/>
      <w:lvlText w:val="%1)"/>
      <w:lvlJc w:val="start"/>
      <w:pPr>
        <w:tabs>
          <w:tab w:val="num" w:pos="0"/>
        </w:tabs>
        <w:ind w:start="0" w:hanging="0"/>
      </w:pPr>
    </w:lvl>
  </w:abstractNum>
  <w:abstractNum w:abstractNumId="26">
    <w:lvl w:ilvl="0">
      <w:start w:val="1"/>
      <w:numFmt w:val="lowerLetter"/>
      <w:lvlText w:val="%1)"/>
      <w:lvlJc w:val="start"/>
      <w:pPr>
        <w:tabs>
          <w:tab w:val="num" w:pos="0"/>
        </w:tabs>
        <w:ind w:start="0" w:hanging="0"/>
      </w:pPr>
    </w:lvl>
  </w:abstractNum>
  <w:abstractNum w:abstractNumId="27">
    <w:lvl w:ilvl="0">
      <w:start w:val="1"/>
      <w:numFmt w:val="lowerLetter"/>
      <w:lvlText w:val="%1)"/>
      <w:lvlJc w:val="start"/>
      <w:pPr>
        <w:tabs>
          <w:tab w:val="num" w:pos="0"/>
        </w:tabs>
        <w:ind w:start="0" w:hanging="0"/>
      </w:pPr>
    </w:lvl>
  </w:abstractNum>
  <w:abstractNum w:abstractNumId="28">
    <w:lvl w:ilvl="0">
      <w:start w:val="10"/>
      <w:numFmt w:val="decimal"/>
      <w:lvlText w:val="%1"/>
      <w:lvlJc w:val="start"/>
      <w:pPr>
        <w:tabs>
          <w:tab w:val="num" w:pos="0"/>
        </w:tabs>
        <w:ind w:start="0" w:hanging="0"/>
      </w:pPr>
    </w:lvl>
  </w:abstractNum>
  <w:abstractNum w:abstractNumId="29">
    <w:lvl w:ilvl="0">
      <w:start w:val="7"/>
      <w:numFmt w:val="decimal"/>
      <w:lvlText w:val="(%1)"/>
      <w:lvlJc w:val="start"/>
      <w:pPr>
        <w:tabs>
          <w:tab w:val="num" w:pos="0"/>
        </w:tabs>
        <w:ind w:start="0" w:hanging="0"/>
      </w:pPr>
    </w:lvl>
  </w:abstractNum>
  <w:abstractNum w:abstractNumId="30">
    <w:lvl w:ilvl="0">
      <w:start w:val="11"/>
      <w:numFmt w:val="decimal"/>
      <w:lvlText w:val="%1"/>
      <w:lvlJc w:val="start"/>
      <w:pPr>
        <w:tabs>
          <w:tab w:val="num" w:pos="0"/>
        </w:tabs>
        <w:ind w:start="0" w:hanging="0"/>
      </w:pPr>
    </w:lvl>
  </w:abstractNum>
  <w:abstractNum w:abstractNumId="31">
    <w:lvl w:ilvl="0">
      <w:start w:val="12"/>
      <w:numFmt w:val="decimal"/>
      <w:lvlText w:val="%1"/>
      <w:lvlJc w:val="start"/>
      <w:pPr>
        <w:tabs>
          <w:tab w:val="num" w:pos="0"/>
        </w:tabs>
        <w:ind w:start="0" w:hanging="0"/>
      </w:pPr>
    </w:lvl>
  </w:abstractNum>
  <w:abstractNum w:abstractNumId="32">
    <w:lvl w:ilvl="0">
      <w:start w:val="13"/>
      <w:numFmt w:val="decimal"/>
      <w:lvlText w:val="%1"/>
      <w:lvlJc w:val="start"/>
      <w:pPr>
        <w:tabs>
          <w:tab w:val="num" w:pos="0"/>
        </w:tabs>
        <w:ind w:start="0" w:hanging="0"/>
      </w:pPr>
    </w:lvl>
  </w:abstractNum>
  <w:abstractNum w:abstractNumId="33">
    <w:lvl w:ilvl="0">
      <w:start w:val="1"/>
      <w:numFmt w:val="lowerLetter"/>
      <w:lvlText w:val="%1)"/>
      <w:lvlJc w:val="start"/>
      <w:pPr>
        <w:tabs>
          <w:tab w:val="num" w:pos="0"/>
        </w:tabs>
        <w:ind w:start="0" w:hanging="0"/>
      </w:pPr>
    </w:lvl>
  </w:abstractNum>
  <w:abstractNum w:abstractNumId="34">
    <w:lvl w:ilvl="0">
      <w:start w:val="1"/>
      <w:numFmt w:val="lowerRoman"/>
      <w:lvlText w:val="(%1)"/>
      <w:lvlJc w:val="start"/>
      <w:pPr>
        <w:tabs>
          <w:tab w:val="num" w:pos="0"/>
        </w:tabs>
        <w:ind w:start="0" w:hanging="0"/>
      </w:pPr>
    </w:lvl>
  </w:abstractNum>
  <w:abstractNum w:abstractNumId="35">
    <w:lvl w:ilvl="0">
      <w:start w:val="7"/>
      <w:numFmt w:val="lowerRoman"/>
      <w:lvlText w:val="(%1)"/>
      <w:lvlJc w:val="start"/>
      <w:pPr>
        <w:tabs>
          <w:tab w:val="num" w:pos="0"/>
        </w:tabs>
        <w:ind w:start="0" w:hanging="0"/>
      </w:pPr>
    </w:lvl>
  </w:abstractNum>
  <w:abstractNum w:abstractNumId="36">
    <w:lvl w:ilvl="0">
      <w:start w:val="2"/>
      <w:numFmt w:val="lowerLetter"/>
      <w:lvlText w:val="%1)"/>
      <w:lvlJc w:val="start"/>
      <w:pPr>
        <w:tabs>
          <w:tab w:val="num" w:pos="0"/>
        </w:tabs>
        <w:ind w:start="0" w:hanging="0"/>
      </w:pPr>
    </w:lvl>
  </w:abstractNum>
  <w:abstractNum w:abstractNumId="37">
    <w:lvl w:ilvl="0">
      <w:start w:val="3"/>
      <w:numFmt w:val="lowerLetter"/>
      <w:lvlText w:val="%1)"/>
      <w:lvlJc w:val="start"/>
      <w:pPr>
        <w:tabs>
          <w:tab w:val="num" w:pos="0"/>
        </w:tabs>
        <w:ind w:start="0" w:hanging="0"/>
      </w:pPr>
    </w:lvl>
  </w:abstractNum>
  <w:abstractNum w:abstractNumId="38">
    <w:lvl w:ilvl="0">
      <w:start w:val="1"/>
      <w:numFmt w:val="bullet"/>
      <w:lvlText w:val="-"/>
      <w:lvlJc w:val="start"/>
      <w:pPr>
        <w:tabs>
          <w:tab w:val="num" w:pos="0"/>
        </w:tabs>
        <w:ind w:start="0" w:hanging="0"/>
      </w:pPr>
      <w:rPr>
        <w:rFonts w:ascii="OpenSymbol" w:hAnsi="OpenSymbol" w:cs="OpenSymbol" w:hint="default"/>
      </w:rPr>
    </w:lvl>
  </w:abstractNum>
  <w:abstractNum w:abstractNumId="39">
    <w:lvl w:ilvl="0">
      <w:start w:val="1"/>
      <w:numFmt w:val="bullet"/>
      <w:lvlText w:val="-"/>
      <w:lvlJc w:val="start"/>
      <w:pPr>
        <w:tabs>
          <w:tab w:val="num" w:pos="0"/>
        </w:tabs>
        <w:ind w:start="0" w:hanging="0"/>
      </w:pPr>
      <w:rPr>
        <w:rFonts w:ascii="OpenSymbol" w:hAnsi="OpenSymbol" w:cs="OpenSymbol" w:hint="default"/>
      </w:rPr>
    </w:lvl>
  </w:abstractNum>
  <w:abstractNum w:abstractNumId="40">
    <w:lvl w:ilvl="0">
      <w:start w:val="14"/>
      <w:numFmt w:val="decimal"/>
      <w:lvlText w:val="%1"/>
      <w:lvlJc w:val="start"/>
      <w:pPr>
        <w:tabs>
          <w:tab w:val="num" w:pos="0"/>
        </w:tabs>
        <w:ind w:start="0" w:hanging="0"/>
      </w:pPr>
    </w:lvl>
  </w:abstractNum>
  <w:abstractNum w:abstractNumId="41">
    <w:lvl w:ilvl="0">
      <w:start w:val="15"/>
      <w:numFmt w:val="decimal"/>
      <w:lvlText w:val="%1"/>
      <w:lvlJc w:val="start"/>
      <w:pPr>
        <w:tabs>
          <w:tab w:val="num" w:pos="0"/>
        </w:tabs>
        <w:ind w:start="0" w:hanging="0"/>
      </w:pPr>
    </w:lvl>
  </w:abstractNum>
  <w:abstractNum w:abstractNumId="42">
    <w:lvl w:ilvl="0">
      <w:start w:val="16"/>
      <w:numFmt w:val="decimal"/>
      <w:lvlText w:val="%1"/>
      <w:lvlJc w:val="start"/>
      <w:pPr>
        <w:tabs>
          <w:tab w:val="num" w:pos="0"/>
        </w:tabs>
        <w:ind w:start="0" w:hanging="0"/>
      </w:pPr>
    </w:lvl>
  </w:abstractNum>
  <w:abstractNum w:abstractNumId="43">
    <w:lvl w:ilvl="0">
      <w:start w:val="17"/>
      <w:numFmt w:val="decimal"/>
      <w:lvlText w:val="%1"/>
      <w:lvlJc w:val="start"/>
      <w:pPr>
        <w:tabs>
          <w:tab w:val="num" w:pos="0"/>
        </w:tabs>
        <w:ind w:start="0" w:hanging="0"/>
      </w:pPr>
    </w:lvl>
  </w:abstractNum>
  <w:abstractNum w:abstractNumId="44">
    <w:lvl w:ilvl="0">
      <w:start w:val="18"/>
      <w:numFmt w:val="decimal"/>
      <w:lvlText w:val="%1"/>
      <w:lvlJc w:val="start"/>
      <w:pPr>
        <w:tabs>
          <w:tab w:val="num" w:pos="0"/>
        </w:tabs>
        <w:ind w:start="0" w:hanging="0"/>
      </w:pPr>
    </w:lvl>
  </w:abstractNum>
  <w:abstractNum w:abstractNumId="45">
    <w:lvl w:ilvl="0">
      <w:start w:val="19"/>
      <w:numFmt w:val="decimal"/>
      <w:lvlText w:val="%1"/>
      <w:lvlJc w:val="start"/>
      <w:pPr>
        <w:tabs>
          <w:tab w:val="num" w:pos="0"/>
        </w:tabs>
        <w:ind w:start="0" w:hanging="0"/>
      </w:pPr>
    </w:lvl>
  </w:abstractNum>
  <w:abstractNum w:abstractNumId="46">
    <w:lvl w:ilvl="0">
      <w:start w:val="20"/>
      <w:numFmt w:val="decimal"/>
      <w:lvlText w:val="%1"/>
      <w:lvlJc w:val="start"/>
      <w:pPr>
        <w:tabs>
          <w:tab w:val="num" w:pos="0"/>
        </w:tabs>
        <w:ind w:start="0" w:hanging="0"/>
      </w:pPr>
    </w:lvl>
  </w:abstractNum>
  <w:abstractNum w:abstractNumId="47">
    <w:lvl w:ilvl="0">
      <w:start w:val="21"/>
      <w:numFmt w:val="decimal"/>
      <w:lvlText w:val="%1"/>
      <w:lvlJc w:val="start"/>
      <w:pPr>
        <w:tabs>
          <w:tab w:val="num" w:pos="0"/>
        </w:tabs>
        <w:ind w:start="0" w:hanging="0"/>
      </w:pPr>
    </w:lvl>
  </w:abstractNum>
  <w:abstractNum w:abstractNumId="48">
    <w:lvl w:ilvl="0">
      <w:start w:val="22"/>
      <w:numFmt w:val="decimal"/>
      <w:lvlText w:val="%1"/>
      <w:lvlJc w:val="start"/>
      <w:pPr>
        <w:tabs>
          <w:tab w:val="num" w:pos="0"/>
        </w:tabs>
        <w:ind w:start="0" w:hanging="0"/>
      </w:pPr>
    </w:lvl>
  </w:abstractNum>
  <w:abstractNum w:abstractNumId="49">
    <w:lvl w:ilvl="0">
      <w:start w:val="23"/>
      <w:numFmt w:val="decimal"/>
      <w:lvlText w:val="%1"/>
      <w:lvlJc w:val="start"/>
      <w:pPr>
        <w:tabs>
          <w:tab w:val="num" w:pos="0"/>
        </w:tabs>
        <w:ind w:start="0" w:hanging="0"/>
      </w:pPr>
    </w:lvl>
  </w:abstractNum>
  <w:abstractNum w:abstractNumId="50">
    <w:lvl w:ilvl="0">
      <w:start w:val="24"/>
      <w:numFmt w:val="decimal"/>
      <w:lvlText w:val="%1"/>
      <w:lvlJc w:val="start"/>
      <w:pPr>
        <w:tabs>
          <w:tab w:val="num" w:pos="0"/>
        </w:tabs>
        <w:ind w:start="0" w:hanging="0"/>
      </w:pPr>
    </w:lvl>
  </w:abstractNum>
  <w:abstractNum w:abstractNumId="51">
    <w:lvl w:ilvl="0">
      <w:start w:val="25"/>
      <w:numFmt w:val="decimal"/>
      <w:lvlText w:val="%1"/>
      <w:lvlJc w:val="start"/>
      <w:pPr>
        <w:tabs>
          <w:tab w:val="num" w:pos="0"/>
        </w:tabs>
        <w:ind w:start="0" w:hanging="0"/>
      </w:pPr>
    </w:lvl>
  </w:abstractNum>
  <w:abstractNum w:abstractNumId="52">
    <w:lvl w:ilvl="0">
      <w:start w:val="1"/>
      <w:numFmt w:val="lowerLetter"/>
      <w:lvlText w:val="(%1)"/>
      <w:lvlJc w:val="start"/>
      <w:pPr>
        <w:tabs>
          <w:tab w:val="num" w:pos="0"/>
        </w:tabs>
        <w:ind w:start="0" w:hanging="0"/>
      </w:pPr>
    </w:lvl>
  </w:abstractNum>
  <w:abstractNum w:abstractNumId="5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irbusworldadmin@airbus.com" TargetMode="External"/><Relationship Id="rId3" Type="http://schemas.openxmlformats.org/officeDocument/2006/relationships/hyperlink" Target="https://spares.airbus.com/portal/documents/priority-orders-policy-2019.cms.port" TargetMode="External"/><Relationship Id="rId4" Type="http://schemas.openxmlformats.org/officeDocument/2006/relationships/hyperlink" Target="https://www.airbus.com/general-terms-and-conditions-of-supply.html"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16</Pages>
  <Words>10488</Words>
  <Characters>56856</Characters>
  <CharactersWithSpaces>66923</CharactersWithSpaces>
  <Paragraphs>328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