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79"/>
        <w:jc w:val="center"/>
        <w:rPr/>
      </w:pPr>
      <w:bookmarkStart w:id="0" w:name="page1"/>
      <w:bookmarkEnd w:id="0"/>
      <w:r>
        <w:rPr>
          <w:rFonts w:eastAsia="Times New Roman" w:cs="Times New Roman" w:ascii="Times New Roman" w:hAnsi="Times New Roman"/>
          <w:b/>
          <w:sz w:val="30"/>
        </w:rPr>
        <w:t>F</w:t>
      </w:r>
      <w:r>
        <w:rPr>
          <w:rFonts w:eastAsia="Times New Roman" w:cs="Times New Roman" w:ascii="Times New Roman" w:hAnsi="Times New Roman"/>
          <w:b/>
          <w:sz w:val="21"/>
        </w:rPr>
        <w:t>ilipino</w:t>
      </w:r>
      <w:r>
        <w:rPr>
          <w:rFonts w:eastAsia="Times New Roman" w:cs="Times New Roman" w:ascii="Times New Roman" w:hAnsi="Times New Roman"/>
          <w:b/>
          <w:sz w:val="30"/>
        </w:rPr>
        <w:t xml:space="preserve"> C</w:t>
      </w:r>
      <w:r>
        <w:rPr>
          <w:rFonts w:eastAsia="Times New Roman" w:cs="Times New Roman" w:ascii="Times New Roman" w:hAnsi="Times New Roman"/>
          <w:b/>
          <w:sz w:val="21"/>
        </w:rPr>
        <w:t>all</w:t>
      </w:r>
      <w:r>
        <w:rPr>
          <w:rFonts w:eastAsia="Times New Roman" w:cs="Times New Roman" w:ascii="Times New Roman" w:hAnsi="Times New Roman"/>
          <w:b/>
          <w:sz w:val="30"/>
        </w:rPr>
        <w:t xml:space="preserve"> C</w:t>
      </w:r>
      <w:r>
        <w:rPr>
          <w:rFonts w:eastAsia="Times New Roman" w:cs="Times New Roman" w:ascii="Times New Roman" w:hAnsi="Times New Roman"/>
          <w:b/>
          <w:sz w:val="21"/>
        </w:rPr>
        <w:t>enter</w:t>
      </w:r>
      <w:r>
        <w:rPr>
          <w:rFonts w:eastAsia="Times New Roman" w:cs="Times New Roman" w:ascii="Times New Roman" w:hAnsi="Times New Roman"/>
          <w:b/>
          <w:sz w:val="30"/>
        </w:rPr>
        <w:t xml:space="preserve"> A</w:t>
      </w:r>
      <w:r>
        <w:rPr>
          <w:rFonts w:eastAsia="Times New Roman" w:cs="Times New Roman" w:ascii="Times New Roman" w:hAnsi="Times New Roman"/>
          <w:b/>
          <w:sz w:val="21"/>
        </w:rPr>
        <w:t>gents</w:t>
      </w:r>
      <w:r>
        <w:rPr>
          <w:rFonts w:eastAsia="Times New Roman" w:cs="Times New Roman" w:ascii="Times New Roman" w:hAnsi="Times New Roman"/>
          <w:b/>
          <w:sz w:val="30"/>
        </w:rPr>
        <w:t>’ E</w:t>
      </w:r>
      <w:r>
        <w:rPr>
          <w:rFonts w:eastAsia="Times New Roman" w:cs="Times New Roman" w:ascii="Times New Roman" w:hAnsi="Times New Roman"/>
          <w:b/>
          <w:sz w:val="21"/>
        </w:rPr>
        <w:t>nglish</w:t>
      </w:r>
      <w:r>
        <w:rPr>
          <w:rFonts w:eastAsia="Times New Roman" w:cs="Times New Roman" w:ascii="Times New Roman" w:hAnsi="Times New Roman"/>
          <w:b/>
          <w:sz w:val="30"/>
        </w:rPr>
        <w:t xml:space="preserve"> C</w:t>
      </w:r>
      <w:r>
        <w:rPr>
          <w:rFonts w:eastAsia="Times New Roman" w:cs="Times New Roman" w:ascii="Times New Roman" w:hAnsi="Times New Roman"/>
          <w:b/>
          <w:sz w:val="21"/>
        </w:rPr>
        <w:t>ommunication</w:t>
      </w:r>
    </w:p>
    <w:p>
      <w:pPr>
        <w:pStyle w:val="Normal"/>
        <w:spacing w:lineRule="exact" w:line="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pPr>
      <w:r>
        <w:rPr>
          <w:rFonts w:eastAsia="Times New Roman" w:cs="Times New Roman" w:ascii="Times New Roman" w:hAnsi="Times New Roman"/>
          <w:b/>
          <w:sz w:val="30"/>
        </w:rPr>
        <w:t>P</w:t>
      </w:r>
      <w:r>
        <w:rPr>
          <w:rFonts w:eastAsia="Times New Roman" w:cs="Times New Roman" w:ascii="Times New Roman" w:hAnsi="Times New Roman"/>
          <w:b/>
          <w:sz w:val="21"/>
        </w:rPr>
        <w:t>roficiency and</w:t>
      </w:r>
      <w:r>
        <w:rPr>
          <w:rFonts w:eastAsia="Times New Roman" w:cs="Times New Roman" w:ascii="Times New Roman" w:hAnsi="Times New Roman"/>
          <w:b/>
          <w:sz w:val="30"/>
        </w:rPr>
        <w:t xml:space="preserve"> H</w:t>
      </w:r>
      <w:r>
        <w:rPr>
          <w:rFonts w:eastAsia="Times New Roman" w:cs="Times New Roman" w:ascii="Times New Roman" w:hAnsi="Times New Roman"/>
          <w:b/>
          <w:sz w:val="21"/>
        </w:rPr>
        <w:t>ow</w:t>
      </w:r>
      <w:r>
        <w:rPr>
          <w:rFonts w:eastAsia="Times New Roman" w:cs="Times New Roman" w:ascii="Times New Roman" w:hAnsi="Times New Roman"/>
          <w:b/>
          <w:sz w:val="30"/>
        </w:rPr>
        <w:t xml:space="preserve"> T</w:t>
      </w:r>
      <w:r>
        <w:rPr>
          <w:rFonts w:eastAsia="Times New Roman" w:cs="Times New Roman" w:ascii="Times New Roman" w:hAnsi="Times New Roman"/>
          <w:b/>
          <w:sz w:val="21"/>
        </w:rPr>
        <w:t>hey</w:t>
      </w:r>
      <w:r>
        <w:rPr>
          <w:rFonts w:eastAsia="Times New Roman" w:cs="Times New Roman" w:ascii="Times New Roman" w:hAnsi="Times New Roman"/>
          <w:b/>
          <w:sz w:val="30"/>
        </w:rPr>
        <w:t xml:space="preserve"> D</w:t>
      </w:r>
      <w:r>
        <w:rPr>
          <w:rFonts w:eastAsia="Times New Roman" w:cs="Times New Roman" w:ascii="Times New Roman" w:hAnsi="Times New Roman"/>
          <w:b/>
          <w:sz w:val="21"/>
        </w:rPr>
        <w:t>eveloped</w:t>
      </w:r>
      <w:r>
        <w:rPr>
          <w:rFonts w:eastAsia="Times New Roman" w:cs="Times New Roman" w:ascii="Times New Roman" w:hAnsi="Times New Roman"/>
          <w:b/>
          <w:sz w:val="30"/>
        </w:rPr>
        <w:t xml:space="preserve"> I</w:t>
      </w:r>
      <w:r>
        <w:rPr>
          <w:rFonts w:eastAsia="Times New Roman" w:cs="Times New Roman" w:ascii="Times New Roman" w:hAnsi="Times New Roman"/>
          <w:b/>
          <w:sz w:val="21"/>
        </w:rPr>
        <w:t>t</w:t>
      </w:r>
    </w:p>
    <w:p>
      <w:pPr>
        <w:pStyle w:val="Normal"/>
        <w:spacing w:lineRule="exact" w:line="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0"/>
        <w:jc w:val="center"/>
        <w:rPr>
          <w:rFonts w:ascii="Times New Roman" w:hAnsi="Times New Roman" w:eastAsia="Times New Roman" w:cs="Times New Roman"/>
          <w:sz w:val="22"/>
        </w:rPr>
      </w:pPr>
      <w:r>
        <w:rPr>
          <w:rFonts w:eastAsia="Times New Roman" w:cs="Times New Roman" w:ascii="Times New Roman" w:hAnsi="Times New Roman"/>
          <w:sz w:val="22"/>
        </w:rPr>
        <w:t>Lordjane Mandar, Romeo Barrios, Precious Tayaben, Eunice Aclan,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Times New Roman" w:hAnsi="Times New Roman" w:eastAsia="Times New Roman" w:cs="Times New Roman"/>
          <w:sz w:val="22"/>
        </w:rPr>
      </w:pPr>
      <w:r>
        <w:rPr>
          <w:rFonts w:eastAsia="Times New Roman" w:cs="Times New Roman" w:ascii="Times New Roman" w:hAnsi="Times New Roman"/>
          <w:sz w:val="22"/>
        </w:rPr>
        <w:t>Gracel Ann Saban, Kathleen Flores, Jeremiah Fameronag</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rFonts w:ascii="Times New Roman" w:hAnsi="Times New Roman" w:eastAsia="Times New Roman" w:cs="Times New Roman"/>
          <w:b/>
          <w:sz w:val="28"/>
        </w:rPr>
      </w:pPr>
      <w:r>
        <w:rPr>
          <w:rFonts w:eastAsia="Times New Roman" w:cs="Times New Roman" w:ascii="Times New Roman" w:hAnsi="Times New Roman"/>
          <w:b/>
          <w:sz w:val="28"/>
        </w:rPr>
        <w:t>Abstract</w:t>
      </w:r>
    </w:p>
    <w:p>
      <w:pPr>
        <w:pStyle w:val="Normal"/>
        <w:spacing w:lineRule="auto" w:line="180"/>
        <w:ind w:hanging="678" w:start="1360" w:end="720"/>
        <w:jc w:val="both"/>
        <w:rPr/>
      </w:pPr>
      <w:r>
        <w:rPr>
          <w:rFonts w:eastAsia="Times New Roman" w:cs="Times New Roman" w:ascii="Times New Roman" w:hAnsi="Times New Roman"/>
          <w:b/>
          <w:sz w:val="75"/>
        </w:rPr>
        <w:t>T</w:t>
      </w:r>
      <w:r>
        <w:rPr>
          <w:rFonts w:eastAsia="Times New Roman" w:cs="Times New Roman" w:ascii="Times New Roman" w:hAnsi="Times New Roman"/>
        </w:rPr>
        <w:t>his study aimed at determining the English communication proficiency of Fili-pino Call Center Agents (CCAs), specifically their vocabulary and oral com-munication skills. It sought answers to the following research questions: (1)</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403860</wp:posOffset>
                </wp:positionH>
                <wp:positionV relativeFrom="paragraph">
                  <wp:posOffset>-565785</wp:posOffset>
                </wp:positionV>
                <wp:extent cx="4913630" cy="0"/>
                <wp:effectExtent l="0" t="6350" r="0" b="6350"/>
                <wp:wrapNone/>
                <wp:docPr id="1" name=""/>
                <a:graphic xmlns:a="http://schemas.openxmlformats.org/drawingml/2006/main">
                  <a:graphicData uri="http://schemas.microsoft.com/office/word/2010/wordprocessingShape">
                    <wps:wsp>
                      <wps:cNvSpPr/>
                      <wps:spPr>
                        <a:xfrm>
                          <a:off x="0" y="0"/>
                          <a:ext cx="49136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1.8pt,-44.55pt" to="418.65pt,-44.55pt" stroked="t" o:allowincell="f" style="position:absolute">
                <v:stroke color="black" weight="12600" joinstyle="miter" endcap="flat"/>
                <v:fill o:detectmouseclick="t" on="false"/>
                <w10:wrap type="none"/>
              </v:line>
            </w:pict>
          </mc:Fallback>
        </mc:AlternateContent>
      </w:r>
    </w:p>
    <w:p>
      <w:pPr>
        <w:pStyle w:val="Normal"/>
        <w:spacing w:lineRule="auto" w:line="264"/>
        <w:ind w:start="720" w:end="720"/>
        <w:jc w:val="both"/>
        <w:rPr/>
      </w:pPr>
      <w:r>
        <w:rPr>
          <w:rFonts w:eastAsia="Times New Roman" w:cs="Times New Roman" w:ascii="Times New Roman" w:hAnsi="Times New Roman"/>
          <w:sz w:val="21"/>
        </w:rPr>
        <w:t>What is the proficiency level of the respondents in terms of vocabulary skills and oral communication skills? (2) Is there a significant difference in the vocabulary skills and oral communication skills of respondents based on the following variables: a) age; b) educational attainment; c) gender; and d) length of work experience as a call center agent? (3) How did the participants develop their vocabulary and oral communication skills? This mixed method study was conducted in Iloilo City, Philippines with 107 respondents (72 females and 35 males). Quantitative method was used to answer RQs 1 and 2 and qualitative method to answer RQ3. The finding shows that the proficien-cy level of the Filipino CCAs was categorized as intermediate in their vocabulary skills and expert in oral communication skills. There is no significant difference in the agents’ vocabulary skill and oral communication skill when gender, educational attain-ment, and length of work experience are compared. However, the language status in terms of age is significant on their vocabulary skills while considered insignificant in oral communication skills. Overall, the Filipino CCAs tend to have better oral commu-nication skills than vocabulary skills. Five major themes emerged from the interview data of eight participants: actual language use; reading and practicing newly acquired vocabulary; immersion, audiovisuals, and media for imitation and comprehension; call center trainings; and consulting the dictionary.</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b/>
          <w:i/>
          <w:sz w:val="22"/>
        </w:rPr>
        <w:t>Keywords:</w:t>
      </w:r>
      <w:r>
        <w:rPr>
          <w:rFonts w:eastAsia="Times New Roman" w:cs="Times New Roman" w:ascii="Times New Roman" w:hAnsi="Times New Roman"/>
          <w:i/>
          <w:sz w:val="22"/>
        </w:rPr>
        <w:t xml:space="preserve"> call center agents, English proficiency, oral communications</w:t>
      </w:r>
    </w:p>
    <w:p>
      <w:pPr>
        <w:sectPr>
          <w:type w:val="nextPage"/>
          <w:pgSz w:w="10800" w:h="14400"/>
          <w:pgMar w:left="360" w:right="1440" w:gutter="0" w:header="0" w:top="1130" w:footer="0" w:bottom="17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rFonts w:eastAsia="Times New Roman" w:cs="Times New Roman" w:ascii="Times New Roman" w:hAnsi="Times New Roman"/>
          <w:sz w:val="21"/>
        </w:rPr>
        <w:t>Call center agents (CCAs) or customer service representatives (CSRs), who are not necessarily title holders in English communication, are im-portant human resources particularly in countries where Business process outsourcing (BPO) exists such as in the Philippines. Their job deals with different people with diverse cultures, interests, and personalities. CCAs need to communicate best to their clients globally as they are the call center industry’s frontline. They are responsible for craft-ing long-term relationships with customers aside from dealing with tricky situation like receiving complaints over the phone (Smith, 2013) and all these can be done by good English communica-</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jc w:val="both"/>
        <w:rPr/>
      </w:pPr>
      <w:r>
        <w:rPr>
          <w:rFonts w:eastAsia="Times New Roman" w:cs="Times New Roman" w:ascii="Times New Roman" w:hAnsi="Times New Roman"/>
          <w:sz w:val="21"/>
        </w:rPr>
        <w:t>tion skills. The Philippines is declared as the “Call Center Capital of the World” (The Manila Times, 2013). Chanco (2017) stated that “the BPO sector is expected to generate $40 billion in revenues, 7.6 million direct and indirect jobs, 500,000 jobs out-side of the National Capital Region, and cover 15 percent of the total global outsourcing market by the end of 2022 (para 1). To meet such demand, the teaching of English in schools, colleges, and universities have to be strengthened with good ma-terials that address the need of CCAs. Therefore, there is a need to determine the language proficien-</w:t>
      </w:r>
      <w:r>
        <w:rPr/>
        <w:t>cy status of CCAs in the Philippines and the com-munication strategies they use.</w:t>
      </w:r>
    </w:p>
    <w:p>
      <w:pPr>
        <w:sectPr>
          <w:type w:val="continuous"/>
          <w:pgSz w:w="10800" w:h="14400"/>
          <w:pgMar w:left="360" w:right="1440" w:gutter="0" w:header="0" w:top="1130" w:footer="0" w:bottom="176"/>
          <w:cols w:num="2" w:space="240" w:equalWidth="true" w:sep="false"/>
          <w:formProt w:val="false"/>
          <w:textDirection w:val="lrTb"/>
          <w:docGrid w:type="default" w:linePitch="360" w:charSpace="0"/>
        </w:sectPr>
      </w:pPr>
    </w:p>
    <w:tbl>
      <w:tblPr>
        <w:tblW w:w="6680" w:type="dxa"/>
        <w:jc w:val="start"/>
        <w:tblInd w:w="2240" w:type="dxa"/>
        <w:tblLayout w:type="fixed"/>
        <w:tblCellMar>
          <w:top w:w="0" w:type="dxa"/>
          <w:start w:w="0" w:type="dxa"/>
          <w:bottom w:w="0" w:type="dxa"/>
          <w:end w:w="0" w:type="dxa"/>
        </w:tblCellMar>
      </w:tblPr>
      <w:tblGrid>
        <w:gridCol w:w="6260"/>
        <w:gridCol w:w="420"/>
      </w:tblGrid>
      <w:tr>
        <w:trPr>
          <w:trHeight w:val="284" w:hRule="atLeast"/>
        </w:trPr>
        <w:tc>
          <w:tcPr>
            <w:tcW w:w="6260" w:type="dxa"/>
            <w:tcBorders/>
          </w:tcPr>
          <w:p>
            <w:pPr>
              <w:pStyle w:val="Normal"/>
              <w:spacing w:lineRule="atLeast" w:line="0"/>
              <w:rPr/>
            </w:pPr>
            <w:bookmarkStart w:id="1" w:name="page2"/>
            <w:bookmarkEnd w:id="1"/>
            <w:r>
              <w:rPr>
                <w:rFonts w:eastAsia="Times New Roman" w:cs="Times New Roman" w:ascii="Times New Roman" w:hAnsi="Times New Roman"/>
                <w:sz w:val="16"/>
              </w:rPr>
              <w:t>Filipino Call Center Agents’ English Communication Proficiency and How They Developed It</w:t>
            </w:r>
          </w:p>
        </w:tc>
        <w:tc>
          <w:tcPr>
            <w:tcW w:w="420" w:type="dxa"/>
            <w:tcBorders/>
          </w:tcPr>
          <w:p>
            <w:pPr>
              <w:pStyle w:val="Normal"/>
              <w:spacing w:lineRule="atLeast" w:line="0"/>
              <w:jc w:val="end"/>
              <w:rPr>
                <w:rFonts w:ascii="Century Gothic" w:hAnsi="Century Gothic" w:eastAsia="Century Gothic" w:cs="Century Gothic"/>
                <w:b/>
              </w:rPr>
            </w:pPr>
            <w:r>
              <w:rPr>
                <w:rFonts w:eastAsia="Century Gothic" w:cs="Century Gothic" w:ascii="Century Gothic" w:hAnsi="Century Gothic"/>
                <w:b/>
              </w:rPr>
              <w:t>21</w:t>
            </w:r>
          </w:p>
        </w:tc>
      </w:tr>
    </w:tbl>
    <w:p>
      <w:pPr>
        <w:sectPr>
          <w:type w:val="nextPage"/>
          <w:pgSz w:w="10800" w:h="14400"/>
          <w:pgMar w:left="1440" w:right="360" w:gutter="0" w:header="0" w:top="559" w:footer="0" w:bottom="0"/>
          <w:pgNumType w:fmt="decimal"/>
          <w:formProt w:val="false"/>
          <w:textDirection w:val="lrTb"/>
          <w:docGrid w:type="default" w:linePitch="360" w:charSpace="0"/>
        </w:sectPr>
      </w:pPr>
    </w:p>
    <w:p>
      <w:pPr>
        <w:pStyle w:val="Normal"/>
        <w:spacing w:lineRule="exact" w:line="16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1"/>
        <w:ind w:firstLine="720" w:end="0"/>
        <w:jc w:val="both"/>
        <w:rPr/>
      </w:pPr>
      <w:r>
        <w:rPr>
          <w:rFonts w:eastAsia="Times New Roman" w:cs="Times New Roman" w:ascii="Times New Roman" w:hAnsi="Times New Roman"/>
          <w:sz w:val="21"/>
        </w:rPr>
        <w:t>Mastery of the English language is of ut-most importance to become a highly efficient and proficient call center agent. It includes compe-tence in grammar, vocabulary including idiomat-ic expressions commonly used by native English speakers who constitute the number of call cen-ter clients, as well fluency and pronunciation to be understood well by the customers. Schelmetic (2012) believes that it is not enough to simply un-derstand what customers are saying. Inability to understand foreign customers’ culture can leave a call center agent with dissatisfied customers. In any call transaction, it is important that call cen-ter agents must have a broad understanding of not only languages but world cultures. Indeed, language and culture are inseparable. Studies show that Filipinos speak English, but not at the level of what the international industry is looking for. Graduates usually fail when they engage in a free-flowing conversation and when they talk about business communication (Mercado as cited in Dumlao, 2013). A study in Manila, Philippines (2012) showed that out of 100 applicants to lo-cal outsourcing companies, 95 were turned down. Forty-nine percent of the overall jobs remained unfilled simply because a competent candidate could not be found. The most important skills are English proficiency specifically oral communica-tion skills as well as critical thinking and problem solving (Visconti, 2012).</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-4980940</wp:posOffset>
                </wp:positionV>
                <wp:extent cx="5715000" cy="0"/>
                <wp:effectExtent l="0" t="3175" r="0" b="3175"/>
                <wp:wrapNone/>
                <wp:docPr id="2"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92.2pt" to="449.95pt,-39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-5006340</wp:posOffset>
                </wp:positionV>
                <wp:extent cx="5715000" cy="0"/>
                <wp:effectExtent l="0" t="9525" r="0" b="9525"/>
                <wp:wrapNone/>
                <wp:docPr id="3"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394.2pt" to="449.95pt,-394.2pt" stroked="t" o:allowincell="f" style="position:absolute">
                <v:stroke color="black" weight="19080" joinstyle="miter" endcap="flat"/>
                <v:fill o:detectmouseclick="t" on="false"/>
                <w10:wrap type="none"/>
              </v:line>
            </w:pict>
          </mc:Fallback>
        </mc:AlternateContent>
      </w:r>
    </w:p>
    <w:p>
      <w:pPr>
        <w:pStyle w:val="Normal"/>
        <w:spacing w:lineRule="auto" w:line="261"/>
        <w:ind w:firstLine="720" w:end="0"/>
        <w:jc w:val="both"/>
        <w:rPr/>
      </w:pPr>
      <w:r>
        <w:rPr>
          <w:rFonts w:eastAsia="Times New Roman" w:cs="Times New Roman" w:ascii="Times New Roman" w:hAnsi="Times New Roman"/>
          <w:sz w:val="21"/>
        </w:rPr>
        <w:t>Graduates’ weaknesses can be traced to the English communication curricula which the Filipino graduates took in college. They are to be globally competent workers who will work in the country or abroad. English language proficiency regression in Philippine English education should not be overlooked. The Department of Education (Mclean, 2010) ascertained that for every five public high school teachers, only one is proficient in English. When this problem transpires, it will be difficult to find employers because of their in-adequate English language skills. A negative ob-servation on Filipinos’ English communication skills was found by Mendoza (2012) mentioning an anonymous outsourcing and offshore foreign manager who believed that every Filipino who plans to work in a call center and whose English is good enough is already working in a call center.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635</wp:posOffset>
                </wp:positionV>
                <wp:extent cx="5715000" cy="0"/>
                <wp:effectExtent l="0" t="10160" r="0" b="10160"/>
                <wp:wrapNone/>
                <wp:docPr id="4"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0pt" to="449.95pt,0pt" stroked="t" o:allowincell="f" style="position:absolute">
                <v:stroke color="black" weight="19080" joinstyle="miter" endcap="flat"/>
                <v:fill o:detectmouseclick="t" on="false"/>
                <w10:wrap type="none"/>
              </v:line>
            </w:pict>
          </mc:Fallback>
        </mc:AlternateContent>
      </w:r>
    </w:p>
    <w:p>
      <w:pPr>
        <w:pStyle w:val="Normal"/>
        <w:spacing w:lineRule="exact" w:line="16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In El Salvador, intermediate and advanced level students learning English as a Second Lan-guage (ESL) consider call centers as their first and best option for working (Acosta, Umana, &amp; Go-mez, 2012). Acosta et al. said that:</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6"/>
        <w:ind w:start="360" w:end="0"/>
        <w:jc w:val="both"/>
        <w:rPr>
          <w:rFonts w:ascii="Times New Roman" w:hAnsi="Times New Roman" w:eastAsia="Times New Roman" w:cs="Times New Roman"/>
          <w:i/>
          <w:i/>
          <w:sz w:val="21"/>
        </w:rPr>
      </w:pPr>
      <w:r>
        <w:rPr>
          <w:rFonts w:eastAsia="Times New Roman" w:cs="Times New Roman" w:ascii="Times New Roman" w:hAnsi="Times New Roman"/>
          <w:i/>
          <w:sz w:val="21"/>
        </w:rPr>
        <w:t>Students think of a call center as a wide range of possibilities not only for improving their possibilities but also the opportunity to make money without quitting their major… None-theless, not all of the Intermediate and Ad-vanced English level students are conditioned to be employed by a call center. As a matter of fact, less than 20% of the students are accept-ed as customer service agents. (pp. 4-5)</w:t>
      </w:r>
    </w:p>
    <w:p>
      <w:pPr>
        <w:pStyle w:val="Normal"/>
        <w:spacing w:lineRule="exact" w:line="21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49"/>
        <w:ind w:firstLine="720" w:end="0"/>
        <w:jc w:val="both"/>
        <w:rPr/>
      </w:pPr>
      <w:r>
        <w:rPr>
          <w:rFonts w:eastAsia="Times New Roman" w:cs="Times New Roman" w:ascii="Times New Roman" w:hAnsi="Times New Roman"/>
          <w:sz w:val="22"/>
        </w:rPr>
        <w:t>As mentioned above, the English profi-ciency level acquired for some ESL students does not meet the requirements that call centers need when hiring a call center agent; a CCA must be prepared to achieve the adequate oral proficiency demanded by the call center industry. The English language is a must to communicate clearly with the costumers around the world.</w:t>
      </w:r>
    </w:p>
    <w:p>
      <w:pPr>
        <w:pStyle w:val="Normal"/>
        <w:spacing w:lineRule="exact" w:line="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4"/>
        <w:ind w:firstLine="720" w:end="0"/>
        <w:jc w:val="both"/>
        <w:rPr/>
      </w:pPr>
      <w:r>
        <w:rPr>
          <w:rFonts w:eastAsia="Times New Roman" w:cs="Times New Roman" w:ascii="Times New Roman" w:hAnsi="Times New Roman"/>
          <w:sz w:val="21"/>
        </w:rPr>
        <w:t>Having worked in a call center, the main researcher experienced the similar predicaments and was fully convinced that English proficiency is the key to the success in the call center work-place. This situation incited the researcher to study the English language status of CCAs and the chal-lenges and strategies they use in the workplace. These identified language conditions would be an appropriate basis to formulate a guide in teaching English communication and further enhance the learners’ communication skills.</w:t>
      </w:r>
    </w:p>
    <w:p>
      <w:pPr>
        <w:pStyle w:val="Normal"/>
        <w:spacing w:lineRule="exact" w:line="22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Research Questions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360" w:leader="none"/>
        </w:tabs>
        <w:spacing w:lineRule="auto" w:line="249"/>
        <w:ind w:hanging="358" w:start="360" w:end="0"/>
        <w:jc w:val="both"/>
        <w:rPr>
          <w:rFonts w:ascii="Times New Roman" w:hAnsi="Times New Roman" w:eastAsia="Times New Roman" w:cs="Times New Roman"/>
          <w:b/>
          <w:sz w:val="22"/>
        </w:rPr>
      </w:pPr>
      <w:r>
        <w:rPr>
          <w:rFonts w:eastAsia="Times New Roman" w:cs="Times New Roman" w:ascii="Times New Roman" w:hAnsi="Times New Roman"/>
          <w:sz w:val="22"/>
        </w:rPr>
        <w:t>What is the proficiency level of the respon-dents in terms of vocabulary skills and oral communication skills?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clear" w:pos="720"/>
          <w:tab w:val="left" w:pos="360" w:leader="none"/>
        </w:tabs>
        <w:spacing w:lineRule="auto" w:line="261"/>
        <w:ind w:hanging="358" w:start="360" w:end="0"/>
        <w:jc w:val="both"/>
        <w:rPr>
          <w:rFonts w:ascii="Times New Roman" w:hAnsi="Times New Roman" w:eastAsia="Times New Roman" w:cs="Times New Roman"/>
          <w:sz w:val="21"/>
        </w:rPr>
      </w:pPr>
      <w:r>
        <w:rPr>
          <w:rFonts w:eastAsia="Times New Roman" w:cs="Times New Roman" w:ascii="Times New Roman" w:hAnsi="Times New Roman"/>
          <w:sz w:val="21"/>
        </w:rPr>
        <w:t>Is there a significant difference in the vocab-ulary skills and oral communication skills of respondents based on the following variables:</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1"/>
        </w:numPr>
        <w:tabs>
          <w:tab w:val="clear" w:pos="720"/>
          <w:tab w:val="left" w:pos="608" w:leader="none"/>
        </w:tabs>
        <w:spacing w:lineRule="auto" w:line="249"/>
        <w:ind w:firstLine="2" w:start="360" w:end="0"/>
        <w:jc w:val="both"/>
        <w:rPr>
          <w:rFonts w:ascii="Times New Roman" w:hAnsi="Times New Roman" w:eastAsia="Times New Roman" w:cs="Times New Roman"/>
          <w:sz w:val="22"/>
        </w:rPr>
      </w:pPr>
      <w:r>
        <w:rPr>
          <w:rFonts w:eastAsia="Times New Roman" w:cs="Times New Roman" w:ascii="Times New Roman" w:hAnsi="Times New Roman"/>
          <w:sz w:val="22"/>
        </w:rPr>
        <w:t>age; b) educational attainment; c) gender; and d) length of work experience as a call cen-ter agent?</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60" w:leader="none"/>
        </w:tabs>
        <w:spacing w:lineRule="auto" w:line="307"/>
        <w:ind w:hanging="358" w:start="360" w:end="0"/>
        <w:rPr>
          <w:rFonts w:ascii="Times New Roman" w:hAnsi="Times New Roman" w:eastAsia="Times New Roman" w:cs="Times New Roman"/>
          <w:sz w:val="21"/>
        </w:rPr>
      </w:pPr>
      <w:r>
        <w:rPr>
          <w:rFonts w:eastAsia="Times New Roman" w:cs="Times New Roman" w:ascii="Times New Roman" w:hAnsi="Times New Roman"/>
          <w:sz w:val="21"/>
        </w:rPr>
        <w:t>How did the participants develop their vocab-ulary skills and oral communication skills?</w:t>
      </w:r>
    </w:p>
    <w:p>
      <w:pPr>
        <w:sectPr>
          <w:type w:val="continuous"/>
          <w:pgSz w:w="10800" w:h="14400"/>
          <w:pgMar w:left="1440" w:right="360" w:gutter="0" w:header="0" w:top="559" w:footer="0" w:bottom="0"/>
          <w:cols w:num="2" w:space="240" w:equalWidth="true" w:sep="false"/>
          <w:formProt w:val="false"/>
          <w:textDirection w:val="lrTb"/>
          <w:docGrid w:type="default" w:linePitch="360" w:charSpace="0"/>
        </w:sectPr>
      </w:pP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6980" w:leader="none"/>
        </w:tabs>
        <w:spacing w:lineRule="atLeast" w:line="0"/>
        <w:ind w:start="40" w:end="0"/>
        <w:rPr/>
      </w:pPr>
      <w:r>
        <w:rPr>
          <w:rFonts w:eastAsia="Times New Roman" w:cs="Times New Roman" w:ascii="Times New Roman" w:hAnsi="Times New Roman"/>
          <w:sz w:val="16"/>
        </w:rPr>
        <w:t>Journal of Education, Psychology, and Humanities (JEPH)</w:t>
      </w:r>
      <w:r>
        <w:rPr>
          <w:rFonts w:eastAsia="Times New Roman" w:cs="Times New Roman" w:ascii="Times New Roman" w:hAnsi="Times New Roman"/>
        </w:rPr>
        <w:tab/>
      </w: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-93980</wp:posOffset>
                </wp:positionV>
                <wp:extent cx="5715000" cy="0"/>
                <wp:effectExtent l="0" t="3175" r="0" b="3175"/>
                <wp:wrapNone/>
                <wp:docPr id="5"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4pt" to="449.95pt,-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8890</wp:posOffset>
                </wp:positionV>
                <wp:extent cx="5715000" cy="0"/>
                <wp:effectExtent l="0" t="3175" r="0" b="3175"/>
                <wp:wrapNone/>
                <wp:docPr id="6"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7pt" to="449.95pt,0.7pt" stroked="t" o:allowincell="f" style="position:absolute">
                <v:stroke color="black" weight="6480" joinstyle="miter" endcap="flat"/>
                <v:fill o:detectmouseclick="t" on="false"/>
                <w10:wrap type="none"/>
              </v:line>
            </w:pict>
          </mc:Fallback>
        </mc:AlternateContent>
      </w:r>
    </w:p>
    <w:p>
      <w:pPr>
        <w:sectPr>
          <w:type w:val="continuous"/>
          <w:pgSz w:w="10800" w:h="14400"/>
          <w:pgMar w:left="1440" w:right="360" w:gutter="0" w:header="0" w:top="559" w:footer="0" w:bottom="0"/>
          <w:formProt w:val="false"/>
          <w:textDirection w:val="lrTb"/>
          <w:docGrid w:type="default" w:linePitch="360" w:charSpace="0"/>
        </w:sectPr>
      </w:pPr>
    </w:p>
    <w:p>
      <w:pPr>
        <w:pStyle w:val="Normal"/>
        <w:numPr>
          <w:ilvl w:val="0"/>
          <w:numId w:val="2"/>
        </w:numPr>
        <w:tabs>
          <w:tab w:val="clear" w:pos="720"/>
          <w:tab w:val="left" w:pos="620" w:leader="none"/>
        </w:tabs>
        <w:spacing w:lineRule="atLeast" w:line="0"/>
        <w:ind w:hanging="547" w:start="620" w:end="0"/>
        <w:rPr>
          <w:rFonts w:ascii="Century Gothic" w:hAnsi="Century Gothic" w:eastAsia="Century Gothic" w:cs="Century Gothic"/>
          <w:b/>
          <w:sz w:val="19"/>
        </w:rPr>
      </w:pPr>
      <w:bookmarkStart w:id="2" w:name="page3"/>
      <w:bookmarkEnd w:id="2"/>
      <w:r>
        <w:rPr>
          <w:rFonts w:eastAsia="Times New Roman" w:cs="Times New Roman" w:ascii="Times New Roman" w:hAnsi="Times New Roman"/>
          <w:sz w:val="15"/>
        </w:rPr>
        <w:t>Journal of Education, Psychology, and Humanities (JEPH) | ISSN 2599-5294</w:t>
      </w:r>
    </w:p>
    <w:p>
      <w:pPr>
        <w:sectPr>
          <w:type w:val="nextPage"/>
          <w:pgSz w:w="10800" w:h="14400"/>
          <w:pgMar w:left="360" w:right="1420" w:gutter="0" w:header="0" w:top="579" w:footer="0" w:bottom="0"/>
          <w:pgNumType w:fmt="decimal"/>
          <w:formProt w:val="false"/>
          <w:textDirection w:val="lrTb"/>
          <w:docGrid w:type="default" w:linePitch="360" w:charSpace="0"/>
        </w:sectPr>
      </w:pPr>
    </w:p>
    <w:p>
      <w:pPr>
        <w:pStyle w:val="Normal"/>
        <w:spacing w:lineRule="exact" w:line="19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ind w:start="1580" w:end="0"/>
        <w:rPr>
          <w:rFonts w:ascii="Times New Roman" w:hAnsi="Times New Roman" w:eastAsia="Times New Roman" w:cs="Times New Roman"/>
          <w:b/>
          <w:sz w:val="22"/>
        </w:rPr>
      </w:pPr>
      <w:r>
        <w:rPr>
          <w:rFonts w:eastAsia="Times New Roman" w:cs="Times New Roman" w:ascii="Times New Roman" w:hAnsi="Times New Roman"/>
          <w:b/>
          <w:sz w:val="22"/>
        </w:rPr>
        <w:t>Methodology</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-120015</wp:posOffset>
                </wp:positionV>
                <wp:extent cx="5715000" cy="0"/>
                <wp:effectExtent l="0" t="3175" r="0" b="3175"/>
                <wp:wrapNone/>
                <wp:docPr id="7"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45pt" to="449.95pt,-9.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-145415</wp:posOffset>
                </wp:positionV>
                <wp:extent cx="5715000" cy="0"/>
                <wp:effectExtent l="0" t="9525" r="0" b="9525"/>
                <wp:wrapNone/>
                <wp:docPr id="8"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45pt" to="449.95pt,-11.45pt" stroked="t" o:allowincell="f" style="position:absolute">
                <v:stroke color="black" weight="1908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Research Design</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end="0"/>
        <w:jc w:val="both"/>
        <w:rPr/>
      </w:pPr>
      <w:r>
        <w:rPr>
          <w:rFonts w:eastAsia="Times New Roman" w:cs="Times New Roman" w:ascii="Times New Roman" w:hAnsi="Times New Roman"/>
          <w:sz w:val="21"/>
        </w:rPr>
        <w:t>This study utilized mixed method design. Quantitative method was used to determine the proficiency levels of the participants in terms of vocabulary skills and oral communication skills whether novice, intermediate, or expert. Accord-ing to Airasian, Gay, and Mills (2009), the purpose of mixed method design is to build on the synergy and strength that exist between quantitative and qualitative research methods. Mixed method was used to understand the phenomenon of the study more fully as the researcher gathered data directly from the participants through tests and interviews; data were collected from the natural setting, i.e. at the call center as the workplace.</w:t>
      </w:r>
    </w:p>
    <w:p>
      <w:pPr>
        <w:pStyle w:val="Normal"/>
        <w:spacing w:lineRule="exact" w:line="22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Sampling Technique</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Purposive sampling technique was used in selecting the participants of this study to bet-ter identify, describe, and gain insight on the lan-guage status of Filipino CCAs. Lund Research (2012) explained that purposive sampling is a type of non-probability sampling technique which rep-resents a group of different non-probability sam-pling techniques. The main goal of purposive sam-pling is to focus on particular characteristics of a population of interest to the study which helped the researcher to answer the research questions.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Participants of the Study</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9"/>
        <w:ind w:firstLine="720" w:end="0"/>
        <w:jc w:val="both"/>
        <w:rPr/>
      </w:pPr>
      <w:r>
        <w:rPr>
          <w:rFonts w:eastAsia="Times New Roman" w:cs="Times New Roman" w:ascii="Times New Roman" w:hAnsi="Times New Roman"/>
          <w:sz w:val="22"/>
        </w:rPr>
        <w:t>The participants of the study were 107 purposively selected. Originally, the study aimed to employ 110 participants. However, only 107 re-sponded based on their availability and the prac-ticality of the situation. Such sample size of 107 respondents was sufficient for the quantitative design. Of this number, only eight participants al-lowed to have the oral communication skill test and the interview.</w:t>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Data Gathering Instruments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end="0"/>
        <w:jc w:val="both"/>
        <w:rPr/>
      </w:pPr>
      <w:r>
        <w:rPr>
          <w:rFonts w:eastAsia="Times New Roman" w:cs="Times New Roman" w:ascii="Times New Roman" w:hAnsi="Times New Roman"/>
          <w:sz w:val="21"/>
        </w:rPr>
        <w:t xml:space="preserve">Two adapted instruments were used to ac-quire the needed data to answer Research Question (RQ) 1: Test of English for International Commu-nication (TOEIC) for the vocabulary and self-con-structed interview using a rubric adapted from the </w:t>
      </w:r>
      <w:r>
        <w:rPr>
          <w:rFonts w:eastAsia="Times New Roman" w:cs="Times New Roman" w:ascii="Times New Roman" w:hAnsi="Times New Roman"/>
          <w:sz w:val="21"/>
          <w:u w:val="single"/>
        </w:rPr>
        <w:t>International English Language Testing System</w:t>
      </w:r>
    </w:p>
    <w:p>
      <w:pPr>
        <w:pStyle w:val="Normal"/>
        <w:spacing w:lineRule="exact" w:line="207"/>
        <w:rPr>
          <w:rFonts w:ascii="Times New Roman" w:hAnsi="Times New Roman" w:eastAsia="Times New Roman" w:cs="Times New Roman"/>
          <w:sz w:val="21"/>
          <w:u w:val="single"/>
        </w:rPr>
      </w:pPr>
      <w:r>
        <w:br w:type="column"/>
      </w:r>
      <w:r>
        <w:rPr>
          <w:rFonts w:eastAsia="Times New Roman" w:cs="Times New Roman" w:ascii="Times New Roman" w:hAnsi="Times New Roman"/>
          <w:sz w:val="21"/>
          <w:u w:val="single"/>
        </w:rPr>
      </w:r>
    </w:p>
    <w:p>
      <w:pPr>
        <w:pStyle w:val="Normal"/>
        <w:spacing w:lineRule="auto" w:line="256"/>
        <w:ind w:end="20"/>
        <w:jc w:val="both"/>
        <w:rPr>
          <w:rFonts w:ascii="Times New Roman" w:hAnsi="Times New Roman" w:eastAsia="Times New Roman" w:cs="Times New Roman"/>
          <w:sz w:val="22"/>
        </w:rPr>
      </w:pPr>
      <w:r>
        <w:rPr>
          <w:rFonts w:eastAsia="Times New Roman" w:cs="Times New Roman" w:ascii="Times New Roman" w:hAnsi="Times New Roman"/>
          <w:sz w:val="22"/>
        </w:rPr>
        <w:t>(IELTS). The two research instruments were val-idated by language experts and had gone through pilot testing. The criteria in the rubric were used to evaluate the application of the exact vocabulary in the statements used in each test item. Interviews were used to answer RQ 2.</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Data Gathering Procedures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4"/>
        <w:ind w:firstLine="720" w:end="20"/>
        <w:jc w:val="both"/>
        <w:rPr>
          <w:rFonts w:ascii="Times New Roman" w:hAnsi="Times New Roman" w:eastAsia="Times New Roman" w:cs="Times New Roman"/>
          <w:sz w:val="21"/>
        </w:rPr>
      </w:pPr>
      <w:r>
        <w:rPr>
          <w:rFonts w:eastAsia="Times New Roman" w:cs="Times New Roman" w:ascii="Times New Roman" w:hAnsi="Times New Roman"/>
          <w:sz w:val="21"/>
        </w:rPr>
        <w:t>Endorsement letter to conduct the study was secured from the AUP Center for Graduate Studies (CGS). It was scanned and sent via email to the call center in Iloilo then later the hard copy was submitted during the courtesy visit to the head of corporate office. Pilot testing of the two tests was administered to 35 respondents and two of them were interviewed. The written vocabulary skill test was administered to the 35 respondents for about 30 minutes while the one-on-one record-ed interviews for oral communication skills were between 11 and 25 minutes. In the actual data gathering, the 30-item vocabulary written test was administered to 107 call center agents on the assigned schedules. After conducting the written test and the recorded interview, the interview data were transcribed and were interpreted separately.</w:t>
      </w:r>
    </w:p>
    <w:p>
      <w:pPr>
        <w:pStyle w:val="Normal"/>
        <w:spacing w:lineRule="exact" w:line="21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t>Data Analysis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ind w:firstLine="720" w:end="0"/>
        <w:jc w:val="both"/>
        <w:rPr/>
      </w:pPr>
      <w:r>
        <w:rPr>
          <w:rFonts w:eastAsia="Times New Roman" w:cs="Times New Roman" w:ascii="Times New Roman" w:hAnsi="Times New Roman"/>
          <w:sz w:val="21"/>
        </w:rPr>
        <w:t xml:space="preserve">The written test and oral communication test had undergone descriptive analysis in order to give understanding on the language status of the CCAs. Descriptive statistics as described by Hale and Napier (2013) included frequencies (simple counts), percentages, and means (averages). In the same way, too, identifying the scores, averages, and differences from the results of the vocabu-lary skills test and the oral communication skill test gave information needed in this study. Dis-course analysis was used to interpret the record-ed interview for the oral communication skills. In doing discourse analysis, attention is given to the structure and organization of language with an emphasis on how participants’ versions of events are constructed; it focuses on recognizing the reg-ularities in the language in terms of patterns and repertoires or constructs (Gray, 2014). This study focused on the context of the call center agents’ language patterns particularly in their vocabulary </w:t>
      </w:r>
      <w:r>
        <w:rPr>
          <w:rFonts w:eastAsia="Times New Roman" w:cs="Times New Roman" w:ascii="Times New Roman" w:hAnsi="Times New Roman"/>
          <w:sz w:val="21"/>
          <w:u w:val="single"/>
        </w:rPr>
        <w:t>and oral communication skills at the workplace.</w:t>
      </w:r>
    </w:p>
    <w:p>
      <w:pPr>
        <w:sectPr>
          <w:type w:val="continuous"/>
          <w:pgSz w:w="10800" w:h="14400"/>
          <w:pgMar w:left="360" w:right="1420" w:gutter="0" w:header="0" w:top="579" w:footer="0" w:bottom="0"/>
          <w:cols w:num="2" w:equalWidth="false" w:sep="false">
            <w:col w:w="4380" w:space="240"/>
            <w:col w:w="4400"/>
          </w:cols>
          <w:formProt w:val="false"/>
          <w:textDirection w:val="lrTb"/>
          <w:docGrid w:type="default" w:linePitch="360" w:charSpace="0"/>
        </w:sectPr>
      </w:pPr>
    </w:p>
    <w:p>
      <w:pPr>
        <w:pStyle w:val="Normal"/>
        <w:spacing w:lineRule="exact" w:line="4"/>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3175</wp:posOffset>
                </wp:positionV>
                <wp:extent cx="5715000" cy="0"/>
                <wp:effectExtent l="0" t="3175" r="0" b="3175"/>
                <wp:wrapNone/>
                <wp:docPr id="9"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25pt" to="449.95pt,0.25pt" stroked="t" o:allowincell="f" style="position:absolute">
                <v:stroke color="black" weight="6480" joinstyle="miter" endcap="flat"/>
                <v:fill o:detectmouseclick="t" on="false"/>
                <w10:wrap type="none"/>
              </v:line>
            </w:pict>
          </mc:Fallback>
        </mc:AlternateContent>
      </w:r>
    </w:p>
    <w:p>
      <w:pPr>
        <w:sectPr>
          <w:type w:val="continuous"/>
          <w:pgSz w:w="10800" w:h="14400"/>
          <w:pgMar w:left="360" w:right="1420" w:gutter="0" w:header="0" w:top="579" w:footer="0" w:bottom="0"/>
          <w:formProt w:val="false"/>
          <w:textDirection w:val="lrTb"/>
          <w:docGrid w:type="default" w:linePitch="360" w:charSpace="0"/>
        </w:sectPr>
      </w:pPr>
    </w:p>
    <w:tbl>
      <w:tblPr>
        <w:tblW w:w="6680" w:type="dxa"/>
        <w:jc w:val="start"/>
        <w:tblInd w:w="2240" w:type="dxa"/>
        <w:tblLayout w:type="fixed"/>
        <w:tblCellMar>
          <w:top w:w="0" w:type="dxa"/>
          <w:start w:w="0" w:type="dxa"/>
          <w:bottom w:w="0" w:type="dxa"/>
          <w:end w:w="0" w:type="dxa"/>
        </w:tblCellMar>
      </w:tblPr>
      <w:tblGrid>
        <w:gridCol w:w="6260"/>
        <w:gridCol w:w="420"/>
      </w:tblGrid>
      <w:tr>
        <w:trPr>
          <w:trHeight w:val="284" w:hRule="atLeast"/>
        </w:trPr>
        <w:tc>
          <w:tcPr>
            <w:tcW w:w="6260" w:type="dxa"/>
            <w:tcBorders/>
          </w:tcPr>
          <w:p>
            <w:pPr>
              <w:pStyle w:val="Normal"/>
              <w:spacing w:lineRule="atLeast" w:line="0"/>
              <w:rPr/>
            </w:pPr>
            <w:bookmarkStart w:id="3" w:name="page4"/>
            <w:bookmarkEnd w:id="3"/>
            <w:r>
              <w:rPr>
                <w:rFonts w:eastAsia="Times New Roman" w:cs="Times New Roman" w:ascii="Times New Roman" w:hAnsi="Times New Roman"/>
                <w:sz w:val="16"/>
              </w:rPr>
              <w:t>Filipino Call Center Agents’ English Communication Proficiency and How They Developed It</w:t>
            </w:r>
          </w:p>
        </w:tc>
        <w:tc>
          <w:tcPr>
            <w:tcW w:w="420" w:type="dxa"/>
            <w:tcBorders/>
          </w:tcPr>
          <w:p>
            <w:pPr>
              <w:pStyle w:val="Normal"/>
              <w:spacing w:lineRule="atLeast" w:line="0"/>
              <w:jc w:val="end"/>
              <w:rPr>
                <w:rFonts w:ascii="Century Gothic" w:hAnsi="Century Gothic" w:eastAsia="Century Gothic" w:cs="Century Gothic"/>
                <w:b/>
              </w:rPr>
            </w:pPr>
            <w:r>
              <w:rPr>
                <w:rFonts w:eastAsia="Century Gothic" w:cs="Century Gothic" w:ascii="Century Gothic" w:hAnsi="Century Gothic"/>
                <w:b/>
              </w:rPr>
              <w:t>23</w:t>
            </w:r>
          </w:p>
        </w:tc>
      </w:tr>
    </w:tbl>
    <w:p>
      <w:pPr>
        <w:pStyle w:val="Normal"/>
        <w:spacing w:lineRule="exact" w:line="1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40" w:end="0"/>
        <w:rPr>
          <w:rFonts w:ascii="Times New Roman" w:hAnsi="Times New Roman" w:eastAsia="Times New Roman" w:cs="Times New Roman"/>
          <w:b/>
          <w:sz w:val="22"/>
        </w:rPr>
      </w:pPr>
      <w:r>
        <w:rPr>
          <w:rFonts w:eastAsia="Times New Roman" w:cs="Times New Roman" w:ascii="Times New Roman" w:hAnsi="Times New Roman"/>
          <w:b/>
          <w:sz w:val="22"/>
        </w:rPr>
        <w:t>Results and Discussion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-114935</wp:posOffset>
                </wp:positionV>
                <wp:extent cx="5715000" cy="0"/>
                <wp:effectExtent l="0" t="3175" r="0" b="3175"/>
                <wp:wrapNone/>
                <wp:docPr id="10"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05pt" to="449.95pt,-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-140335</wp:posOffset>
                </wp:positionV>
                <wp:extent cx="5715000" cy="0"/>
                <wp:effectExtent l="0" t="9525" r="0" b="9525"/>
                <wp:wrapNone/>
                <wp:docPr id="11"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05pt" to="449.95pt,-11.05pt" stroked="t" o:allowincell="f" style="position:absolute">
                <v:stroke color="black" weight="19080" joinstyle="miter" endcap="flat"/>
                <v:fill o:detectmouseclick="t" on="false"/>
                <w10:wrap type="none"/>
              </v:line>
            </w:pict>
          </mc:Fallback>
        </mc:AlternateContent>
      </w:r>
    </w:p>
    <w:p>
      <w:pPr>
        <w:pStyle w:val="Normal"/>
        <w:spacing w:lineRule="atLeast" w:line="0"/>
        <w:rPr/>
      </w:pPr>
      <w:r>
        <w:rPr>
          <w:rFonts w:eastAsia="Times New Roman" w:cs="Times New Roman" w:ascii="Times New Roman" w:hAnsi="Times New Roman"/>
          <w:b/>
          <w:sz w:val="22"/>
        </w:rPr>
        <w:t>Respondents’ Proficiency Level in Terms of Vocabulary and Oral Communication Skills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80"/>
        <w:ind w:firstLine="720" w:end="20"/>
        <w:jc w:val="both"/>
        <w:rPr/>
      </w:pPr>
      <w:r>
        <w:rPr>
          <w:rFonts w:eastAsia="Times New Roman" w:cs="Times New Roman" w:ascii="Times New Roman" w:hAnsi="Times New Roman"/>
          <w:sz w:val="22"/>
        </w:rPr>
        <w:t xml:space="preserve">As presented in Table 1, the result shows that the proficiency level of the Filipino CCAs is </w:t>
      </w:r>
      <w:r>
        <w:rPr>
          <w:rFonts w:eastAsia="Times New Roman" w:cs="Times New Roman" w:ascii="Times New Roman" w:hAnsi="Times New Roman"/>
          <w:i/>
          <w:sz w:val="22"/>
        </w:rPr>
        <w:t>intermediate</w:t>
      </w:r>
      <w:r>
        <w:rPr>
          <w:rFonts w:eastAsia="Times New Roman" w:cs="Times New Roman" w:ascii="Times New Roman" w:hAnsi="Times New Roman"/>
          <w:sz w:val="22"/>
        </w:rPr>
        <w:t xml:space="preserve"> in terms of their vocabulary skills. Their oral communication skill is </w:t>
      </w:r>
      <w:r>
        <w:rPr>
          <w:rFonts w:eastAsia="Times New Roman" w:cs="Times New Roman" w:ascii="Times New Roman" w:hAnsi="Times New Roman"/>
          <w:i/>
          <w:sz w:val="22"/>
        </w:rPr>
        <w:t>expert</w:t>
      </w:r>
      <w:r>
        <w:rPr>
          <w:rFonts w:eastAsia="Times New Roman" w:cs="Times New Roman" w:ascii="Times New Roman" w:hAnsi="Times New Roman"/>
          <w:b/>
          <w:sz w:val="22"/>
        </w:rPr>
        <w:t>.</w:t>
      </w:r>
    </w:p>
    <w:p>
      <w:pPr>
        <w:pStyle w:val="Normal"/>
        <w:spacing w:lineRule="exact" w:line="19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Table 1</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Comparison of Vocabulary Skills and Oral Communication Skills of the Call Center Agents</w:t>
      </w:r>
    </w:p>
    <w:p>
      <w:pPr>
        <w:pStyle w:val="Normal"/>
        <w:spacing w:lineRule="exact" w:line="38"/>
        <w:rPr>
          <w:rFonts w:ascii="Times New Roman" w:hAnsi="Times New Roman" w:eastAsia="Times New Roman" w:cs="Times New Roman"/>
          <w:i/>
          <w:i/>
          <w:sz w:val="22"/>
        </w:rPr>
      </w:pPr>
      <w:r>
        <w:rPr>
          <w:rFonts w:eastAsia="Times New Roman" w:cs="Times New Roman" w:ascii="Times New Roman" w:hAnsi="Times New Roman"/>
          <w:i/>
          <w:sz w:val="22"/>
        </w:rPr>
      </w:r>
    </w:p>
    <w:tbl>
      <w:tblPr>
        <w:tblW w:w="8980" w:type="dxa"/>
        <w:jc w:val="start"/>
        <w:tblInd w:w="0" w:type="dxa"/>
        <w:tblLayout w:type="fixed"/>
        <w:tblCellMar>
          <w:top w:w="0" w:type="dxa"/>
          <w:start w:w="0" w:type="dxa"/>
          <w:bottom w:w="0" w:type="dxa"/>
          <w:end w:w="0" w:type="dxa"/>
        </w:tblCellMar>
      </w:tblPr>
      <w:tblGrid>
        <w:gridCol w:w="1280"/>
        <w:gridCol w:w="1700"/>
        <w:gridCol w:w="1980"/>
        <w:gridCol w:w="2100"/>
        <w:gridCol w:w="1920"/>
      </w:tblGrid>
      <w:tr>
        <w:trPr>
          <w:trHeight w:val="339" w:hRule="atLeast"/>
        </w:trPr>
        <w:tc>
          <w:tcPr>
            <w:tcW w:w="1280" w:type="dxa"/>
            <w:tcBorders>
              <w:top w:val="single" w:sz="8" w:space="0" w:color="000000"/>
            </w:tcBorders>
          </w:tcPr>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Respondents</w:t>
            </w:r>
          </w:p>
        </w:tc>
        <w:tc>
          <w:tcPr>
            <w:tcW w:w="1700" w:type="dxa"/>
            <w:tcBorders>
              <w:top w:val="single" w:sz="8" w:space="0" w:color="000000"/>
            </w:tcBorders>
          </w:tcPr>
          <w:p>
            <w:pPr>
              <w:pStyle w:val="Normal"/>
              <w:spacing w:lineRule="atLeast" w:line="0"/>
              <w:jc w:val="center"/>
              <w:rPr>
                <w:rFonts w:ascii="Times New Roman" w:hAnsi="Times New Roman" w:eastAsia="Times New Roman" w:cs="Times New Roman"/>
                <w:b/>
                <w:w w:val="98"/>
              </w:rPr>
            </w:pPr>
            <w:r>
              <w:rPr>
                <w:rFonts w:eastAsia="Times New Roman" w:cs="Times New Roman" w:ascii="Times New Roman" w:hAnsi="Times New Roman"/>
                <w:b/>
                <w:w w:val="98"/>
              </w:rPr>
              <w:t>Vocabulary Skills</w:t>
            </w:r>
          </w:p>
        </w:tc>
        <w:tc>
          <w:tcPr>
            <w:tcW w:w="1980" w:type="dxa"/>
            <w:tcBorders>
              <w:top w:val="single" w:sz="8" w:space="0" w:color="000000"/>
            </w:tcBorders>
          </w:tcPr>
          <w:p>
            <w:pPr>
              <w:pStyle w:val="Normal"/>
              <w:spacing w:lineRule="atLeast" w:line="0"/>
              <w:jc w:val="center"/>
              <w:rPr>
                <w:rFonts w:ascii="Times New Roman" w:hAnsi="Times New Roman" w:eastAsia="Times New Roman" w:cs="Times New Roman"/>
                <w:b/>
                <w:w w:val="97"/>
              </w:rPr>
            </w:pPr>
            <w:r>
              <w:rPr>
                <w:rFonts w:eastAsia="Times New Roman" w:cs="Times New Roman" w:ascii="Times New Roman" w:hAnsi="Times New Roman"/>
                <w:b/>
                <w:w w:val="97"/>
              </w:rPr>
              <w:t>Total Score Average</w:t>
            </w:r>
          </w:p>
        </w:tc>
        <w:tc>
          <w:tcPr>
            <w:tcW w:w="2100" w:type="dxa"/>
            <w:tcBorders>
              <w:top w:val="single" w:sz="8" w:space="0" w:color="000000"/>
            </w:tcBorders>
          </w:tcPr>
          <w:p>
            <w:pPr>
              <w:pStyle w:val="Normal"/>
              <w:spacing w:lineRule="atLeast" w:line="0"/>
              <w:jc w:val="center"/>
              <w:rPr>
                <w:rFonts w:ascii="Times New Roman" w:hAnsi="Times New Roman" w:eastAsia="Times New Roman" w:cs="Times New Roman"/>
                <w:b/>
                <w:w w:val="99"/>
              </w:rPr>
            </w:pPr>
            <w:r>
              <w:rPr>
                <w:rFonts w:eastAsia="Times New Roman" w:cs="Times New Roman" w:ascii="Times New Roman" w:hAnsi="Times New Roman"/>
                <w:b/>
                <w:w w:val="99"/>
              </w:rPr>
              <w:t>Oral Communication</w:t>
            </w:r>
          </w:p>
        </w:tc>
        <w:tc>
          <w:tcPr>
            <w:tcW w:w="1920" w:type="dxa"/>
            <w:tcBorders>
              <w:top w:val="single" w:sz="8" w:space="0" w:color="000000"/>
            </w:tcBorders>
          </w:tcPr>
          <w:p>
            <w:pPr>
              <w:pStyle w:val="Normal"/>
              <w:spacing w:lineRule="atLeast" w:line="0"/>
              <w:jc w:val="center"/>
              <w:rPr>
                <w:rFonts w:ascii="Times New Roman" w:hAnsi="Times New Roman" w:eastAsia="Times New Roman" w:cs="Times New Roman"/>
                <w:b/>
                <w:w w:val="96"/>
              </w:rPr>
            </w:pPr>
            <w:r>
              <w:rPr>
                <w:rFonts w:eastAsia="Times New Roman" w:cs="Times New Roman" w:ascii="Times New Roman" w:hAnsi="Times New Roman"/>
                <w:b/>
                <w:w w:val="96"/>
              </w:rPr>
              <w:t>Total Score Average</w:t>
            </w:r>
          </w:p>
        </w:tc>
      </w:tr>
      <w:tr>
        <w:trPr>
          <w:trHeight w:val="190"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b/>
                <w:w w:val="96"/>
                <w:sz w:val="16"/>
              </w:rPr>
            </w:pPr>
            <w:r>
              <w:rPr>
                <w:rFonts w:eastAsia="Times New Roman" w:cs="Times New Roman" w:ascii="Times New Roman" w:hAnsi="Times New Roman"/>
                <w:b/>
                <w:w w:val="96"/>
                <w:sz w:val="16"/>
              </w:rPr>
            </w:r>
          </w:p>
        </w:tc>
        <w:tc>
          <w:tcPr>
            <w:tcW w:w="1700" w:type="dxa"/>
            <w:tcBorders>
              <w:bottom w:val="single" w:sz="8" w:space="0" w:color="000000"/>
            </w:tcBorders>
          </w:tcPr>
          <w:p>
            <w:pPr>
              <w:pStyle w:val="Normal"/>
              <w:spacing w:lineRule="exact" w:line="190"/>
              <w:jc w:val="center"/>
              <w:rPr>
                <w:rFonts w:ascii="Times New Roman" w:hAnsi="Times New Roman" w:eastAsia="Times New Roman" w:cs="Times New Roman"/>
                <w:b/>
                <w:w w:val="98"/>
              </w:rPr>
            </w:pPr>
            <w:r>
              <w:rPr>
                <w:rFonts w:eastAsia="Times New Roman" w:cs="Times New Roman" w:ascii="Times New Roman" w:hAnsi="Times New Roman"/>
                <w:b/>
                <w:w w:val="98"/>
              </w:rPr>
              <w:t>Category</w:t>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b/>
                <w:w w:val="98"/>
                <w:sz w:val="16"/>
              </w:rPr>
            </w:pPr>
            <w:r>
              <w:rPr>
                <w:rFonts w:eastAsia="Times New Roman" w:cs="Times New Roman" w:ascii="Times New Roman" w:hAnsi="Times New Roman"/>
                <w:b/>
                <w:w w:val="98"/>
                <w:sz w:val="16"/>
              </w:rPr>
            </w:r>
          </w:p>
        </w:tc>
        <w:tc>
          <w:tcPr>
            <w:tcW w:w="2100" w:type="dxa"/>
            <w:tcBorders>
              <w:bottom w:val="single" w:sz="8" w:space="0" w:color="000000"/>
            </w:tcBorders>
          </w:tcPr>
          <w:p>
            <w:pPr>
              <w:pStyle w:val="Normal"/>
              <w:spacing w:lineRule="exact" w:line="190"/>
              <w:jc w:val="center"/>
              <w:rPr>
                <w:rFonts w:ascii="Times New Roman" w:hAnsi="Times New Roman" w:eastAsia="Times New Roman" w:cs="Times New Roman"/>
                <w:b/>
                <w:w w:val="99"/>
              </w:rPr>
            </w:pPr>
            <w:r>
              <w:rPr>
                <w:rFonts w:eastAsia="Times New Roman" w:cs="Times New Roman" w:ascii="Times New Roman" w:hAnsi="Times New Roman"/>
                <w:b/>
                <w:w w:val="99"/>
              </w:rPr>
              <w:t>Skill Category</w:t>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b/>
                <w:w w:val="99"/>
                <w:sz w:val="16"/>
              </w:rPr>
            </w:pPr>
            <w:r>
              <w:rPr>
                <w:rFonts w:eastAsia="Times New Roman" w:cs="Times New Roman" w:ascii="Times New Roman" w:hAnsi="Times New Roman"/>
                <w:b/>
                <w:w w:val="99"/>
                <w:sz w:val="16"/>
              </w:rPr>
            </w:r>
          </w:p>
        </w:tc>
      </w:tr>
      <w:tr>
        <w:trPr>
          <w:trHeight w:val="26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28</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14</w:t>
            </w:r>
          </w:p>
        </w:tc>
      </w:tr>
      <w:tr>
        <w:trPr>
          <w:trHeight w:val="29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20</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2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11</w:t>
            </w:r>
          </w:p>
        </w:tc>
      </w:tr>
      <w:tr>
        <w:trPr>
          <w:trHeight w:val="29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24</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9.47</w:t>
            </w:r>
          </w:p>
        </w:tc>
      </w:tr>
      <w:tr>
        <w:trPr>
          <w:trHeight w:val="29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4</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21</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20" w:type="dxa"/>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9.5</w:t>
            </w:r>
          </w:p>
        </w:tc>
      </w:tr>
      <w:tr>
        <w:trPr>
          <w:trHeight w:val="29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5</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27</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2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12.25</w:t>
            </w:r>
          </w:p>
        </w:tc>
      </w:tr>
      <w:tr>
        <w:trPr>
          <w:trHeight w:val="29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6</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22</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9.75</w:t>
            </w:r>
          </w:p>
        </w:tc>
      </w:tr>
      <w:tr>
        <w:trPr>
          <w:trHeight w:val="299" w:hRule="atLeast"/>
        </w:trPr>
        <w:tc>
          <w:tcPr>
            <w:tcW w:w="12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7</w:t>
            </w:r>
          </w:p>
        </w:tc>
        <w:tc>
          <w:tcPr>
            <w:tcW w:w="17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22</w:t>
            </w:r>
          </w:p>
        </w:tc>
        <w:tc>
          <w:tcPr>
            <w:tcW w:w="21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13.5</w:t>
            </w:r>
          </w:p>
        </w:tc>
      </w:tr>
      <w:tr>
        <w:trPr>
          <w:trHeight w:val="309" w:hRule="atLeast"/>
        </w:trPr>
        <w:tc>
          <w:tcPr>
            <w:tcW w:w="12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w:t>
            </w:r>
          </w:p>
        </w:tc>
        <w:tc>
          <w:tcPr>
            <w:tcW w:w="17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25</w:t>
            </w:r>
          </w:p>
        </w:tc>
        <w:tc>
          <w:tcPr>
            <w:tcW w:w="21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20" w:type="dxa"/>
            <w:tcBorders>
              <w:bottom w:val="single" w:sz="8" w:space="0" w:color="000000"/>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12.75</w:t>
            </w:r>
          </w:p>
        </w:tc>
      </w:tr>
      <w:tr>
        <w:trPr>
          <w:trHeight w:val="279" w:hRule="atLeast"/>
        </w:trPr>
        <w:tc>
          <w:tcPr>
            <w:tcW w:w="128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7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19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Grand mean = 23.625</w:t>
            </w:r>
          </w:p>
        </w:tc>
        <w:tc>
          <w:tcPr>
            <w:tcW w:w="210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192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Grand mean = 11.75</w:t>
            </w:r>
          </w:p>
        </w:tc>
      </w:tr>
    </w:tbl>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720" w:end="20"/>
        <w:jc w:val="both"/>
        <w:rPr>
          <w:rFonts w:ascii="Times New Roman" w:hAnsi="Times New Roman" w:eastAsia="Times New Roman" w:cs="Times New Roman"/>
          <w:sz w:val="22"/>
        </w:rPr>
      </w:pPr>
      <w:r>
        <w:rPr>
          <w:rFonts w:eastAsia="Times New Roman" w:cs="Times New Roman" w:ascii="Times New Roman" w:hAnsi="Times New Roman"/>
          <w:sz w:val="22"/>
        </w:rPr>
        <w:t>This may be due to a combination of factors such as in their consistent business English inter-actions in the workplace and personal motivation in learning English. As Tingyong (2012) mentioned, in all business features, the knowledge of English in business requires accurate use of technical terms and sets of language and meaning of words.</w:t>
      </w:r>
    </w:p>
    <w:p>
      <w:pPr>
        <w:pStyle w:val="Normal"/>
        <w:spacing w:lineRule="exact" w:line="21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b/>
          <w:sz w:val="22"/>
        </w:rPr>
        <w:t>Differences in the Vocabulary Skills Considering Participants’ Demographic Profile</w:t>
      </w:r>
    </w:p>
    <w:p>
      <w:pPr>
        <w:pStyle w:val="Normal"/>
        <w:spacing w:lineRule="exact" w:line="1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4"/>
        <w:ind w:firstLine="720" w:end="20"/>
        <w:jc w:val="both"/>
        <w:rPr/>
      </w:pPr>
      <w:r>
        <w:rPr>
          <w:rFonts w:eastAsia="Times New Roman" w:cs="Times New Roman" w:ascii="Times New Roman" w:hAnsi="Times New Roman"/>
          <w:b/>
          <w:sz w:val="22"/>
        </w:rPr>
        <w:t>Age.</w:t>
      </w:r>
      <w:r>
        <w:rPr>
          <w:rFonts w:eastAsia="Times New Roman" w:cs="Times New Roman" w:ascii="Times New Roman" w:hAnsi="Times New Roman"/>
          <w:sz w:val="22"/>
        </w:rPr>
        <w:t xml:space="preserve"> Table 2 presents that there is a significant difference in the vocabulary skill test scores when grouped according to age (p&lt;.05) using the Kruskal Wallis Test. The results indicate that the age group 30 and above has the highest mean rank (72.47 %) and the age group 19 to 24 has the lowest mean rank (45.87). These indicate that the language status in ages 30 years old and above Call Center Agents (CCAs) is higher in vocabulary skills. Conceivably, as the age increases, the higher the acqui-sition of vocabulary knowledge increases. This is also supported by the qualitative result that the CCAs learn a lot from their experience and trainings in the call centers.</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Table 2</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Language Status in Vocabulary Skills by Age</w:t>
      </w:r>
    </w:p>
    <w:p>
      <w:pPr>
        <w:pStyle w:val="Normal"/>
        <w:spacing w:lineRule="exact" w:line="38"/>
        <w:rPr>
          <w:rFonts w:ascii="Times New Roman" w:hAnsi="Times New Roman" w:eastAsia="Times New Roman" w:cs="Times New Roman"/>
          <w:i/>
          <w:i/>
          <w:sz w:val="22"/>
        </w:rPr>
      </w:pPr>
      <w:r>
        <w:rPr>
          <w:rFonts w:eastAsia="Times New Roman" w:cs="Times New Roman" w:ascii="Times New Roman" w:hAnsi="Times New Roman"/>
          <w:i/>
          <w:sz w:val="22"/>
        </w:rPr>
      </w:r>
    </w:p>
    <w:tbl>
      <w:tblPr>
        <w:tblW w:w="9020" w:type="dxa"/>
        <w:jc w:val="start"/>
        <w:tblInd w:w="0" w:type="dxa"/>
        <w:tblLayout w:type="fixed"/>
        <w:tblCellMar>
          <w:top w:w="0" w:type="dxa"/>
          <w:start w:w="0" w:type="dxa"/>
          <w:bottom w:w="0" w:type="dxa"/>
          <w:end w:w="0" w:type="dxa"/>
        </w:tblCellMar>
      </w:tblPr>
      <w:tblGrid>
        <w:gridCol w:w="3860"/>
        <w:gridCol w:w="1680"/>
        <w:gridCol w:w="1180"/>
        <w:gridCol w:w="1040"/>
        <w:gridCol w:w="1260"/>
      </w:tblGrid>
      <w:tr>
        <w:trPr>
          <w:trHeight w:val="293" w:hRule="atLeast"/>
        </w:trPr>
        <w:tc>
          <w:tcPr>
            <w:tcW w:w="3860" w:type="dxa"/>
            <w:tcBorders>
              <w:top w:val="single" w:sz="8" w:space="0" w:color="000000"/>
              <w:bottom w:val="single" w:sz="8" w:space="0" w:color="000000"/>
            </w:tcBorders>
          </w:tcPr>
          <w:p>
            <w:pPr>
              <w:pStyle w:val="Normal"/>
              <w:spacing w:lineRule="atLeast" w:line="0"/>
              <w:ind w:start="100" w:end="0"/>
              <w:jc w:val="center"/>
              <w:rPr>
                <w:rFonts w:ascii="Times New Roman" w:hAnsi="Times New Roman" w:eastAsia="Times New Roman" w:cs="Times New Roman"/>
                <w:w w:val="98"/>
              </w:rPr>
            </w:pPr>
            <w:r>
              <w:rPr>
                <w:rFonts w:eastAsia="Times New Roman" w:cs="Times New Roman" w:ascii="Times New Roman" w:hAnsi="Times New Roman"/>
                <w:w w:val="98"/>
              </w:rPr>
              <w:t>Vocabulary Skill by Age Category</w:t>
            </w:r>
          </w:p>
        </w:tc>
        <w:tc>
          <w:tcPr>
            <w:tcW w:w="1680" w:type="dxa"/>
            <w:tcBorders>
              <w:top w:val="single" w:sz="8" w:space="0" w:color="000000"/>
              <w:bottom w:val="single" w:sz="8" w:space="0" w:color="000000"/>
            </w:tcBorders>
          </w:tcPr>
          <w:p>
            <w:pPr>
              <w:pStyle w:val="Normal"/>
              <w:spacing w:lineRule="atLeast" w:line="0"/>
              <w:ind w:start="100" w:end="0"/>
              <w:jc w:val="center"/>
              <w:rPr>
                <w:rFonts w:ascii="Times New Roman" w:hAnsi="Times New Roman" w:eastAsia="Times New Roman" w:cs="Times New Roman"/>
                <w:w w:val="99"/>
              </w:rPr>
            </w:pPr>
            <w:r>
              <w:rPr>
                <w:rFonts w:eastAsia="Times New Roman" w:cs="Times New Roman" w:ascii="Times New Roman" w:hAnsi="Times New Roman"/>
                <w:w w:val="99"/>
              </w:rPr>
              <w:t>Mean Rank</w:t>
            </w:r>
          </w:p>
        </w:tc>
        <w:tc>
          <w:tcPr>
            <w:tcW w:w="118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5"/>
              </w:rPr>
            </w:pPr>
            <w:r>
              <w:rPr>
                <w:rFonts w:eastAsia="Times New Roman" w:cs="Times New Roman" w:ascii="Times New Roman" w:hAnsi="Times New Roman"/>
                <w:w w:val="95"/>
              </w:rPr>
              <w:t>H(3)</w:t>
            </w:r>
          </w:p>
        </w:tc>
        <w:tc>
          <w:tcPr>
            <w:tcW w:w="104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i/>
                <w:i/>
                <w:w w:val="97"/>
              </w:rPr>
            </w:pPr>
            <w:r>
              <w:rPr>
                <w:rFonts w:eastAsia="Times New Roman" w:cs="Times New Roman" w:ascii="Times New Roman" w:hAnsi="Times New Roman"/>
                <w:i/>
                <w:w w:val="97"/>
              </w:rPr>
              <w:t>P</w:t>
            </w:r>
          </w:p>
        </w:tc>
        <w:tc>
          <w:tcPr>
            <w:tcW w:w="12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i/>
                <w:i/>
              </w:rPr>
            </w:pPr>
            <w:r>
              <w:rPr>
                <w:rFonts w:eastAsia="Times New Roman" w:cs="Times New Roman" w:ascii="Times New Roman" w:hAnsi="Times New Roman"/>
                <w:i/>
              </w:rPr>
              <w:t>VI</w:t>
            </w:r>
          </w:p>
        </w:tc>
      </w:tr>
      <w:tr>
        <w:trPr>
          <w:trHeight w:val="269" w:hRule="atLeast"/>
        </w:trPr>
        <w:tc>
          <w:tcPr>
            <w:tcW w:w="3860" w:type="dxa"/>
            <w:tcBorders/>
          </w:tcPr>
          <w:p>
            <w:pPr>
              <w:pStyle w:val="Normal"/>
              <w:spacing w:lineRule="atLeast" w:line="0"/>
              <w:ind w:start="100" w:end="0"/>
              <w:jc w:val="center"/>
              <w:rPr>
                <w:rFonts w:ascii="Times New Roman" w:hAnsi="Times New Roman" w:eastAsia="Times New Roman" w:cs="Times New Roman"/>
              </w:rPr>
            </w:pPr>
            <w:r>
              <w:rPr>
                <w:rFonts w:eastAsia="Times New Roman" w:cs="Times New Roman" w:ascii="Times New Roman" w:hAnsi="Times New Roman"/>
              </w:rPr>
              <w:t>19 to 24</w:t>
            </w:r>
          </w:p>
        </w:tc>
        <w:tc>
          <w:tcPr>
            <w:tcW w:w="1680" w:type="dxa"/>
            <w:tcBorders/>
          </w:tcPr>
          <w:p>
            <w:pPr>
              <w:pStyle w:val="Normal"/>
              <w:spacing w:lineRule="atLeast" w:line="0"/>
              <w:ind w:start="100" w:end="0"/>
              <w:jc w:val="center"/>
              <w:rPr>
                <w:rFonts w:ascii="Times New Roman" w:hAnsi="Times New Roman" w:eastAsia="Times New Roman" w:cs="Times New Roman"/>
                <w:w w:val="97"/>
              </w:rPr>
            </w:pPr>
            <w:r>
              <w:rPr>
                <w:rFonts w:eastAsia="Times New Roman" w:cs="Times New Roman" w:ascii="Times New Roman" w:hAnsi="Times New Roman"/>
                <w:w w:val="97"/>
              </w:rPr>
              <w:t>45.87</w:t>
            </w:r>
          </w:p>
        </w:tc>
        <w:tc>
          <w:tcPr>
            <w:tcW w:w="1180" w:type="dxa"/>
            <w:tcBorders/>
          </w:tcPr>
          <w:p>
            <w:pPr>
              <w:pStyle w:val="Normal"/>
              <w:snapToGrid w:val="false"/>
              <w:spacing w:lineRule="atLeast" w:line="0"/>
              <w:rPr>
                <w:rFonts w:ascii="Times New Roman" w:hAnsi="Times New Roman" w:eastAsia="Times New Roman" w:cs="Times New Roman"/>
                <w:w w:val="97"/>
                <w:sz w:val="23"/>
              </w:rPr>
            </w:pPr>
            <w:r>
              <w:rPr>
                <w:rFonts w:eastAsia="Times New Roman" w:cs="Times New Roman" w:ascii="Times New Roman" w:hAnsi="Times New Roman"/>
                <w:w w:val="97"/>
                <w:sz w:val="23"/>
              </w:rPr>
            </w:r>
          </w:p>
        </w:tc>
        <w:tc>
          <w:tcPr>
            <w:tcW w:w="10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9" w:hRule="atLeast"/>
        </w:trPr>
        <w:tc>
          <w:tcPr>
            <w:tcW w:w="3860" w:type="dxa"/>
            <w:tcBorders/>
          </w:tcPr>
          <w:p>
            <w:pPr>
              <w:pStyle w:val="Normal"/>
              <w:spacing w:lineRule="atLeast" w:line="0"/>
              <w:ind w:start="100" w:end="0"/>
              <w:jc w:val="center"/>
              <w:rPr>
                <w:rFonts w:ascii="Times New Roman" w:hAnsi="Times New Roman" w:eastAsia="Times New Roman" w:cs="Times New Roman"/>
              </w:rPr>
            </w:pPr>
            <w:r>
              <w:rPr>
                <w:rFonts w:eastAsia="Times New Roman" w:cs="Times New Roman" w:ascii="Times New Roman" w:hAnsi="Times New Roman"/>
              </w:rPr>
              <w:t>25 to 29</w:t>
            </w:r>
          </w:p>
        </w:tc>
        <w:tc>
          <w:tcPr>
            <w:tcW w:w="1680" w:type="dxa"/>
            <w:tcBorders/>
          </w:tcPr>
          <w:p>
            <w:pPr>
              <w:pStyle w:val="Normal"/>
              <w:spacing w:lineRule="atLeast" w:line="0"/>
              <w:ind w:start="100" w:end="0"/>
              <w:jc w:val="center"/>
              <w:rPr>
                <w:rFonts w:ascii="Times New Roman" w:hAnsi="Times New Roman" w:eastAsia="Times New Roman" w:cs="Times New Roman"/>
                <w:w w:val="97"/>
              </w:rPr>
            </w:pPr>
            <w:r>
              <w:rPr>
                <w:rFonts w:eastAsia="Times New Roman" w:cs="Times New Roman" w:ascii="Times New Roman" w:hAnsi="Times New Roman"/>
                <w:w w:val="97"/>
              </w:rPr>
              <w:t>55.86</w:t>
            </w:r>
          </w:p>
        </w:tc>
        <w:tc>
          <w:tcPr>
            <w:tcW w:w="1180" w:type="dxa"/>
            <w:tcBorders/>
          </w:tcPr>
          <w:p>
            <w:pPr>
              <w:pStyle w:val="Normal"/>
              <w:spacing w:lineRule="atLeast" w:line="0"/>
              <w:ind w:end="240"/>
              <w:jc w:val="end"/>
              <w:rPr>
                <w:rFonts w:ascii="Times New Roman" w:hAnsi="Times New Roman" w:eastAsia="Times New Roman" w:cs="Times New Roman"/>
              </w:rPr>
            </w:pPr>
            <w:r>
              <w:rPr>
                <w:rFonts w:eastAsia="Times New Roman" w:cs="Times New Roman" w:ascii="Times New Roman" w:hAnsi="Times New Roman"/>
              </w:rPr>
              <w:t>10.529</w:t>
            </w:r>
          </w:p>
        </w:tc>
        <w:tc>
          <w:tcPr>
            <w:tcW w:w="1040" w:type="dxa"/>
            <w:tcBorders/>
          </w:tcPr>
          <w:p>
            <w:pPr>
              <w:pStyle w:val="Normal"/>
              <w:spacing w:lineRule="atLeast" w:line="0"/>
              <w:ind w:end="160"/>
              <w:jc w:val="end"/>
              <w:rPr>
                <w:rFonts w:ascii="Times New Roman" w:hAnsi="Times New Roman" w:eastAsia="Times New Roman" w:cs="Times New Roman"/>
              </w:rPr>
            </w:pPr>
            <w:r>
              <w:rPr>
                <w:rFonts w:eastAsia="Times New Roman" w:cs="Times New Roman" w:ascii="Times New Roman" w:hAnsi="Times New Roman"/>
              </w:rPr>
              <w:t>0.005</w:t>
            </w:r>
          </w:p>
        </w:tc>
        <w:tc>
          <w:tcPr>
            <w:tcW w:w="12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Significant</w:t>
            </w:r>
          </w:p>
        </w:tc>
      </w:tr>
      <w:tr>
        <w:trPr>
          <w:trHeight w:val="309" w:hRule="atLeast"/>
        </w:trPr>
        <w:tc>
          <w:tcPr>
            <w:tcW w:w="3860" w:type="dxa"/>
            <w:tcBorders>
              <w:bottom w:val="single" w:sz="8" w:space="0" w:color="000000"/>
            </w:tcBorders>
          </w:tcPr>
          <w:p>
            <w:pPr>
              <w:pStyle w:val="Normal"/>
              <w:spacing w:lineRule="atLeast" w:line="0"/>
              <w:ind w:start="120" w:end="0"/>
              <w:jc w:val="center"/>
              <w:rPr>
                <w:rFonts w:ascii="Times New Roman" w:hAnsi="Times New Roman" w:eastAsia="Times New Roman" w:cs="Times New Roman"/>
              </w:rPr>
            </w:pPr>
            <w:r>
              <w:rPr>
                <w:rFonts w:eastAsia="Times New Roman" w:cs="Times New Roman" w:ascii="Times New Roman" w:hAnsi="Times New Roman"/>
              </w:rPr>
              <w:t>30 and above</w:t>
            </w:r>
          </w:p>
        </w:tc>
        <w:tc>
          <w:tcPr>
            <w:tcW w:w="1680" w:type="dxa"/>
            <w:tcBorders>
              <w:bottom w:val="single" w:sz="8" w:space="0" w:color="000000"/>
            </w:tcBorders>
          </w:tcPr>
          <w:p>
            <w:pPr>
              <w:pStyle w:val="Normal"/>
              <w:spacing w:lineRule="atLeast" w:line="0"/>
              <w:ind w:start="100" w:end="0"/>
              <w:jc w:val="center"/>
              <w:rPr>
                <w:rFonts w:ascii="Times New Roman" w:hAnsi="Times New Roman" w:eastAsia="Times New Roman" w:cs="Times New Roman"/>
                <w:w w:val="97"/>
              </w:rPr>
            </w:pPr>
            <w:r>
              <w:rPr>
                <w:rFonts w:eastAsia="Times New Roman" w:cs="Times New Roman" w:ascii="Times New Roman" w:hAnsi="Times New Roman"/>
                <w:w w:val="97"/>
              </w:rPr>
              <w:t>72.47</w:t>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0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720" w:end="20"/>
        <w:jc w:val="both"/>
        <w:rPr/>
      </w:pPr>
      <w:r>
        <w:rPr>
          <w:rFonts w:eastAsia="Times New Roman" w:cs="Times New Roman" w:ascii="Times New Roman" w:hAnsi="Times New Roman"/>
          <w:sz w:val="22"/>
        </w:rPr>
        <w:t>Kim, MacLaughlin, and Osterhout cited in Pujol (2008) supported the current study in terms of how the language skill was acquired. The experts were conclusive that “Adult language learners rapidly gather information in different aspects of L2 [second language] words (initially about form and then about meaning)”( p. 42 ). The result of this study is also strengthened with the idea formulated by Hammond (2015) who stated that the experience of maturing into adulthood gives older learners access to some tools and techniques not available to children.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29845</wp:posOffset>
                </wp:positionV>
                <wp:extent cx="5715000" cy="0"/>
                <wp:effectExtent l="0" t="9525" r="0" b="9525"/>
                <wp:wrapNone/>
                <wp:docPr id="12"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2.35pt" to="449.95pt,2.35pt" stroked="t" o:allowincell="f" style="position:absolute">
                <v:stroke color="black" weight="19080" joinstyle="miter" endcap="flat"/>
                <v:fill o:detectmouseclick="t" on="false"/>
                <w10:wrap type="none"/>
              </v:line>
            </w:pict>
          </mc:Fallback>
        </mc:AlternateContent>
      </w:r>
    </w:p>
    <w:p>
      <w:pPr>
        <w:sectPr>
          <w:type w:val="continuous"/>
          <w:pgSz w:w="10800" w:h="14400"/>
          <w:pgMar w:left="360" w:right="1420" w:gutter="0" w:header="0" w:top="579" w:footer="0" w:bottom="0"/>
          <w:pgNumType w:fmt="decimal"/>
          <w:formProt w:val="false"/>
          <w:textDirection w:val="lrTb"/>
          <w:docGrid w:type="default" w:linePitch="360" w:charSpace="0"/>
        </w:sectPr>
      </w:pP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980" w:leader="none"/>
        </w:tabs>
        <w:spacing w:lineRule="atLeast" w:line="0"/>
        <w:ind w:start="40" w:end="0"/>
        <w:rPr/>
      </w:pPr>
      <w:r>
        <w:rPr>
          <w:rFonts w:eastAsia="Times New Roman" w:cs="Times New Roman" w:ascii="Times New Roman" w:hAnsi="Times New Roman"/>
          <w:sz w:val="16"/>
        </w:rPr>
        <w:t>Journal of Education, Psychology, and Humanities (JEPH)</w:t>
      </w:r>
      <w:r>
        <w:rPr>
          <w:rFonts w:eastAsia="Times New Roman" w:cs="Times New Roman" w:ascii="Times New Roman" w:hAnsi="Times New Roman"/>
        </w:rPr>
        <w:tab/>
      </w: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-93980</wp:posOffset>
                </wp:positionV>
                <wp:extent cx="5715000" cy="0"/>
                <wp:effectExtent l="0" t="3175" r="0" b="3175"/>
                <wp:wrapNone/>
                <wp:docPr id="13"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4pt" to="449.95pt,-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8890</wp:posOffset>
                </wp:positionV>
                <wp:extent cx="5715000" cy="0"/>
                <wp:effectExtent l="0" t="3175" r="0" b="3175"/>
                <wp:wrapNone/>
                <wp:docPr id="14"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7pt" to="449.95pt,0.7pt" stroked="t" o:allowincell="f" style="position:absolute">
                <v:stroke color="black" weight="6480" joinstyle="miter" endcap="flat"/>
                <v:fill o:detectmouseclick="t" on="false"/>
                <w10:wrap type="none"/>
              </v:line>
            </w:pict>
          </mc:Fallback>
        </mc:AlternateContent>
      </w:r>
    </w:p>
    <w:p>
      <w:pPr>
        <w:sectPr>
          <w:type w:val="continuous"/>
          <w:pgSz w:w="10800" w:h="14400"/>
          <w:pgMar w:left="1440" w:right="340" w:gutter="0" w:header="0" w:top="559" w:footer="0" w:bottom="0"/>
          <w:formProt w:val="false"/>
          <w:textDirection w:val="lrTb"/>
          <w:docGrid w:type="default" w:linePitch="360" w:charSpace="0"/>
        </w:sectPr>
      </w:pPr>
    </w:p>
    <w:p>
      <w:pPr>
        <w:pStyle w:val="Normal"/>
        <w:numPr>
          <w:ilvl w:val="0"/>
          <w:numId w:val="3"/>
        </w:numPr>
        <w:tabs>
          <w:tab w:val="clear" w:pos="720"/>
          <w:tab w:val="left" w:pos="620" w:leader="none"/>
        </w:tabs>
        <w:spacing w:lineRule="atLeast" w:line="0"/>
        <w:ind w:hanging="547" w:start="620" w:end="0"/>
        <w:rPr>
          <w:rFonts w:ascii="Century Gothic" w:hAnsi="Century Gothic" w:eastAsia="Century Gothic" w:cs="Century Gothic"/>
          <w:b/>
        </w:rPr>
      </w:pPr>
      <w:bookmarkStart w:id="4" w:name="page5"/>
      <w:bookmarkEnd w:id="4"/>
      <w:r>
        <w:rPr>
          <w:rFonts w:eastAsia="Times New Roman" w:cs="Times New Roman" w:ascii="Times New Roman" w:hAnsi="Times New Roman"/>
          <w:sz w:val="16"/>
        </w:rPr>
        <w:t>Journal of Education, Psychology, and Humanities (JEPH) | ISSN 2599-5294</w:t>
      </w:r>
    </w:p>
    <w:p>
      <w:pPr>
        <w:pStyle w:val="Normal"/>
        <w:spacing w:lineRule="exact" w:line="19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6"/>
        <w:ind w:firstLine="720" w:end="0"/>
        <w:jc w:val="both"/>
        <w:rPr/>
      </w:pPr>
      <w:r>
        <w:rPr>
          <w:rFonts w:eastAsia="Times New Roman" w:cs="Times New Roman" w:ascii="Times New Roman" w:hAnsi="Times New Roman"/>
          <w:b/>
          <w:sz w:val="22"/>
        </w:rPr>
        <w:t>Educational attainment.</w:t>
      </w:r>
      <w:r>
        <w:rPr>
          <w:rFonts w:eastAsia="Times New Roman" w:cs="Times New Roman" w:ascii="Times New Roman" w:hAnsi="Times New Roman"/>
          <w:sz w:val="22"/>
        </w:rPr>
        <w:t xml:space="preserve"> Table 3 presents that most of the respondents were college gradu-ates (n=69) and college in progress (n=27). Nonetheless, the numerical analysis shows that those with college in progress have a higher mean rank (52.52) than those who were college graduates (46.93). Although there is a difference between the college graduates and college in progress in terms of their mean rank score in vocabulary skills, it shows that the difference is not significant on the educational attainment of the respondents (p&gt; .05).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-988695</wp:posOffset>
                </wp:positionV>
                <wp:extent cx="5715000" cy="0"/>
                <wp:effectExtent l="0" t="3175" r="0" b="3175"/>
                <wp:wrapNone/>
                <wp:docPr id="15"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7.85pt" to="449.95pt,-7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-1014095</wp:posOffset>
                </wp:positionV>
                <wp:extent cx="5715000" cy="0"/>
                <wp:effectExtent l="0" t="9525" r="0" b="9525"/>
                <wp:wrapNone/>
                <wp:docPr id="16"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79.85pt" to="449.95pt,-79.85pt" stroked="t" o:allowincell="f" style="position:absolute">
                <v:stroke color="black" weight="19080" joinstyle="miter" endcap="flat"/>
                <v:fill o:detectmouseclick="t" on="false"/>
                <w10:wrap type="none"/>
              </v:line>
            </w:pict>
          </mc:Fallback>
        </mc:AlternateContent>
      </w:r>
    </w:p>
    <w:p>
      <w:pPr>
        <w:pStyle w:val="Normal"/>
        <w:spacing w:lineRule="exact" w:line="1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Table 3</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Language Status in Vocabulary by Educational Attainment</w:t>
      </w:r>
    </w:p>
    <w:p>
      <w:pPr>
        <w:pStyle w:val="Normal"/>
        <w:spacing w:lineRule="exact" w:line="38"/>
        <w:rPr>
          <w:rFonts w:ascii="Times New Roman" w:hAnsi="Times New Roman" w:eastAsia="Times New Roman" w:cs="Times New Roman"/>
          <w:i/>
          <w:i/>
          <w:sz w:val="22"/>
        </w:rPr>
      </w:pPr>
      <w:r>
        <w:rPr>
          <w:rFonts w:eastAsia="Times New Roman" w:cs="Times New Roman" w:ascii="Times New Roman" w:hAnsi="Times New Roman"/>
          <w:i/>
          <w:sz w:val="22"/>
        </w:rPr>
      </w:r>
    </w:p>
    <w:tbl>
      <w:tblPr>
        <w:tblW w:w="9000" w:type="dxa"/>
        <w:jc w:val="start"/>
        <w:tblInd w:w="0" w:type="dxa"/>
        <w:tblLayout w:type="fixed"/>
        <w:tblCellMar>
          <w:top w:w="0" w:type="dxa"/>
          <w:start w:w="0" w:type="dxa"/>
          <w:bottom w:w="0" w:type="dxa"/>
          <w:end w:w="0" w:type="dxa"/>
        </w:tblCellMar>
      </w:tblPr>
      <w:tblGrid>
        <w:gridCol w:w="4040"/>
        <w:gridCol w:w="1480"/>
        <w:gridCol w:w="960"/>
        <w:gridCol w:w="900"/>
        <w:gridCol w:w="1620"/>
      </w:tblGrid>
      <w:tr>
        <w:trPr>
          <w:trHeight w:val="293" w:hRule="atLeast"/>
        </w:trPr>
        <w:tc>
          <w:tcPr>
            <w:tcW w:w="404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Educational Attainment by Vocabulary Skill</w:t>
            </w:r>
          </w:p>
        </w:tc>
        <w:tc>
          <w:tcPr>
            <w:tcW w:w="148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Mean Rank</w:t>
            </w:r>
          </w:p>
        </w:tc>
        <w:tc>
          <w:tcPr>
            <w:tcW w:w="9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H(3)</w:t>
            </w:r>
          </w:p>
        </w:tc>
        <w:tc>
          <w:tcPr>
            <w:tcW w:w="9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i/>
                <w:i/>
                <w:w w:val="97"/>
              </w:rPr>
            </w:pPr>
            <w:r>
              <w:rPr>
                <w:rFonts w:eastAsia="Times New Roman" w:cs="Times New Roman" w:ascii="Times New Roman" w:hAnsi="Times New Roman"/>
                <w:i/>
                <w:w w:val="97"/>
              </w:rPr>
              <w:t>P</w:t>
            </w:r>
          </w:p>
        </w:tc>
        <w:tc>
          <w:tcPr>
            <w:tcW w:w="162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i/>
                <w:i/>
                <w:w w:val="95"/>
              </w:rPr>
            </w:pPr>
            <w:r>
              <w:rPr>
                <w:rFonts w:eastAsia="Times New Roman" w:cs="Times New Roman" w:ascii="Times New Roman" w:hAnsi="Times New Roman"/>
                <w:i/>
                <w:w w:val="95"/>
              </w:rPr>
              <w:t>VI</w:t>
            </w:r>
          </w:p>
        </w:tc>
      </w:tr>
      <w:tr>
        <w:trPr>
          <w:trHeight w:val="269" w:hRule="atLeast"/>
        </w:trPr>
        <w:tc>
          <w:tcPr>
            <w:tcW w:w="40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College Graduate</w:t>
            </w:r>
          </w:p>
        </w:tc>
        <w:tc>
          <w:tcPr>
            <w:tcW w:w="148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46.93</w:t>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9" w:hRule="atLeast"/>
        </w:trPr>
        <w:tc>
          <w:tcPr>
            <w:tcW w:w="404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College in Progress</w:t>
            </w:r>
          </w:p>
        </w:tc>
        <w:tc>
          <w:tcPr>
            <w:tcW w:w="1480" w:type="dxa"/>
            <w:tcBorders>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52.52</w:t>
            </w:r>
          </w:p>
        </w:tc>
        <w:tc>
          <w:tcPr>
            <w:tcW w:w="960" w:type="dxa"/>
            <w:tcBorders>
              <w:bottom w:val="single" w:sz="8" w:space="0" w:color="000000"/>
            </w:tcBorders>
          </w:tcPr>
          <w:p>
            <w:pPr>
              <w:pStyle w:val="Normal"/>
              <w:spacing w:lineRule="atLeast" w:line="0"/>
              <w:ind w:end="240"/>
              <w:jc w:val="end"/>
              <w:rPr>
                <w:rFonts w:ascii="Times New Roman" w:hAnsi="Times New Roman" w:eastAsia="Times New Roman" w:cs="Times New Roman"/>
              </w:rPr>
            </w:pPr>
            <w:r>
              <w:rPr>
                <w:rFonts w:eastAsia="Times New Roman" w:cs="Times New Roman" w:ascii="Times New Roman" w:hAnsi="Times New Roman"/>
              </w:rPr>
              <w:t>823</w:t>
            </w:r>
          </w:p>
        </w:tc>
        <w:tc>
          <w:tcPr>
            <w:tcW w:w="900" w:type="dxa"/>
            <w:tcBorders>
              <w:bottom w:val="single" w:sz="8" w:space="0" w:color="000000"/>
            </w:tcBorders>
          </w:tcPr>
          <w:p>
            <w:pPr>
              <w:pStyle w:val="Normal"/>
              <w:spacing w:lineRule="atLeast" w:line="0"/>
              <w:ind w:end="140"/>
              <w:jc w:val="end"/>
              <w:rPr>
                <w:rFonts w:ascii="Times New Roman" w:hAnsi="Times New Roman" w:eastAsia="Times New Roman" w:cs="Times New Roman"/>
              </w:rPr>
            </w:pPr>
            <w:r>
              <w:rPr>
                <w:rFonts w:eastAsia="Times New Roman" w:cs="Times New Roman" w:ascii="Times New Roman" w:hAnsi="Times New Roman"/>
              </w:rPr>
              <w:t>.374</w:t>
            </w:r>
          </w:p>
        </w:tc>
        <w:tc>
          <w:tcPr>
            <w:tcW w:w="162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Not Significant</w:t>
            </w:r>
          </w:p>
        </w:tc>
      </w:tr>
    </w:tbl>
    <w:p>
      <w:pPr>
        <w:pStyle w:val="Normal"/>
        <w:spacing w:lineRule="exact" w:line="1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As Hubpages (2016) indicated, business processing outsource (BPO) companies do not re-quire any applicant to have a college degree or be a professional. BPO companies only require the need-ed skills such as at least 2 years of college education. This suggests that the educational attainment does not have a strong impact in the language status of the Filipino CCAs in their vocabulary skills maybe because the needed skills such as the technical skills and the social skills are more given emphasis.</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firstLine="720" w:end="0"/>
        <w:jc w:val="both"/>
        <w:rPr/>
      </w:pPr>
      <w:r>
        <w:rPr>
          <w:rFonts w:eastAsia="Times New Roman" w:cs="Times New Roman" w:ascii="Times New Roman" w:hAnsi="Times New Roman"/>
          <w:b/>
          <w:sz w:val="22"/>
        </w:rPr>
        <w:t>Gender.</w:t>
      </w:r>
      <w:r>
        <w:rPr>
          <w:rFonts w:eastAsia="Times New Roman" w:cs="Times New Roman" w:ascii="Times New Roman" w:hAnsi="Times New Roman"/>
          <w:sz w:val="22"/>
        </w:rPr>
        <w:t xml:space="preserve"> Table 4 presents that the male respondents have a higher mean rank (55.2 %) than their female counterparts. However , there is no significant difference on the vocabulary skill test when grouped according to gender (p&gt;.05) using the Mann-Whitney U Test. This implies that the male and female Filipino CCAs are comparable in their language status when it comes to their vocabulary skills test scores.</w:t>
      </w:r>
    </w:p>
    <w:p>
      <w:pPr>
        <w:pStyle w:val="Normal"/>
        <w:spacing w:lineRule="exact" w:line="17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Table 4</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Language Status in Vocabulary by Gender</w:t>
      </w:r>
    </w:p>
    <w:p>
      <w:pPr>
        <w:pStyle w:val="Normal"/>
        <w:spacing w:lineRule="exact" w:line="38"/>
        <w:rPr>
          <w:rFonts w:ascii="Times New Roman" w:hAnsi="Times New Roman" w:eastAsia="Times New Roman" w:cs="Times New Roman"/>
          <w:i/>
          <w:i/>
          <w:sz w:val="22"/>
        </w:rPr>
      </w:pPr>
      <w:r>
        <w:rPr>
          <w:rFonts w:eastAsia="Times New Roman" w:cs="Times New Roman" w:ascii="Times New Roman" w:hAnsi="Times New Roman"/>
          <w:i/>
          <w:sz w:val="22"/>
        </w:rPr>
      </w:r>
    </w:p>
    <w:tbl>
      <w:tblPr>
        <w:tblW w:w="9000" w:type="dxa"/>
        <w:jc w:val="start"/>
        <w:tblInd w:w="0" w:type="dxa"/>
        <w:tblLayout w:type="fixed"/>
        <w:tblCellMar>
          <w:top w:w="0" w:type="dxa"/>
          <w:start w:w="0" w:type="dxa"/>
          <w:bottom w:w="0" w:type="dxa"/>
          <w:end w:w="0" w:type="dxa"/>
        </w:tblCellMar>
      </w:tblPr>
      <w:tblGrid>
        <w:gridCol w:w="3720"/>
        <w:gridCol w:w="1780"/>
        <w:gridCol w:w="960"/>
        <w:gridCol w:w="960"/>
        <w:gridCol w:w="1580"/>
      </w:tblGrid>
      <w:tr>
        <w:trPr>
          <w:trHeight w:val="293" w:hRule="atLeast"/>
        </w:trPr>
        <w:tc>
          <w:tcPr>
            <w:tcW w:w="3720" w:type="dxa"/>
            <w:tcBorders>
              <w:top w:val="single" w:sz="8" w:space="0" w:color="000000"/>
              <w:bottom w:val="single" w:sz="8" w:space="0" w:color="000000"/>
            </w:tcBorders>
          </w:tcPr>
          <w:p>
            <w:pPr>
              <w:pStyle w:val="Normal"/>
              <w:spacing w:lineRule="atLeast" w:line="0"/>
              <w:ind w:start="240" w:end="0"/>
              <w:jc w:val="center"/>
              <w:rPr>
                <w:rFonts w:ascii="Times New Roman" w:hAnsi="Times New Roman" w:eastAsia="Times New Roman" w:cs="Times New Roman"/>
                <w:w w:val="98"/>
              </w:rPr>
            </w:pPr>
            <w:r>
              <w:rPr>
                <w:rFonts w:eastAsia="Times New Roman" w:cs="Times New Roman" w:ascii="Times New Roman" w:hAnsi="Times New Roman"/>
                <w:w w:val="98"/>
              </w:rPr>
              <w:t>Vocabulary Skill by Gender</w:t>
            </w:r>
          </w:p>
        </w:tc>
        <w:tc>
          <w:tcPr>
            <w:tcW w:w="1780" w:type="dxa"/>
            <w:tcBorders>
              <w:top w:val="single" w:sz="8" w:space="0" w:color="000000"/>
              <w:bottom w:val="single" w:sz="8" w:space="0" w:color="000000"/>
            </w:tcBorders>
          </w:tcPr>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Mean Rank</w:t>
            </w:r>
          </w:p>
        </w:tc>
        <w:tc>
          <w:tcPr>
            <w:tcW w:w="9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H(3)</w:t>
            </w:r>
          </w:p>
        </w:tc>
        <w:tc>
          <w:tcPr>
            <w:tcW w:w="9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i/>
                <w:i/>
                <w:w w:val="97"/>
              </w:rPr>
            </w:pPr>
            <w:r>
              <w:rPr>
                <w:rFonts w:eastAsia="Times New Roman" w:cs="Times New Roman" w:ascii="Times New Roman" w:hAnsi="Times New Roman"/>
                <w:i/>
                <w:w w:val="97"/>
              </w:rPr>
              <w:t>P</w:t>
            </w:r>
          </w:p>
        </w:tc>
        <w:tc>
          <w:tcPr>
            <w:tcW w:w="158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i/>
                <w:i/>
                <w:w w:val="95"/>
              </w:rPr>
            </w:pPr>
            <w:r>
              <w:rPr>
                <w:rFonts w:eastAsia="Times New Roman" w:cs="Times New Roman" w:ascii="Times New Roman" w:hAnsi="Times New Roman"/>
                <w:i/>
                <w:w w:val="95"/>
              </w:rPr>
              <w:t>VI</w:t>
            </w:r>
          </w:p>
        </w:tc>
      </w:tr>
      <w:tr>
        <w:trPr>
          <w:trHeight w:val="269" w:hRule="atLeast"/>
        </w:trPr>
        <w:tc>
          <w:tcPr>
            <w:tcW w:w="3720" w:type="dxa"/>
            <w:tcBorders/>
          </w:tcPr>
          <w:p>
            <w:pPr>
              <w:pStyle w:val="Normal"/>
              <w:spacing w:lineRule="atLeast" w:line="0"/>
              <w:ind w:start="240" w:end="0"/>
              <w:jc w:val="center"/>
              <w:rPr>
                <w:rFonts w:ascii="Times New Roman" w:hAnsi="Times New Roman" w:eastAsia="Times New Roman" w:cs="Times New Roman"/>
                <w:w w:val="98"/>
              </w:rPr>
            </w:pPr>
            <w:r>
              <w:rPr>
                <w:rFonts w:eastAsia="Times New Roman" w:cs="Times New Roman" w:ascii="Times New Roman" w:hAnsi="Times New Roman"/>
                <w:w w:val="98"/>
              </w:rPr>
              <w:t>Female</w:t>
            </w:r>
          </w:p>
        </w:tc>
        <w:tc>
          <w:tcPr>
            <w:tcW w:w="1780" w:type="dxa"/>
            <w:tcBorders/>
          </w:tcPr>
          <w:p>
            <w:pPr>
              <w:pStyle w:val="Normal"/>
              <w:spacing w:lineRule="atLeast" w:line="0"/>
              <w:ind w:end="400"/>
              <w:jc w:val="end"/>
              <w:rPr>
                <w:rFonts w:ascii="Times New Roman" w:hAnsi="Times New Roman" w:eastAsia="Times New Roman" w:cs="Times New Roman"/>
              </w:rPr>
            </w:pPr>
            <w:r>
              <w:rPr>
                <w:rFonts w:eastAsia="Times New Roman" w:cs="Times New Roman" w:ascii="Times New Roman" w:hAnsi="Times New Roman"/>
              </w:rPr>
              <w:t>53.42</w:t>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9" w:hRule="atLeast"/>
        </w:trPr>
        <w:tc>
          <w:tcPr>
            <w:tcW w:w="3720" w:type="dxa"/>
            <w:tcBorders>
              <w:bottom w:val="single" w:sz="8" w:space="0" w:color="000000"/>
            </w:tcBorders>
          </w:tcPr>
          <w:p>
            <w:pPr>
              <w:pStyle w:val="Normal"/>
              <w:spacing w:lineRule="atLeast" w:line="0"/>
              <w:ind w:start="240" w:end="0"/>
              <w:jc w:val="center"/>
              <w:rPr>
                <w:rFonts w:ascii="Times New Roman" w:hAnsi="Times New Roman" w:eastAsia="Times New Roman" w:cs="Times New Roman"/>
              </w:rPr>
            </w:pPr>
            <w:r>
              <w:rPr>
                <w:rFonts w:eastAsia="Times New Roman" w:cs="Times New Roman" w:ascii="Times New Roman" w:hAnsi="Times New Roman"/>
              </w:rPr>
              <w:t>Male</w:t>
            </w:r>
          </w:p>
        </w:tc>
        <w:tc>
          <w:tcPr>
            <w:tcW w:w="1780" w:type="dxa"/>
            <w:tcBorders>
              <w:bottom w:val="single" w:sz="8" w:space="0" w:color="000000"/>
            </w:tcBorders>
          </w:tcPr>
          <w:p>
            <w:pPr>
              <w:pStyle w:val="Normal"/>
              <w:spacing w:lineRule="atLeast" w:line="0"/>
              <w:ind w:end="460"/>
              <w:jc w:val="end"/>
              <w:rPr>
                <w:rFonts w:ascii="Times New Roman" w:hAnsi="Times New Roman" w:eastAsia="Times New Roman" w:cs="Times New Roman"/>
              </w:rPr>
            </w:pPr>
            <w:r>
              <w:rPr>
                <w:rFonts w:eastAsia="Times New Roman" w:cs="Times New Roman" w:ascii="Times New Roman" w:hAnsi="Times New Roman"/>
              </w:rPr>
              <w:t>55.2</w:t>
            </w:r>
          </w:p>
        </w:tc>
        <w:tc>
          <w:tcPr>
            <w:tcW w:w="960" w:type="dxa"/>
            <w:tcBorders>
              <w:bottom w:val="single" w:sz="8" w:space="0" w:color="000000"/>
            </w:tcBorders>
          </w:tcPr>
          <w:p>
            <w:pPr>
              <w:pStyle w:val="Normal"/>
              <w:spacing w:lineRule="atLeast" w:line="0"/>
              <w:ind w:end="180"/>
              <w:jc w:val="end"/>
              <w:rPr>
                <w:rFonts w:ascii="Times New Roman" w:hAnsi="Times New Roman" w:eastAsia="Times New Roman" w:cs="Times New Roman"/>
              </w:rPr>
            </w:pPr>
            <w:r>
              <w:rPr>
                <w:rFonts w:eastAsia="Times New Roman" w:cs="Times New Roman" w:ascii="Times New Roman" w:hAnsi="Times New Roman"/>
              </w:rPr>
              <w:t>1218</w:t>
            </w:r>
          </w:p>
        </w:tc>
        <w:tc>
          <w:tcPr>
            <w:tcW w:w="960" w:type="dxa"/>
            <w:tcBorders>
              <w:bottom w:val="single" w:sz="8" w:space="0" w:color="000000"/>
            </w:tcBorders>
          </w:tcPr>
          <w:p>
            <w:pPr>
              <w:pStyle w:val="Normal"/>
              <w:spacing w:lineRule="atLeast" w:line="0"/>
              <w:ind w:end="120"/>
              <w:jc w:val="end"/>
              <w:rPr>
                <w:rFonts w:ascii="Times New Roman" w:hAnsi="Times New Roman" w:eastAsia="Times New Roman" w:cs="Times New Roman"/>
              </w:rPr>
            </w:pPr>
            <w:r>
              <w:rPr>
                <w:rFonts w:eastAsia="Times New Roman" w:cs="Times New Roman" w:ascii="Times New Roman" w:hAnsi="Times New Roman"/>
              </w:rPr>
              <w:t>0.779</w:t>
            </w:r>
          </w:p>
        </w:tc>
        <w:tc>
          <w:tcPr>
            <w:tcW w:w="1580" w:type="dxa"/>
            <w:tcBorders>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Not Significant</w:t>
            </w:r>
          </w:p>
        </w:tc>
      </w:tr>
    </w:tbl>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720" w:end="0"/>
        <w:jc w:val="both"/>
        <w:rPr/>
      </w:pPr>
      <w:r>
        <w:rPr>
          <w:rFonts w:eastAsia="Times New Roman" w:cs="Times New Roman" w:ascii="Times New Roman" w:hAnsi="Times New Roman"/>
          <w:sz w:val="22"/>
        </w:rPr>
        <w:t>The result of this study is consistent with the findings of Babalola (2012) that gender had no significant influence on students’ ability to acquire language communication skills. The result of the current study is contrary to the various studies that perceived the dominance of females in the use of English language as proposed in the findings of Aslan (2009) and Zhang (2010).</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4"/>
        <w:ind w:firstLine="720" w:end="0"/>
        <w:jc w:val="both"/>
        <w:rPr/>
      </w:pPr>
      <w:r>
        <w:rPr>
          <w:rFonts w:eastAsia="Times New Roman" w:cs="Times New Roman" w:ascii="Times New Roman" w:hAnsi="Times New Roman"/>
          <w:b/>
          <w:sz w:val="22"/>
        </w:rPr>
        <w:t>Length of work experience.</w:t>
      </w:r>
      <w:r>
        <w:rPr>
          <w:rFonts w:eastAsia="Times New Roman" w:cs="Times New Roman" w:ascii="Times New Roman" w:hAnsi="Times New Roman"/>
          <w:sz w:val="22"/>
        </w:rPr>
        <w:t xml:space="preserve"> Considering the length of work experience of the respondents, the results show that there is no significant difference in the vocabulary skills of the call center agents when grouped according to length of work experience (p&lt;.051) using the Kruskal Wallis Test. Table 4 shows that the respondents who belonged to the group with 5 years and above length of work expe-rience got the highest mean rank (70.86%). The respondents who belonged to the group with 0 to 6 months length of work experience, however, got the lowest mean rank (48.20%). Although there is a variation in between, those who have longest working experience have the highest mean scores.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1096010</wp:posOffset>
                </wp:positionV>
                <wp:extent cx="5715000" cy="0"/>
                <wp:effectExtent l="0" t="9525" r="0" b="9525"/>
                <wp:wrapNone/>
                <wp:docPr id="17"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86.3pt" to="449.95pt,86.3pt" stroked="t" o:allowincell="f" style="position:absolute">
                <v:stroke color="black" weight="19080" joinstyle="miter" endcap="flat"/>
                <v:fill o:detectmouseclick="t" on="false"/>
                <w10:wrap type="none"/>
              </v:line>
            </w:pict>
          </mc:Fallback>
        </mc:AlternateContent>
      </w:r>
    </w:p>
    <w:p>
      <w:pPr>
        <w:sectPr>
          <w:type w:val="nextPage"/>
          <w:pgSz w:w="10800" w:h="14400"/>
          <w:pgMar w:left="360" w:right="1440" w:gutter="0" w:header="0" w:top="56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-99695</wp:posOffset>
                </wp:positionV>
                <wp:extent cx="5715000" cy="0"/>
                <wp:effectExtent l="0" t="3175" r="0" b="3175"/>
                <wp:wrapNone/>
                <wp:docPr id="18"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85pt" to="449.95pt,-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3175</wp:posOffset>
                </wp:positionV>
                <wp:extent cx="5715000" cy="0"/>
                <wp:effectExtent l="0" t="3175" r="0" b="3175"/>
                <wp:wrapNone/>
                <wp:docPr id="19"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25pt" to="449.95pt,0.25pt" stroked="t" o:allowincell="f" style="position:absolute">
                <v:stroke color="black" weight="6480" joinstyle="miter" endcap="flat"/>
                <v:fill o:detectmouseclick="t" on="false"/>
                <w10:wrap type="none"/>
              </v:line>
            </w:pict>
          </mc:Fallback>
        </mc:AlternateContent>
      </w:r>
    </w:p>
    <w:p>
      <w:pPr>
        <w:sectPr>
          <w:type w:val="continuous"/>
          <w:pgSz w:w="10800" w:h="14400"/>
          <w:pgMar w:left="360" w:right="1440" w:gutter="0" w:header="0" w:top="567" w:footer="0" w:bottom="0"/>
          <w:formProt w:val="false"/>
          <w:textDirection w:val="lrTb"/>
          <w:docGrid w:type="default" w:linePitch="360" w:charSpace="0"/>
        </w:sectPr>
      </w:pPr>
    </w:p>
    <w:tbl>
      <w:tblPr>
        <w:tblW w:w="6680" w:type="dxa"/>
        <w:jc w:val="start"/>
        <w:tblInd w:w="2240" w:type="dxa"/>
        <w:tblLayout w:type="fixed"/>
        <w:tblCellMar>
          <w:top w:w="0" w:type="dxa"/>
          <w:start w:w="0" w:type="dxa"/>
          <w:bottom w:w="0" w:type="dxa"/>
          <w:end w:w="0" w:type="dxa"/>
        </w:tblCellMar>
      </w:tblPr>
      <w:tblGrid>
        <w:gridCol w:w="6260"/>
        <w:gridCol w:w="420"/>
      </w:tblGrid>
      <w:tr>
        <w:trPr>
          <w:trHeight w:val="284" w:hRule="atLeast"/>
        </w:trPr>
        <w:tc>
          <w:tcPr>
            <w:tcW w:w="6260" w:type="dxa"/>
            <w:tcBorders/>
          </w:tcPr>
          <w:p>
            <w:pPr>
              <w:pStyle w:val="Normal"/>
              <w:spacing w:lineRule="atLeast" w:line="0"/>
              <w:rPr/>
            </w:pPr>
            <w:bookmarkStart w:id="5" w:name="page6"/>
            <w:bookmarkEnd w:id="5"/>
            <w:r>
              <w:rPr>
                <w:rFonts w:eastAsia="Times New Roman" w:cs="Times New Roman" w:ascii="Times New Roman" w:hAnsi="Times New Roman"/>
                <w:sz w:val="16"/>
              </w:rPr>
              <w:t>Filipino Call Center Agents’ English Communication Proficiency and How They Developed It</w:t>
            </w:r>
          </w:p>
        </w:tc>
        <w:tc>
          <w:tcPr>
            <w:tcW w:w="420" w:type="dxa"/>
            <w:tcBorders/>
          </w:tcPr>
          <w:p>
            <w:pPr>
              <w:pStyle w:val="Normal"/>
              <w:spacing w:lineRule="atLeast" w:line="0"/>
              <w:jc w:val="end"/>
              <w:rPr>
                <w:rFonts w:ascii="Century Gothic" w:hAnsi="Century Gothic" w:eastAsia="Century Gothic" w:cs="Century Gothic"/>
                <w:b/>
              </w:rPr>
            </w:pPr>
            <w:r>
              <w:rPr>
                <w:rFonts w:eastAsia="Century Gothic" w:cs="Century Gothic" w:ascii="Century Gothic" w:hAnsi="Century Gothic"/>
                <w:b/>
              </w:rPr>
              <w:t>25</w:t>
            </w:r>
          </w:p>
        </w:tc>
      </w:tr>
    </w:tbl>
    <w:p>
      <w:pPr>
        <w:pStyle w:val="Normal"/>
        <w:spacing w:lineRule="exact" w:line="1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Table 5</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-119380</wp:posOffset>
                </wp:positionV>
                <wp:extent cx="5715000" cy="0"/>
                <wp:effectExtent l="0" t="3175" r="0" b="3175"/>
                <wp:wrapNone/>
                <wp:docPr id="20"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4pt" to="449.95pt,-9.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-144780</wp:posOffset>
                </wp:positionV>
                <wp:extent cx="5715000" cy="0"/>
                <wp:effectExtent l="0" t="9525" r="0" b="9525"/>
                <wp:wrapNone/>
                <wp:docPr id="21"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4pt" to="449.95pt,-11.4pt" stroked="t" o:allowincell="f" style="position:absolute">
                <v:stroke color="black" weight="19080" joinstyle="miter" endcap="flat"/>
                <v:fill o:detectmouseclick="t" on="false"/>
                <w10:wrap type="none"/>
              </v:line>
            </w:pict>
          </mc:Fallback>
        </mc:AlternateContent>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Language Status in Vocabulary by Length of Work Experience</w:t>
      </w:r>
    </w:p>
    <w:p>
      <w:pPr>
        <w:pStyle w:val="Normal"/>
        <w:spacing w:lineRule="exact" w:line="38"/>
        <w:rPr>
          <w:rFonts w:ascii="Times New Roman" w:hAnsi="Times New Roman" w:eastAsia="Times New Roman" w:cs="Times New Roman"/>
          <w:i/>
          <w:i/>
          <w:sz w:val="22"/>
        </w:rPr>
      </w:pPr>
      <w:r>
        <w:rPr>
          <w:rFonts w:eastAsia="Times New Roman" w:cs="Times New Roman" w:ascii="Times New Roman" w:hAnsi="Times New Roman"/>
          <w:i/>
          <w:sz w:val="22"/>
        </w:rPr>
      </w:r>
    </w:p>
    <w:tbl>
      <w:tblPr>
        <w:tblW w:w="9000" w:type="dxa"/>
        <w:jc w:val="start"/>
        <w:tblInd w:w="0" w:type="dxa"/>
        <w:tblLayout w:type="fixed"/>
        <w:tblCellMar>
          <w:top w:w="0" w:type="dxa"/>
          <w:start w:w="0" w:type="dxa"/>
          <w:bottom w:w="0" w:type="dxa"/>
          <w:end w:w="0" w:type="dxa"/>
        </w:tblCellMar>
      </w:tblPr>
      <w:tblGrid>
        <w:gridCol w:w="3720"/>
        <w:gridCol w:w="1780"/>
        <w:gridCol w:w="980"/>
        <w:gridCol w:w="940"/>
        <w:gridCol w:w="1580"/>
      </w:tblGrid>
      <w:tr>
        <w:trPr>
          <w:trHeight w:val="261" w:hRule="atLeast"/>
        </w:trPr>
        <w:tc>
          <w:tcPr>
            <w:tcW w:w="3720" w:type="dxa"/>
            <w:tcBorders>
              <w:top w:val="single" w:sz="8" w:space="0" w:color="000000"/>
            </w:tcBorders>
          </w:tcPr>
          <w:p>
            <w:pPr>
              <w:pStyle w:val="Normal"/>
              <w:spacing w:lineRule="atLeast" w:line="0"/>
              <w:ind w:start="220" w:end="0"/>
              <w:jc w:val="center"/>
              <w:rPr>
                <w:rFonts w:ascii="Times New Roman" w:hAnsi="Times New Roman" w:eastAsia="Times New Roman" w:cs="Times New Roman"/>
                <w:w w:val="98"/>
              </w:rPr>
            </w:pPr>
            <w:r>
              <w:rPr>
                <w:rFonts w:eastAsia="Times New Roman" w:cs="Times New Roman" w:ascii="Times New Roman" w:hAnsi="Times New Roman"/>
                <w:w w:val="98"/>
              </w:rPr>
              <w:t>Vocabulary Skill by Length</w:t>
            </w:r>
          </w:p>
        </w:tc>
        <w:tc>
          <w:tcPr>
            <w:tcW w:w="1780" w:type="dxa"/>
            <w:vMerge w:val="restart"/>
            <w:tcBorders>
              <w:top w:val="single" w:sz="8" w:space="0" w:color="000000"/>
            </w:tcBorders>
          </w:tcPr>
          <w:p>
            <w:pPr>
              <w:pStyle w:val="Normal"/>
              <w:spacing w:lineRule="atLeast" w:line="0"/>
              <w:ind w:start="580" w:end="0"/>
              <w:rPr>
                <w:rFonts w:ascii="Times New Roman" w:hAnsi="Times New Roman" w:eastAsia="Times New Roman" w:cs="Times New Roman"/>
              </w:rPr>
            </w:pPr>
            <w:r>
              <w:rPr>
                <w:rFonts w:eastAsia="Times New Roman" w:cs="Times New Roman" w:ascii="Times New Roman" w:hAnsi="Times New Roman"/>
              </w:rPr>
              <w:t>Mean Rank</w:t>
            </w:r>
          </w:p>
        </w:tc>
        <w:tc>
          <w:tcPr>
            <w:tcW w:w="980" w:type="dxa"/>
            <w:vMerge w:val="restart"/>
            <w:tcBorders>
              <w:top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H(3)</w:t>
            </w:r>
          </w:p>
        </w:tc>
        <w:tc>
          <w:tcPr>
            <w:tcW w:w="940" w:type="dxa"/>
            <w:vMerge w:val="restart"/>
            <w:tcBorders>
              <w:top w:val="single" w:sz="8" w:space="0" w:color="000000"/>
            </w:tcBorders>
          </w:tcPr>
          <w:p>
            <w:pPr>
              <w:pStyle w:val="Normal"/>
              <w:spacing w:lineRule="atLeast" w:line="0"/>
              <w:jc w:val="center"/>
              <w:rPr>
                <w:rFonts w:ascii="Times New Roman" w:hAnsi="Times New Roman" w:eastAsia="Times New Roman" w:cs="Times New Roman"/>
                <w:i/>
                <w:i/>
                <w:w w:val="97"/>
              </w:rPr>
            </w:pPr>
            <w:r>
              <w:rPr>
                <w:rFonts w:eastAsia="Times New Roman" w:cs="Times New Roman" w:ascii="Times New Roman" w:hAnsi="Times New Roman"/>
                <w:i/>
                <w:w w:val="97"/>
              </w:rPr>
              <w:t>P</w:t>
            </w:r>
          </w:p>
        </w:tc>
        <w:tc>
          <w:tcPr>
            <w:tcW w:w="1580" w:type="dxa"/>
            <w:vMerge w:val="restart"/>
            <w:tcBorders>
              <w:top w:val="single" w:sz="8" w:space="0" w:color="000000"/>
            </w:tcBorders>
          </w:tcPr>
          <w:p>
            <w:pPr>
              <w:pStyle w:val="Normal"/>
              <w:spacing w:lineRule="atLeast" w:line="0"/>
              <w:jc w:val="center"/>
              <w:rPr>
                <w:rFonts w:ascii="Times New Roman" w:hAnsi="Times New Roman" w:eastAsia="Times New Roman" w:cs="Times New Roman"/>
                <w:i/>
                <w:i/>
                <w:w w:val="95"/>
              </w:rPr>
            </w:pPr>
            <w:r>
              <w:rPr>
                <w:rFonts w:eastAsia="Times New Roman" w:cs="Times New Roman" w:ascii="Times New Roman" w:hAnsi="Times New Roman"/>
                <w:i/>
                <w:w w:val="95"/>
              </w:rPr>
              <w:t>VI</w:t>
            </w:r>
          </w:p>
        </w:tc>
      </w:tr>
      <w:tr>
        <w:trPr>
          <w:trHeight w:val="141" w:hRule="atLeast"/>
        </w:trPr>
        <w:tc>
          <w:tcPr>
            <w:tcW w:w="3720" w:type="dxa"/>
            <w:vMerge w:val="restart"/>
            <w:tcBorders/>
          </w:tcPr>
          <w:p>
            <w:pPr>
              <w:pStyle w:val="Normal"/>
              <w:spacing w:lineRule="atLeast" w:line="0"/>
              <w:ind w:start="240" w:end="0"/>
              <w:jc w:val="center"/>
              <w:rPr>
                <w:rFonts w:ascii="Times New Roman" w:hAnsi="Times New Roman" w:eastAsia="Times New Roman" w:cs="Times New Roman"/>
                <w:w w:val="99"/>
              </w:rPr>
            </w:pPr>
            <w:r>
              <w:rPr>
                <w:rFonts w:eastAsia="Times New Roman" w:cs="Times New Roman" w:ascii="Times New Roman" w:hAnsi="Times New Roman"/>
                <w:w w:val="99"/>
              </w:rPr>
              <w:t>of Working Experience</w:t>
            </w:r>
          </w:p>
        </w:tc>
        <w:tc>
          <w:tcPr>
            <w:tcW w:w="17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9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8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0" w:hRule="atLeast"/>
        </w:trPr>
        <w:tc>
          <w:tcPr>
            <w:tcW w:w="37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9" w:hRule="atLeast"/>
        </w:trPr>
        <w:tc>
          <w:tcPr>
            <w:tcW w:w="3720" w:type="dxa"/>
            <w:tcBorders/>
          </w:tcPr>
          <w:p>
            <w:pPr>
              <w:pStyle w:val="Normal"/>
              <w:spacing w:lineRule="atLeast" w:line="0"/>
              <w:ind w:start="240" w:end="0"/>
              <w:jc w:val="center"/>
              <w:rPr>
                <w:rFonts w:ascii="Times New Roman" w:hAnsi="Times New Roman" w:eastAsia="Times New Roman" w:cs="Times New Roman"/>
              </w:rPr>
            </w:pPr>
            <w:r>
              <w:rPr>
                <w:rFonts w:eastAsia="Times New Roman" w:cs="Times New Roman" w:ascii="Times New Roman" w:hAnsi="Times New Roman"/>
              </w:rPr>
              <w:t>0 to 6 months</w:t>
            </w:r>
          </w:p>
        </w:tc>
        <w:tc>
          <w:tcPr>
            <w:tcW w:w="1780" w:type="dxa"/>
            <w:tcBorders/>
          </w:tcPr>
          <w:p>
            <w:pPr>
              <w:pStyle w:val="Normal"/>
              <w:spacing w:lineRule="atLeast" w:line="0"/>
              <w:ind w:start="220" w:end="0"/>
              <w:jc w:val="center"/>
              <w:rPr>
                <w:rFonts w:ascii="Times New Roman" w:hAnsi="Times New Roman" w:eastAsia="Times New Roman" w:cs="Times New Roman"/>
                <w:w w:val="97"/>
              </w:rPr>
            </w:pPr>
            <w:r>
              <w:rPr>
                <w:rFonts w:eastAsia="Times New Roman" w:cs="Times New Roman" w:ascii="Times New Roman" w:hAnsi="Times New Roman"/>
                <w:w w:val="97"/>
              </w:rPr>
              <w:t>48.2</w:t>
            </w:r>
          </w:p>
        </w:tc>
        <w:tc>
          <w:tcPr>
            <w:tcW w:w="980" w:type="dxa"/>
            <w:tcBorders/>
          </w:tcPr>
          <w:p>
            <w:pPr>
              <w:pStyle w:val="Normal"/>
              <w:snapToGrid w:val="false"/>
              <w:spacing w:lineRule="atLeast" w:line="0"/>
              <w:rPr>
                <w:rFonts w:ascii="Times New Roman" w:hAnsi="Times New Roman" w:eastAsia="Times New Roman" w:cs="Times New Roman"/>
                <w:w w:val="97"/>
                <w:sz w:val="23"/>
              </w:rPr>
            </w:pPr>
            <w:r>
              <w:rPr>
                <w:rFonts w:eastAsia="Times New Roman" w:cs="Times New Roman" w:ascii="Times New Roman" w:hAnsi="Times New Roman"/>
                <w:w w:val="97"/>
                <w:sz w:val="23"/>
              </w:rPr>
            </w:r>
          </w:p>
        </w:tc>
        <w:tc>
          <w:tcPr>
            <w:tcW w:w="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99" w:hRule="atLeast"/>
        </w:trPr>
        <w:tc>
          <w:tcPr>
            <w:tcW w:w="3720" w:type="dxa"/>
            <w:tcBorders/>
          </w:tcPr>
          <w:p>
            <w:pPr>
              <w:pStyle w:val="Normal"/>
              <w:spacing w:lineRule="atLeast" w:line="0"/>
              <w:ind w:start="220" w:end="0"/>
              <w:jc w:val="center"/>
              <w:rPr>
                <w:rFonts w:ascii="Times New Roman" w:hAnsi="Times New Roman" w:eastAsia="Times New Roman" w:cs="Times New Roman"/>
                <w:w w:val="99"/>
              </w:rPr>
            </w:pPr>
            <w:r>
              <w:rPr>
                <w:rFonts w:eastAsia="Times New Roman" w:cs="Times New Roman" w:ascii="Times New Roman" w:hAnsi="Times New Roman"/>
                <w:w w:val="99"/>
              </w:rPr>
              <w:t>7 months to 1 year</w:t>
            </w:r>
          </w:p>
        </w:tc>
        <w:tc>
          <w:tcPr>
            <w:tcW w:w="1780" w:type="dxa"/>
            <w:tcBorders/>
          </w:tcPr>
          <w:p>
            <w:pPr>
              <w:pStyle w:val="Normal"/>
              <w:spacing w:lineRule="atLeast" w:line="0"/>
              <w:ind w:start="220" w:end="0"/>
              <w:jc w:val="center"/>
              <w:rPr>
                <w:rFonts w:ascii="Times New Roman" w:hAnsi="Times New Roman" w:eastAsia="Times New Roman" w:cs="Times New Roman"/>
              </w:rPr>
            </w:pPr>
            <w:r>
              <w:rPr>
                <w:rFonts w:eastAsia="Times New Roman" w:cs="Times New Roman" w:ascii="Times New Roman" w:hAnsi="Times New Roman"/>
              </w:rPr>
              <w:t>55.42</w:t>
            </w:r>
          </w:p>
        </w:tc>
        <w:tc>
          <w:tcPr>
            <w:tcW w:w="980" w:type="dxa"/>
            <w:tcBorders/>
          </w:tcPr>
          <w:p>
            <w:pPr>
              <w:pStyle w:val="Normal"/>
              <w:spacing w:lineRule="atLeast" w:line="0"/>
              <w:ind w:end="180"/>
              <w:jc w:val="end"/>
              <w:rPr>
                <w:rFonts w:ascii="Times New Roman" w:hAnsi="Times New Roman" w:eastAsia="Times New Roman" w:cs="Times New Roman"/>
              </w:rPr>
            </w:pPr>
            <w:r>
              <w:rPr>
                <w:rFonts w:eastAsia="Times New Roman" w:cs="Times New Roman" w:ascii="Times New Roman" w:hAnsi="Times New Roman"/>
              </w:rPr>
              <w:t>7.758</w:t>
            </w:r>
          </w:p>
        </w:tc>
        <w:tc>
          <w:tcPr>
            <w:tcW w:w="940" w:type="dxa"/>
            <w:tcBorders/>
          </w:tcPr>
          <w:p>
            <w:pPr>
              <w:pStyle w:val="Normal"/>
              <w:spacing w:lineRule="atLeast" w:line="0"/>
              <w:ind w:end="120"/>
              <w:jc w:val="end"/>
              <w:rPr>
                <w:rFonts w:ascii="Times New Roman" w:hAnsi="Times New Roman" w:eastAsia="Times New Roman" w:cs="Times New Roman"/>
              </w:rPr>
            </w:pPr>
            <w:r>
              <w:rPr>
                <w:rFonts w:eastAsia="Times New Roman" w:cs="Times New Roman" w:ascii="Times New Roman" w:hAnsi="Times New Roman"/>
              </w:rPr>
              <w:t>0.051</w:t>
            </w:r>
          </w:p>
        </w:tc>
        <w:tc>
          <w:tcPr>
            <w:tcW w:w="158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Not Significant</w:t>
            </w:r>
          </w:p>
        </w:tc>
      </w:tr>
      <w:tr>
        <w:trPr>
          <w:trHeight w:val="299" w:hRule="atLeast"/>
        </w:trPr>
        <w:tc>
          <w:tcPr>
            <w:tcW w:w="3720" w:type="dxa"/>
            <w:tcBorders/>
          </w:tcPr>
          <w:p>
            <w:pPr>
              <w:pStyle w:val="Normal"/>
              <w:spacing w:lineRule="atLeast" w:line="0"/>
              <w:ind w:start="220" w:end="0"/>
              <w:jc w:val="center"/>
              <w:rPr>
                <w:rFonts w:ascii="Times New Roman" w:hAnsi="Times New Roman" w:eastAsia="Times New Roman" w:cs="Times New Roman"/>
                <w:w w:val="99"/>
              </w:rPr>
            </w:pPr>
            <w:r>
              <w:rPr>
                <w:rFonts w:eastAsia="Times New Roman" w:cs="Times New Roman" w:ascii="Times New Roman" w:hAnsi="Times New Roman"/>
                <w:w w:val="99"/>
              </w:rPr>
              <w:t>2 to 4 years</w:t>
            </w:r>
          </w:p>
        </w:tc>
        <w:tc>
          <w:tcPr>
            <w:tcW w:w="1780" w:type="dxa"/>
            <w:tcBorders/>
          </w:tcPr>
          <w:p>
            <w:pPr>
              <w:pStyle w:val="Normal"/>
              <w:spacing w:lineRule="atLeast" w:line="0"/>
              <w:ind w:start="200" w:end="0"/>
              <w:jc w:val="center"/>
              <w:rPr>
                <w:rFonts w:ascii="Times New Roman" w:hAnsi="Times New Roman" w:eastAsia="Times New Roman" w:cs="Times New Roman"/>
                <w:w w:val="99"/>
              </w:rPr>
            </w:pPr>
            <w:r>
              <w:rPr>
                <w:rFonts w:eastAsia="Times New Roman" w:cs="Times New Roman" w:ascii="Times New Roman" w:hAnsi="Times New Roman"/>
                <w:w w:val="99"/>
              </w:rPr>
              <w:t>49</w:t>
            </w:r>
          </w:p>
        </w:tc>
        <w:tc>
          <w:tcPr>
            <w:tcW w:w="9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9" w:hRule="atLeast"/>
        </w:trPr>
        <w:tc>
          <w:tcPr>
            <w:tcW w:w="3720" w:type="dxa"/>
            <w:tcBorders>
              <w:bottom w:val="single" w:sz="8" w:space="0" w:color="000000"/>
            </w:tcBorders>
          </w:tcPr>
          <w:p>
            <w:pPr>
              <w:pStyle w:val="Normal"/>
              <w:spacing w:lineRule="atLeast" w:line="0"/>
              <w:ind w:start="220" w:end="0"/>
              <w:jc w:val="center"/>
              <w:rPr>
                <w:rFonts w:ascii="Times New Roman" w:hAnsi="Times New Roman" w:eastAsia="Times New Roman" w:cs="Times New Roman"/>
              </w:rPr>
            </w:pPr>
            <w:r>
              <w:rPr>
                <w:rFonts w:eastAsia="Times New Roman" w:cs="Times New Roman" w:ascii="Times New Roman" w:hAnsi="Times New Roman"/>
              </w:rPr>
              <w:t>5 years and above</w:t>
            </w:r>
          </w:p>
        </w:tc>
        <w:tc>
          <w:tcPr>
            <w:tcW w:w="1780" w:type="dxa"/>
            <w:tcBorders>
              <w:bottom w:val="single" w:sz="8" w:space="0" w:color="000000"/>
            </w:tcBorders>
          </w:tcPr>
          <w:p>
            <w:pPr>
              <w:pStyle w:val="Normal"/>
              <w:spacing w:lineRule="atLeast" w:line="0"/>
              <w:ind w:start="220" w:end="0"/>
              <w:jc w:val="center"/>
              <w:rPr>
                <w:rFonts w:ascii="Times New Roman" w:hAnsi="Times New Roman" w:eastAsia="Times New Roman" w:cs="Times New Roman"/>
              </w:rPr>
            </w:pPr>
            <w:r>
              <w:rPr>
                <w:rFonts w:eastAsia="Times New Roman" w:cs="Times New Roman" w:ascii="Times New Roman" w:hAnsi="Times New Roman"/>
              </w:rPr>
              <w:t>70.86</w:t>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720" w:end="0"/>
        <w:jc w:val="both"/>
        <w:rPr/>
      </w:pPr>
      <w:r>
        <w:rPr>
          <w:rFonts w:eastAsia="Times New Roman" w:cs="Times New Roman" w:ascii="Times New Roman" w:hAnsi="Times New Roman"/>
          <w:sz w:val="22"/>
        </w:rPr>
        <w:t>This result is contrary to the idea of Mendoza (2012) that a language proficient call center agent has been working for a long time in a call center. Likewise, Loper (2010) mentioned that the vocabulary skills relevant to a call center position and their customer’s location is one of the important skills expected from each Filipino CCAs. This idea suggests that agents are expected to develop their vocabulary skills based on the location of their customers. Table below shows the language status in vocabulary skills in terms of length of work experience.</w:t>
      </w:r>
    </w:p>
    <w:p>
      <w:pPr>
        <w:pStyle w:val="Normal"/>
        <w:spacing w:lineRule="exact" w:line="21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2"/>
        <w:ind w:end="2840"/>
        <w:rPr>
          <w:rFonts w:ascii="Times New Roman" w:hAnsi="Times New Roman" w:eastAsia="Times New Roman" w:cs="Times New Roman"/>
          <w:b/>
          <w:sz w:val="22"/>
        </w:rPr>
      </w:pPr>
      <w:r>
        <w:rPr>
          <w:rFonts w:eastAsia="Times New Roman" w:cs="Times New Roman" w:ascii="Times New Roman" w:hAnsi="Times New Roman"/>
          <w:b/>
          <w:sz w:val="22"/>
        </w:rPr>
        <w:t>Comparison of Vocabulary and Oral Communication Skills to the Demographic Profile of the Eight Call Center Agents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59"/>
        <w:ind w:firstLine="720" w:end="0"/>
        <w:jc w:val="both"/>
        <w:rPr/>
      </w:pPr>
      <w:r>
        <w:rPr>
          <w:rFonts w:eastAsia="Times New Roman" w:cs="Times New Roman" w:ascii="Times New Roman" w:hAnsi="Times New Roman"/>
          <w:sz w:val="22"/>
        </w:rPr>
        <w:t>Table 6 shows the language status of Filipino call center agents on their vocabulary skills and oral communication skills differences. The data show consistently that the agents are proficient in their intermediate vocabulary skills and expert oral communication skills. There is no significant difference in the call center agents’ language status when their demographic data are compared.</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Table 6</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The Language Status of Call Center Agents Categorized Between</w:t>
      </w:r>
    </w:p>
    <w:p>
      <w:pPr>
        <w:pStyle w:val="Normal"/>
        <w:spacing w:lineRule="exact" w:line="11"/>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t>Vocabulary Skills and Oral Communication Skills</w:t>
      </w:r>
    </w:p>
    <w:p>
      <w:pPr>
        <w:pStyle w:val="Normal"/>
        <w:spacing w:lineRule="exact" w:line="38"/>
        <w:rPr>
          <w:rFonts w:ascii="Times New Roman" w:hAnsi="Times New Roman" w:eastAsia="Times New Roman" w:cs="Times New Roman"/>
          <w:i/>
          <w:i/>
          <w:sz w:val="22"/>
        </w:rPr>
      </w:pPr>
      <w:r>
        <w:rPr>
          <w:rFonts w:eastAsia="Times New Roman" w:cs="Times New Roman" w:ascii="Times New Roman" w:hAnsi="Times New Roman"/>
          <w:i/>
          <w:sz w:val="22"/>
        </w:rPr>
      </w:r>
    </w:p>
    <w:tbl>
      <w:tblPr>
        <w:tblW w:w="9000" w:type="dxa"/>
        <w:jc w:val="start"/>
        <w:tblInd w:w="0" w:type="dxa"/>
        <w:tblLayout w:type="fixed"/>
        <w:tblCellMar>
          <w:top w:w="0" w:type="dxa"/>
          <w:start w:w="0" w:type="dxa"/>
          <w:bottom w:w="0" w:type="dxa"/>
          <w:end w:w="0" w:type="dxa"/>
        </w:tblCellMar>
      </w:tblPr>
      <w:tblGrid>
        <w:gridCol w:w="1260"/>
        <w:gridCol w:w="800"/>
        <w:gridCol w:w="540"/>
        <w:gridCol w:w="2400"/>
        <w:gridCol w:w="1520"/>
        <w:gridCol w:w="2480"/>
      </w:tblGrid>
      <w:tr>
        <w:trPr>
          <w:trHeight w:val="293" w:hRule="atLeast"/>
        </w:trPr>
        <w:tc>
          <w:tcPr>
            <w:tcW w:w="126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Respondent</w:t>
            </w:r>
          </w:p>
        </w:tc>
        <w:tc>
          <w:tcPr>
            <w:tcW w:w="8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Gender</w:t>
            </w:r>
          </w:p>
        </w:tc>
        <w:tc>
          <w:tcPr>
            <w:tcW w:w="54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Age</w:t>
            </w:r>
          </w:p>
        </w:tc>
        <w:tc>
          <w:tcPr>
            <w:tcW w:w="240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Educational attainment</w:t>
            </w:r>
          </w:p>
        </w:tc>
        <w:tc>
          <w:tcPr>
            <w:tcW w:w="152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Vocabulary skill</w:t>
            </w:r>
          </w:p>
        </w:tc>
        <w:tc>
          <w:tcPr>
            <w:tcW w:w="2480" w:type="dxa"/>
            <w:tcBorders>
              <w:top w:val="single" w:sz="8" w:space="0" w:color="000000"/>
              <w:bottom w:val="single" w:sz="8" w:space="0" w:color="000000"/>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Oral Communication Skills</w:t>
            </w:r>
          </w:p>
        </w:tc>
      </w:tr>
      <w:tr>
        <w:trPr>
          <w:trHeight w:val="269" w:hRule="atLeast"/>
        </w:trPr>
        <w:tc>
          <w:tcPr>
            <w:tcW w:w="12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1 (seasoned)</w:t>
            </w:r>
          </w:p>
        </w:tc>
        <w:tc>
          <w:tcPr>
            <w:tcW w:w="80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39</w:t>
            </w:r>
          </w:p>
        </w:tc>
        <w:tc>
          <w:tcPr>
            <w:tcW w:w="24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Public-College in Progress</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24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Expert</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2 (seasoned)</w:t>
            </w:r>
          </w:p>
        </w:tc>
        <w:tc>
          <w:tcPr>
            <w:tcW w:w="80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25</w:t>
            </w:r>
          </w:p>
        </w:tc>
        <w:tc>
          <w:tcPr>
            <w:tcW w:w="24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Public-College Graduate</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24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Expert</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 (newbie)</w:t>
            </w:r>
          </w:p>
        </w:tc>
        <w:tc>
          <w:tcPr>
            <w:tcW w:w="80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25</w:t>
            </w:r>
          </w:p>
        </w:tc>
        <w:tc>
          <w:tcPr>
            <w:tcW w:w="24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Private-College Graduate</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2480" w:type="dxa"/>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Intermediate</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4 (seasoned)</w:t>
            </w:r>
          </w:p>
        </w:tc>
        <w:tc>
          <w:tcPr>
            <w:tcW w:w="80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30</w:t>
            </w:r>
          </w:p>
        </w:tc>
        <w:tc>
          <w:tcPr>
            <w:tcW w:w="24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Private-College in Progress</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2480" w:type="dxa"/>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Intermediate</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5 (seasoned)</w:t>
            </w:r>
          </w:p>
        </w:tc>
        <w:tc>
          <w:tcPr>
            <w:tcW w:w="8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Female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26</w:t>
            </w:r>
          </w:p>
        </w:tc>
        <w:tc>
          <w:tcPr>
            <w:tcW w:w="24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Private-College graduate</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Expert</w:t>
            </w:r>
          </w:p>
        </w:tc>
        <w:tc>
          <w:tcPr>
            <w:tcW w:w="24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Expert</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6 (seasoned)</w:t>
            </w:r>
          </w:p>
        </w:tc>
        <w:tc>
          <w:tcPr>
            <w:tcW w:w="8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Female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27</w:t>
            </w:r>
          </w:p>
        </w:tc>
        <w:tc>
          <w:tcPr>
            <w:tcW w:w="24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College Graduate</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2480" w:type="dxa"/>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Intermediate</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w w:val="98"/>
              </w:rPr>
            </w:pPr>
            <w:r>
              <w:rPr>
                <w:rFonts w:eastAsia="Times New Roman" w:cs="Times New Roman" w:ascii="Times New Roman" w:hAnsi="Times New Roman"/>
                <w:w w:val="98"/>
              </w:rPr>
              <w:t>7 ( newbie)</w:t>
            </w:r>
          </w:p>
        </w:tc>
        <w:tc>
          <w:tcPr>
            <w:tcW w:w="8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Female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21</w:t>
            </w:r>
          </w:p>
        </w:tc>
        <w:tc>
          <w:tcPr>
            <w:tcW w:w="240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Private-College in Progress</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24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Expert</w:t>
            </w:r>
          </w:p>
        </w:tc>
      </w:tr>
      <w:tr>
        <w:trPr>
          <w:trHeight w:val="299" w:hRule="atLeast"/>
        </w:trPr>
        <w:tc>
          <w:tcPr>
            <w:tcW w:w="126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8 (newbie)</w:t>
            </w:r>
          </w:p>
        </w:tc>
        <w:tc>
          <w:tcPr>
            <w:tcW w:w="8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Female</w:t>
            </w:r>
          </w:p>
        </w:tc>
        <w:tc>
          <w:tcPr>
            <w:tcW w:w="540" w:type="dxa"/>
            <w:tcBorders/>
          </w:tcPr>
          <w:p>
            <w:pPr>
              <w:pStyle w:val="Normal"/>
              <w:spacing w:lineRule="atLeast" w:line="0"/>
              <w:jc w:val="center"/>
              <w:rPr>
                <w:rFonts w:ascii="Times New Roman" w:hAnsi="Times New Roman" w:eastAsia="Times New Roman" w:cs="Times New Roman"/>
                <w:w w:val="99"/>
              </w:rPr>
            </w:pPr>
            <w:r>
              <w:rPr>
                <w:rFonts w:eastAsia="Times New Roman" w:cs="Times New Roman" w:ascii="Times New Roman" w:hAnsi="Times New Roman"/>
                <w:w w:val="99"/>
              </w:rPr>
              <w:t>23</w:t>
            </w:r>
          </w:p>
        </w:tc>
        <w:tc>
          <w:tcPr>
            <w:tcW w:w="240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Private-College Graduate</w:t>
            </w:r>
          </w:p>
        </w:tc>
        <w:tc>
          <w:tcPr>
            <w:tcW w:w="1520" w:type="dxa"/>
            <w:tcBorders/>
          </w:tcPr>
          <w:p>
            <w:pPr>
              <w:pStyle w:val="Normal"/>
              <w:spacing w:lineRule="atLeast" w:line="0"/>
              <w:jc w:val="center"/>
              <w:rPr>
                <w:rFonts w:ascii="Times New Roman" w:hAnsi="Times New Roman" w:eastAsia="Times New Roman" w:cs="Times New Roman"/>
              </w:rPr>
            </w:pPr>
            <w:r>
              <w:rPr>
                <w:rFonts w:eastAsia="Times New Roman" w:cs="Times New Roman" w:ascii="Times New Roman" w:hAnsi="Times New Roman"/>
              </w:rPr>
              <w:t>Intermediate</w:t>
            </w:r>
          </w:p>
        </w:tc>
        <w:tc>
          <w:tcPr>
            <w:tcW w:w="2480" w:type="dxa"/>
            <w:tcBorders/>
          </w:tcPr>
          <w:p>
            <w:pPr>
              <w:pStyle w:val="Normal"/>
              <w:spacing w:lineRule="atLeast" w:line="0"/>
              <w:jc w:val="center"/>
              <w:rPr>
                <w:rFonts w:ascii="Times New Roman" w:hAnsi="Times New Roman" w:eastAsia="Times New Roman" w:cs="Times New Roman"/>
                <w:w w:val="97"/>
              </w:rPr>
            </w:pPr>
            <w:r>
              <w:rPr>
                <w:rFonts w:eastAsia="Times New Roman" w:cs="Times New Roman" w:ascii="Times New Roman" w:hAnsi="Times New Roman"/>
                <w:w w:val="97"/>
              </w:rPr>
              <w:t>Expert</w:t>
            </w:r>
          </w:p>
        </w:tc>
      </w:tr>
    </w:tbl>
    <w:p>
      <w:pPr>
        <w:pStyle w:val="Normal"/>
        <w:spacing w:lineRule="exact" w:line="20"/>
        <w:rPr>
          <w:rFonts w:ascii="Times New Roman" w:hAnsi="Times New Roman" w:eastAsia="Times New Roman" w:cs="Times New Roman"/>
          <w:w w:val="97"/>
        </w:rPr>
      </w:pPr>
      <w:r>
        <w:rPr>
          <w:rFonts w:eastAsia="Times New Roman" w:cs="Times New Roman" w:ascii="Times New Roman" w:hAnsi="Times New Roman"/>
          <w:w w:val="97"/>
        </w:rPr>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12700</wp:posOffset>
                </wp:positionV>
                <wp:extent cx="5714365" cy="0"/>
                <wp:effectExtent l="0" t="6350" r="0" b="6350"/>
                <wp:wrapNone/>
                <wp:docPr id="22" name=""/>
                <a:graphic xmlns:a="http://schemas.openxmlformats.org/drawingml/2006/main">
                  <a:graphicData uri="http://schemas.microsoft.com/office/word/2010/wordprocessingShape">
                    <wps:wsp>
                      <wps:cNvSpPr/>
                      <wps:spPr>
                        <a:xfrm>
                          <a:off x="0" y="0"/>
                          <a:ext cx="57142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pt,1pt" to="449.9pt,1pt" stroked="t" o:allowincell="f" style="position:absolute">
                <v:stroke color="black" weight="12600" joinstyle="miter" endcap="flat"/>
                <v:fill o:detectmouseclick="t" on="false"/>
                <w10:wrap type="none"/>
              </v:line>
            </w:pict>
          </mc:Fallback>
        </mc:AlternateContent>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Legend: newbie: 0-6 months employment or new in the company; seasoned: at least 7 months</w:t>
      </w:r>
    </w:p>
    <w:p>
      <w:pPr>
        <w:pStyle w:val="Normal"/>
        <w:spacing w:lineRule="exact" w:line="20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66"/>
        <w:ind w:firstLine="720" w:end="0"/>
        <w:jc w:val="both"/>
        <w:rPr/>
      </w:pPr>
      <w:r>
        <w:rPr>
          <w:rFonts w:eastAsia="Times New Roman" w:cs="Times New Roman" w:ascii="Times New Roman" w:hAnsi="Times New Roman"/>
          <w:sz w:val="21"/>
        </w:rPr>
        <w:t>The results show that there is no significant difference in the agents’ vocabulary skill and oral communication skill when gender, educational attainment, and length of work experience are com-pared. However, the language status in terms of age is significant on their vocabulary skills while considered insignificant in oral communication skills. This could mean that there are many influences that can affect the language status of the call center agents; it could be their educational attainment, personal learning, immersion, and call center training. Overall, the Filipino CCAs tend to have better oral communication skills than vocabulary skills. Those who are expert in their vocabulary skills are also expert in their oral skills, while those who are intermediate in the former are either intermediate or expert in the latter. The vocabulary in the call center CCAs who were interviewed claimed that their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10795</wp:posOffset>
                </wp:positionV>
                <wp:extent cx="5715000" cy="0"/>
                <wp:effectExtent l="0" t="10160" r="0" b="9525"/>
                <wp:wrapNone/>
                <wp:docPr id="23"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0.85pt" to="449.95pt,0.85pt" stroked="t" o:allowincell="f" style="position:absolute">
                <v:stroke color="black" weight="19080" joinstyle="miter" endcap="flat"/>
                <v:fill o:detectmouseclick="t" on="false"/>
                <w10:wrap type="none"/>
              </v:line>
            </w:pict>
          </mc:Fallback>
        </mc:AlternateContent>
      </w:r>
    </w:p>
    <w:p>
      <w:pPr>
        <w:sectPr>
          <w:type w:val="continuous"/>
          <w:pgSz w:w="10800" w:h="14400"/>
          <w:pgMar w:left="360" w:right="1440" w:gutter="0" w:header="0" w:top="567" w:footer="0" w:bottom="0"/>
          <w:pgNumType w:fmt="decimal"/>
          <w:formProt w:val="false"/>
          <w:textDirection w:val="lrTb"/>
          <w:docGrid w:type="default" w:linePitch="360" w:charSpace="0"/>
        </w:sectPr>
      </w:pP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980" w:leader="none"/>
        </w:tabs>
        <w:spacing w:lineRule="atLeast" w:line="0"/>
        <w:ind w:start="40" w:end="0"/>
        <w:rPr/>
      </w:pPr>
      <w:r>
        <w:rPr>
          <w:rFonts w:eastAsia="Times New Roman" w:cs="Times New Roman" w:ascii="Times New Roman" w:hAnsi="Times New Roman"/>
          <w:sz w:val="16"/>
        </w:rPr>
        <w:t>Journal of Education, Psychology, and Humanities (JEPH)</w:t>
      </w:r>
      <w:r>
        <w:rPr>
          <w:rFonts w:eastAsia="Times New Roman" w:cs="Times New Roman" w:ascii="Times New Roman" w:hAnsi="Times New Roman"/>
        </w:rPr>
        <w:tab/>
      </w: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-93980</wp:posOffset>
                </wp:positionV>
                <wp:extent cx="5715000" cy="0"/>
                <wp:effectExtent l="0" t="3175" r="0" b="3175"/>
                <wp:wrapNone/>
                <wp:docPr id="24"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4pt" to="449.95pt,-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0</wp:posOffset>
                </wp:positionH>
                <wp:positionV relativeFrom="paragraph">
                  <wp:posOffset>8890</wp:posOffset>
                </wp:positionV>
                <wp:extent cx="5715000" cy="0"/>
                <wp:effectExtent l="0" t="3175" r="0" b="3175"/>
                <wp:wrapNone/>
                <wp:docPr id="25"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7pt" to="449.95pt,0.7pt" stroked="t" o:allowincell="f" style="position:absolute">
                <v:stroke color="black" weight="6480" joinstyle="miter" endcap="flat"/>
                <v:fill o:detectmouseclick="t" on="false"/>
                <w10:wrap type="none"/>
              </v:line>
            </w:pict>
          </mc:Fallback>
        </mc:AlternateContent>
      </w:r>
    </w:p>
    <w:p>
      <w:pPr>
        <w:sectPr>
          <w:type w:val="continuous"/>
          <w:pgSz w:w="10800" w:h="14400"/>
          <w:pgMar w:left="1440" w:right="360" w:gutter="0" w:header="0" w:top="559" w:footer="0" w:bottom="0"/>
          <w:formProt w:val="false"/>
          <w:textDirection w:val="lrTb"/>
          <w:docGrid w:type="default" w:linePitch="360" w:charSpace="0"/>
        </w:sectPr>
      </w:pPr>
    </w:p>
    <w:p>
      <w:pPr>
        <w:pStyle w:val="Normal"/>
        <w:numPr>
          <w:ilvl w:val="0"/>
          <w:numId w:val="4"/>
        </w:numPr>
        <w:tabs>
          <w:tab w:val="clear" w:pos="720"/>
          <w:tab w:val="left" w:pos="620" w:leader="none"/>
        </w:tabs>
        <w:spacing w:lineRule="atLeast" w:line="0"/>
        <w:ind w:hanging="547" w:start="620" w:end="0"/>
        <w:rPr>
          <w:rFonts w:ascii="Century Gothic" w:hAnsi="Century Gothic" w:eastAsia="Century Gothic" w:cs="Century Gothic"/>
          <w:b/>
          <w:sz w:val="19"/>
        </w:rPr>
      </w:pPr>
      <w:bookmarkStart w:id="6" w:name="page7"/>
      <w:bookmarkEnd w:id="6"/>
      <w:r>
        <w:rPr>
          <w:rFonts w:eastAsia="Times New Roman" w:cs="Times New Roman" w:ascii="Times New Roman" w:hAnsi="Times New Roman"/>
          <w:sz w:val="15"/>
        </w:rPr>
        <w:t>Journal of Education, Psychology, and Humanities (JEPH) | ISSN 2599-5294</w:t>
      </w:r>
    </w:p>
    <w:p>
      <w:pPr>
        <w:sectPr>
          <w:type w:val="nextPage"/>
          <w:pgSz w:w="10800" w:h="14400"/>
          <w:pgMar w:left="360" w:right="1440" w:gutter="0" w:header="0" w:top="579" w:footer="0" w:bottom="0"/>
          <w:pgNumType w:fmt="decimal"/>
          <w:formProt w:val="false"/>
          <w:textDirection w:val="lrTb"/>
          <w:docGrid w:type="default" w:linePitch="360" w:charSpace="0"/>
        </w:sectPr>
      </w:pPr>
    </w:p>
    <w:p>
      <w:pPr>
        <w:pStyle w:val="Normal"/>
        <w:spacing w:lineRule="exact" w:line="19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4"/>
        <w:jc w:val="both"/>
        <w:rPr/>
      </w:pPr>
      <w:r>
        <w:rPr>
          <w:rFonts w:eastAsia="Times New Roman" w:cs="Times New Roman" w:ascii="Times New Roman" w:hAnsi="Times New Roman"/>
          <w:strike/>
          <w:sz w:val="21"/>
        </w:rPr>
        <w:t xml:space="preserve">learning in English language and communication </w:t>
      </w:r>
      <w:r>
        <w:rPr>
          <w:rFonts w:eastAsia="Times New Roman" w:cs="Times New Roman" w:ascii="Times New Roman" w:hAnsi="Times New Roman"/>
          <w:sz w:val="21"/>
        </w:rPr>
        <w:t>development was strongly influenced socially by their interactions or practice particularly in the workplace. It could be due to the fact that there is a mismatch in the vocabulary taught in school and the vocabulary used in call centers in that, schools use book or formal English while call centers use informal or conversational English with many id-iomatic expressions used. As Del Rosario (2004) mentioned, Filipino call center agent should be good at outsourcing and have English adeptness. This result is similar to Castillo, De Guzman, and Tahimic’s (2010) result that oral communication skills affect students in numerous ways, not only inside the classroom but even after the students graduate and when they go to look for jobs.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-2693670</wp:posOffset>
                </wp:positionV>
                <wp:extent cx="5715000" cy="0"/>
                <wp:effectExtent l="0" t="9525" r="0" b="9525"/>
                <wp:wrapNone/>
                <wp:docPr id="26"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212.1pt" to="449.95pt,-212.1pt" stroked="t" o:allowincell="f" style="position:absolute">
                <v:stroke color="black" weight="19080" joinstyle="miter" endcap="flat"/>
                <v:fill o:detectmouseclick="t" on="false"/>
                <w10:wrap type="none"/>
              </v:line>
            </w:pict>
          </mc:Fallback>
        </mc:AlternateConten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jc w:val="both"/>
        <w:rPr>
          <w:rFonts w:ascii="Times New Roman" w:hAnsi="Times New Roman" w:eastAsia="Times New Roman" w:cs="Times New Roman"/>
          <w:b/>
          <w:sz w:val="22"/>
        </w:rPr>
      </w:pPr>
      <w:r>
        <w:rPr>
          <w:rFonts w:eastAsia="Times New Roman" w:cs="Times New Roman" w:ascii="Times New Roman" w:hAnsi="Times New Roman"/>
          <w:b/>
          <w:sz w:val="22"/>
        </w:rPr>
        <w:t>How the Participants Developed Their Vocabu-lary and Oral Communication Skills</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4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The participants of the study presented various ways of developing their vocabulary and oral skills. Five major themes emerged from the interview data of eight participants. They are ac-tual language use; reading and practicing newly acquired vocabulary; immersion, audiovisuals, and media for imitation and comprehension; call center trainings; and consulting the dictionary.</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firstLine="720" w:end="0"/>
        <w:jc w:val="both"/>
        <w:rPr/>
      </w:pPr>
      <w:r>
        <w:rPr>
          <w:rFonts w:eastAsia="Times New Roman" w:cs="Times New Roman" w:ascii="Times New Roman" w:hAnsi="Times New Roman"/>
          <w:b/>
          <w:sz w:val="22"/>
        </w:rPr>
        <w:t>Actual language use.</w:t>
      </w:r>
      <w:r>
        <w:rPr>
          <w:rFonts w:eastAsia="Times New Roman" w:cs="Times New Roman" w:ascii="Times New Roman" w:hAnsi="Times New Roman"/>
          <w:sz w:val="22"/>
        </w:rPr>
        <w:t xml:space="preserve"> In the recorded interview, CCAs were asked about their English language learning experiences on how they de-veloped their vocabulary and oral communication skills. The participants believe that they learned English and developed their communication skills by actual use of English at an early age. For ex-ample, P1 was certain that his exposure at the call center helped improve English communication skills:</w:t>
      </w:r>
    </w:p>
    <w:p>
      <w:pPr>
        <w:pStyle w:val="Normal"/>
        <w:spacing w:lineRule="exact" w:line="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start="360" w:end="0"/>
        <w:jc w:val="both"/>
        <w:rPr>
          <w:rFonts w:ascii="Times New Roman" w:hAnsi="Times New Roman" w:eastAsia="Times New Roman" w:cs="Times New Roman"/>
          <w:i/>
          <w:i/>
          <w:sz w:val="22"/>
        </w:rPr>
      </w:pPr>
      <w:r>
        <w:rPr>
          <w:rFonts w:eastAsia="Times New Roman" w:cs="Times New Roman" w:ascii="Times New Roman" w:hAnsi="Times New Roman"/>
          <w:i/>
          <w:sz w:val="22"/>
        </w:rPr>
        <w:t>For me, it is more on social learning. Being exposed in the call center industry and talking to your fellow agents or your colleagues in the industry develops your communication skills a lot.</w:t>
      </w:r>
    </w:p>
    <w:p>
      <w:pPr>
        <w:pStyle w:val="Normal"/>
        <w:spacing w:lineRule="exact" w:line="222"/>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66"/>
        <w:ind w:firstLine="720" w:end="0"/>
        <w:jc w:val="both"/>
        <w:rPr/>
      </w:pPr>
      <w:r>
        <w:rPr>
          <w:rFonts w:eastAsia="Times New Roman" w:cs="Times New Roman" w:ascii="Times New Roman" w:hAnsi="Times New Roman"/>
          <w:sz w:val="21"/>
        </w:rPr>
        <w:t xml:space="preserve">P2 shared that his English language learn-ing experience at school was not of help. He stat-ed: </w:t>
      </w:r>
      <w:r>
        <w:rPr>
          <w:rFonts w:eastAsia="Times New Roman" w:cs="Times New Roman" w:ascii="Times New Roman" w:hAnsi="Times New Roman"/>
          <w:i/>
          <w:sz w:val="21"/>
        </w:rPr>
        <w:t>“You’re not interacting in school, right?”</w:t>
      </w:r>
      <w:r>
        <w:rPr>
          <w:rFonts w:eastAsia="Times New Roman" w:cs="Times New Roman" w:ascii="Times New Roman" w:hAnsi="Times New Roman"/>
          <w:sz w:val="21"/>
        </w:rPr>
        <w:t xml:space="preserve"> P2 indicated that there was a lack of interaction in English between teacher and student and among</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-6985</wp:posOffset>
                </wp:positionV>
                <wp:extent cx="5715000" cy="0"/>
                <wp:effectExtent l="0" t="9525" r="0" b="10160"/>
                <wp:wrapNone/>
                <wp:docPr id="27"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0.55pt" to="449.95pt,-0.55pt" stroked="t" o:allowincell="f" style="position:absolute">
                <v:stroke color="black" weight="19080" joinstyle="miter" endcap="flat"/>
                <v:fill o:detectmouseclick="t" on="false"/>
                <w10:wrap type="none"/>
              </v:line>
            </w:pict>
          </mc:Fallback>
        </mc:AlternateContent>
      </w:r>
    </w:p>
    <w:p>
      <w:pPr>
        <w:pStyle w:val="Normal"/>
        <w:spacing w:lineRule="exact" w:line="19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9"/>
        <w:jc w:val="both"/>
        <w:rPr/>
      </w:pPr>
      <w:r>
        <w:rPr>
          <w:rFonts w:eastAsia="Times New Roman" w:cs="Times New Roman" w:ascii="Times New Roman" w:hAnsi="Times New Roman"/>
          <w:strike/>
          <w:sz w:val="22"/>
        </w:rPr>
        <w:t xml:space="preserve">students when he was a student. He believed that </w:t>
      </w:r>
      <w:r>
        <w:rPr>
          <w:rFonts w:eastAsia="Times New Roman" w:cs="Times New Roman" w:ascii="Times New Roman" w:hAnsi="Times New Roman"/>
          <w:sz w:val="22"/>
        </w:rPr>
        <w:t>actual use of the language with others in a form of social learning was a big factor in developing his English communication skills particularly the practice he got at the call center industry.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firstLine="720" w:end="0"/>
        <w:jc w:val="both"/>
        <w:rPr/>
      </w:pPr>
      <w:r>
        <w:rPr>
          <w:rFonts w:eastAsia="Times New Roman" w:cs="Times New Roman" w:ascii="Times New Roman" w:hAnsi="Times New Roman"/>
          <w:sz w:val="22"/>
        </w:rPr>
        <w:t xml:space="preserve">Reading and practicing newly acquired vocabulary. In acquiring vocabulary, majority of the eight respondents acknowledged that reading was essential in their English language learning and communication development. When asked how they acquired their vocabulary, the CCAs revealed that they are active readers and practice their newly learned vocabulary in English speak-ing dialogues. P1 said, </w:t>
      </w:r>
      <w:r>
        <w:rPr>
          <w:rFonts w:eastAsia="Times New Roman" w:cs="Times New Roman" w:ascii="Times New Roman" w:hAnsi="Times New Roman"/>
          <w:i/>
          <w:sz w:val="22"/>
        </w:rPr>
        <w:t>“For vocabulary, it’s be-cause of my reading. I’m fond of reading.”</w:t>
      </w:r>
      <w:r>
        <w:rPr>
          <w:rFonts w:eastAsia="Times New Roman" w:cs="Times New Roman" w:ascii="Times New Roman" w:hAnsi="Times New Roman"/>
          <w:sz w:val="22"/>
        </w:rPr>
        <w:t xml:space="preserve"> P4 also</w:t>
      </w:r>
      <w:r>
        <w:rPr>
          <w:rFonts w:eastAsia="Times New Roman" w:cs="Times New Roman" w:ascii="Times New Roman" w:hAnsi="Times New Roman"/>
          <w:i/>
          <w:sz w:val="22"/>
        </w:rPr>
        <w:t xml:space="preserve"> </w:t>
      </w:r>
      <w:r>
        <w:rPr>
          <w:rFonts w:eastAsia="Times New Roman" w:cs="Times New Roman" w:ascii="Times New Roman" w:hAnsi="Times New Roman"/>
          <w:sz w:val="22"/>
        </w:rPr>
        <w:t xml:space="preserve">supports this by saying, </w:t>
      </w:r>
      <w:r>
        <w:rPr>
          <w:rFonts w:eastAsia="Times New Roman" w:cs="Times New Roman" w:ascii="Times New Roman" w:hAnsi="Times New Roman"/>
          <w:i/>
          <w:sz w:val="22"/>
        </w:rPr>
        <w:t>“For vocabulary, one of my hobbies is reading novels. If there are words that sound so strange for me, then, I have to copy that word. Then, after reading, I have to check.”</w:t>
      </w:r>
      <w:r>
        <w:rPr>
          <w:rFonts w:eastAsia="Times New Roman" w:cs="Times New Roman" w:ascii="Times New Roman" w:hAnsi="Times New Roman"/>
          <w:sz w:val="22"/>
        </w:rPr>
        <w:t xml:space="preserve"> Like P1 and P4, P7 also pointed out that she reads a lot of books. Chang (2011) believed that the learners will improve their vocabulary skills when they engage in reading. Similarly, Sternberg (1987) posits that people learn most of their vo-cabulary by reading.</w:t>
      </w:r>
    </w:p>
    <w:p>
      <w:pPr>
        <w:pStyle w:val="Normal"/>
        <w:spacing w:lineRule="exact" w:line="1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P6 also suggested that through reading books, magazines, and pocketbooks, and practic-ing the new words she gleaned from the reading materials improved her vocabulary knowledge. Reading and practicing the lessons learned by so-cializing have positive effects on vocabulary skills development as mentioned by Chang (2011) and Ong (2009). These results are related to the study by Castillo, De Guzman, and Tahimic (2010) that practice and frequent use of the English language from reading is the best way for one to be an ef-fective English speaker. One must always take into consideration participating in English-relat-ed activities to maximize practice and command of the English language. Aclan and Abdul Aziz (2015) also found that students of English as a foreign language preparing for debates read a lot and acquire new words by reading then they use the new words they have learned during the actual debates. The authors explained that by practicing their newly learned words, the new words become a part of their interlanguage system and registered in their long-term memory.</w:t>
      </w:r>
    </w:p>
    <w:p>
      <w:pPr>
        <w:sectPr>
          <w:type w:val="continuous"/>
          <w:pgSz w:w="10800" w:h="14400"/>
          <w:pgMar w:left="360" w:right="1440" w:gutter="0" w:header="0" w:top="579" w:footer="0" w:bottom="0"/>
          <w:cols w:num="2" w:space="240" w:equalWidth="true" w:sep="false"/>
          <w:formProt w:val="false"/>
          <w:textDirection w:val="lrTb"/>
          <w:docGrid w:type="default" w:linePitch="360" w:charSpace="0"/>
        </w:sectPr>
      </w:pP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-99695</wp:posOffset>
                </wp:positionV>
                <wp:extent cx="5715000" cy="0"/>
                <wp:effectExtent l="0" t="3175" r="0" b="3175"/>
                <wp:wrapNone/>
                <wp:docPr id="28"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85pt" to="449.95pt,-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0</wp:posOffset>
                </wp:positionH>
                <wp:positionV relativeFrom="paragraph">
                  <wp:posOffset>3175</wp:posOffset>
                </wp:positionV>
                <wp:extent cx="5715000" cy="0"/>
                <wp:effectExtent l="0" t="3175" r="0" b="3175"/>
                <wp:wrapNone/>
                <wp:docPr id="29"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25pt" to="449.95pt,0.25pt" stroked="t" o:allowincell="f" style="position:absolute">
                <v:stroke color="black" weight="6480" joinstyle="miter" endcap="flat"/>
                <v:fill o:detectmouseclick="t" on="false"/>
                <w10:wrap type="none"/>
              </v:line>
            </w:pict>
          </mc:Fallback>
        </mc:AlternateContent>
      </w:r>
    </w:p>
    <w:p>
      <w:pPr>
        <w:sectPr>
          <w:type w:val="continuous"/>
          <w:pgSz w:w="10800" w:h="14400"/>
          <w:pgMar w:left="360" w:right="1440" w:gutter="0" w:header="0" w:top="579" w:footer="0" w:bottom="0"/>
          <w:formProt w:val="false"/>
          <w:textDirection w:val="lrTb"/>
          <w:docGrid w:type="default" w:linePitch="360" w:charSpace="0"/>
        </w:sectPr>
      </w:pPr>
    </w:p>
    <w:tbl>
      <w:tblPr>
        <w:tblW w:w="6680" w:type="dxa"/>
        <w:jc w:val="start"/>
        <w:tblInd w:w="2240" w:type="dxa"/>
        <w:tblLayout w:type="fixed"/>
        <w:tblCellMar>
          <w:top w:w="0" w:type="dxa"/>
          <w:start w:w="0" w:type="dxa"/>
          <w:bottom w:w="0" w:type="dxa"/>
          <w:end w:w="0" w:type="dxa"/>
        </w:tblCellMar>
      </w:tblPr>
      <w:tblGrid>
        <w:gridCol w:w="6260"/>
        <w:gridCol w:w="420"/>
      </w:tblGrid>
      <w:tr>
        <w:trPr>
          <w:trHeight w:val="284" w:hRule="atLeast"/>
        </w:trPr>
        <w:tc>
          <w:tcPr>
            <w:tcW w:w="6260" w:type="dxa"/>
            <w:tcBorders/>
          </w:tcPr>
          <w:p>
            <w:pPr>
              <w:pStyle w:val="Normal"/>
              <w:spacing w:lineRule="atLeast" w:line="0"/>
              <w:rPr/>
            </w:pPr>
            <w:bookmarkStart w:id="7" w:name="page8"/>
            <w:bookmarkEnd w:id="7"/>
            <w:r>
              <w:rPr>
                <w:rFonts w:eastAsia="Times New Roman" w:cs="Times New Roman" w:ascii="Times New Roman" w:hAnsi="Times New Roman"/>
                <w:sz w:val="16"/>
              </w:rPr>
              <w:t>Filipino Call Center Agents’ English Communication Proficiency and How They Developed It</w:t>
            </w:r>
          </w:p>
        </w:tc>
        <w:tc>
          <w:tcPr>
            <w:tcW w:w="420" w:type="dxa"/>
            <w:tcBorders/>
          </w:tcPr>
          <w:p>
            <w:pPr>
              <w:pStyle w:val="Normal"/>
              <w:spacing w:lineRule="atLeast" w:line="0"/>
              <w:jc w:val="end"/>
              <w:rPr>
                <w:rFonts w:ascii="Century Gothic" w:hAnsi="Century Gothic" w:eastAsia="Century Gothic" w:cs="Century Gothic"/>
                <w:b/>
              </w:rPr>
            </w:pPr>
            <w:r>
              <w:rPr>
                <w:rFonts w:eastAsia="Century Gothic" w:cs="Century Gothic" w:ascii="Century Gothic" w:hAnsi="Century Gothic"/>
                <w:b/>
              </w:rPr>
              <w:t>27</w:t>
            </w:r>
          </w:p>
        </w:tc>
      </w:tr>
    </w:tbl>
    <w:p>
      <w:pPr>
        <w:sectPr>
          <w:type w:val="continuous"/>
          <w:pgSz w:w="10800" w:h="14400"/>
          <w:pgMar w:left="360" w:right="1440" w:gutter="0" w:header="0" w:top="579" w:footer="0" w:bottom="0"/>
          <w:pgNumType w:fmt="decimal"/>
          <w:formProt w:val="false"/>
          <w:textDirection w:val="lrTb"/>
          <w:docGrid w:type="default" w:linePitch="360" w:charSpace="0"/>
        </w:sectPr>
      </w:pPr>
    </w:p>
    <w:p>
      <w:pPr>
        <w:pStyle w:val="Normal"/>
        <w:spacing w:lineRule="exact" w:line="16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61"/>
        <w:ind w:firstLine="720" w:end="0"/>
        <w:jc w:val="both"/>
        <w:rPr/>
      </w:pPr>
      <w:r>
        <w:rPr>
          <w:rFonts w:eastAsia="Times New Roman" w:cs="Times New Roman" w:ascii="Times New Roman" w:hAnsi="Times New Roman"/>
          <w:sz w:val="21"/>
        </w:rPr>
        <w:t xml:space="preserve">Immersion, audiovisuals, and media for imitation and comprehension. CCAs’ immersion at the workplace helped improve their oral com-munication skills. P1, 3, 5, 6, and 8 indicated in their responses that they were immersed with the English language conversation in the workplace. They work with native English speaker clients and they accommodated the way they speak. The agents also claimed that the language spoken from the audio-visual films made them imitate how to communicate in English. The ideas suggested that constant and abundant exposures in English language communication made the CCAs imitate the English language pronunciation and accent. For example, P8 said, </w:t>
      </w:r>
      <w:r>
        <w:rPr>
          <w:rFonts w:eastAsia="Times New Roman" w:cs="Times New Roman" w:ascii="Times New Roman" w:hAnsi="Times New Roman"/>
          <w:i/>
          <w:sz w:val="21"/>
        </w:rPr>
        <w:t>“Every day, just talking to Americans, I was able to adopt their accent. So that’s how I was able to improve my English com-munication skills”.</w:t>
      </w:r>
      <w:r>
        <w:rPr>
          <w:rFonts w:eastAsia="Times New Roman" w:cs="Times New Roman" w:ascii="Times New Roman" w:hAnsi="Times New Roman"/>
          <w:sz w:val="21"/>
        </w:rPr>
        <w:t xml:space="preserve"> On the other hand, P6 learned</w:t>
      </w:r>
      <w:r>
        <w:rPr>
          <w:rFonts w:eastAsia="Times New Roman" w:cs="Times New Roman" w:ascii="Times New Roman" w:hAnsi="Times New Roman"/>
          <w:i/>
          <w:sz w:val="21"/>
        </w:rPr>
        <w:t xml:space="preserve"> </w:t>
      </w:r>
      <w:r>
        <w:rPr>
          <w:rFonts w:eastAsia="Times New Roman" w:cs="Times New Roman" w:ascii="Times New Roman" w:hAnsi="Times New Roman"/>
          <w:sz w:val="21"/>
        </w:rPr>
        <w:t xml:space="preserve">oral communication by watching movies. She stat-ed, </w:t>
      </w:r>
      <w:r>
        <w:rPr>
          <w:rFonts w:eastAsia="Times New Roman" w:cs="Times New Roman" w:ascii="Times New Roman" w:hAnsi="Times New Roman"/>
          <w:b/>
          <w:sz w:val="21"/>
        </w:rPr>
        <w:t>“</w:t>
      </w:r>
      <w:r>
        <w:rPr>
          <w:rFonts w:eastAsia="Times New Roman" w:cs="Times New Roman" w:ascii="Times New Roman" w:hAnsi="Times New Roman"/>
          <w:i/>
          <w:sz w:val="21"/>
        </w:rPr>
        <w:t>I watch foreign movies. And then, I practice so that I’ll be able to pronounce or imitate the ac-cent.</w:t>
      </w:r>
      <w:r>
        <w:rPr>
          <w:rFonts w:eastAsia="Times New Roman" w:cs="Times New Roman" w:ascii="Times New Roman" w:hAnsi="Times New Roman"/>
          <w:b/>
          <w:sz w:val="21"/>
        </w:rPr>
        <w:t>”</w:t>
      </w:r>
      <w:r>
        <w:rPr>
          <w:rFonts w:eastAsia="Times New Roman" w:cs="Times New Roman" w:ascii="Times New Roman" w:hAnsi="Times New Roman"/>
          <w:sz w:val="21"/>
        </w:rPr>
        <w:t xml:space="preserve"> Similarly, P1 adopted the way she speaks by</w:t>
      </w:r>
      <w:r>
        <w:rPr>
          <w:rFonts w:eastAsia="Times New Roman" w:cs="Times New Roman" w:ascii="Times New Roman" w:hAnsi="Times New Roman"/>
          <w:i/>
          <w:sz w:val="21"/>
        </w:rPr>
        <w:t xml:space="preserve"> </w:t>
      </w:r>
      <w:r>
        <w:rPr>
          <w:rFonts w:eastAsia="Times New Roman" w:cs="Times New Roman" w:ascii="Times New Roman" w:hAnsi="Times New Roman"/>
          <w:sz w:val="21"/>
        </w:rPr>
        <w:t>imitation of native English speakers.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-3809365</wp:posOffset>
                </wp:positionV>
                <wp:extent cx="5715000" cy="0"/>
                <wp:effectExtent l="0" t="3175" r="0" b="3175"/>
                <wp:wrapNone/>
                <wp:docPr id="30"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99.95pt" to="449.95pt,-299.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0</wp:posOffset>
                </wp:positionH>
                <wp:positionV relativeFrom="paragraph">
                  <wp:posOffset>-3834765</wp:posOffset>
                </wp:positionV>
                <wp:extent cx="5715000" cy="0"/>
                <wp:effectExtent l="0" t="9525" r="0" b="9525"/>
                <wp:wrapNone/>
                <wp:docPr id="31"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301.95pt" to="449.95pt,-301.95pt" stroked="t" o:allowincell="f" style="position:absolute">
                <v:stroke color="black" weight="19080" joinstyle="miter" endcap="flat"/>
                <v:fill o:detectmouseclick="t" on="false"/>
                <w10:wrap type="none"/>
              </v:line>
            </w:pict>
          </mc:Fallback>
        </mc:AlternateContent>
      </w:r>
    </w:p>
    <w:p>
      <w:pPr>
        <w:pStyle w:val="Normal"/>
        <w:spacing w:lineRule="auto" w:line="266"/>
        <w:ind w:start="360" w:end="0"/>
        <w:jc w:val="both"/>
        <w:rPr/>
      </w:pPr>
      <w:r>
        <w:rPr>
          <w:rFonts w:eastAsia="Times New Roman" w:cs="Times New Roman" w:ascii="Times New Roman" w:hAnsi="Times New Roman"/>
          <w:i/>
          <w:sz w:val="21"/>
        </w:rPr>
        <w:t>It’s more on my will to develop it so that I will be sounding more American compared to the Filipino accent and so I watch American mov-ies. I also watch news, like for example the BBC news with Cathy Court…So, I tried to imitate her as well as when you are already on the phone, actually. It will also lead you to develop the accent because you’re just going to imitate the accent of your customer.</w:t>
      </w:r>
    </w:p>
    <w:p>
      <w:pPr>
        <w:pStyle w:val="Normal"/>
        <w:spacing w:lineRule="exact" w:line="21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61"/>
        <w:ind w:firstLine="720" w:end="0"/>
        <w:jc w:val="both"/>
        <w:rPr/>
      </w:pPr>
      <w:r>
        <w:rPr>
          <w:rFonts w:eastAsia="Times New Roman" w:cs="Times New Roman" w:ascii="Times New Roman" w:hAnsi="Times New Roman"/>
          <w:sz w:val="21"/>
        </w:rPr>
        <w:t xml:space="preserve">In imitating the native speakers, learners can improve their pronunciation and their use of structures, vocabulary, idioms, and intonation, gesture and style (Oxford, 1990). In this study the call center agents prefer to imitate the accent and pronunciation of the native speakers in order to develop their English pronunciation skills similar to their clients. In a study by Mcgeown (2016) conducted in the Philippines, many speak with clear American accent and the call centers in the Philippines train their staff to sound indistinguish-able from Americans. The expert concluded that the callers never realize that the person they are calling is on the other side of the world. In India, </w:t>
      </w:r>
      <w:r>
        <w:rPr>
          <w:rFonts w:eastAsia="Times New Roman" w:cs="Times New Roman" w:ascii="Times New Roman" w:hAnsi="Times New Roman"/>
          <w:sz w:val="21"/>
          <w:u w:val="single"/>
        </w:rPr>
        <w:t>an article inferred that imitation of American ac-</w:t>
      </w:r>
    </w:p>
    <w:p>
      <w:pPr>
        <w:pStyle w:val="Normal"/>
        <w:spacing w:lineRule="exact" w:line="167"/>
        <w:rPr>
          <w:rFonts w:ascii="Times New Roman" w:hAnsi="Times New Roman" w:eastAsia="Times New Roman" w:cs="Times New Roman"/>
          <w:sz w:val="21"/>
          <w:u w:val="single"/>
        </w:rPr>
      </w:pPr>
      <w:r>
        <w:br w:type="column"/>
      </w:r>
      <w:r>
        <w:rPr>
          <w:rFonts w:eastAsia="Times New Roman" w:cs="Times New Roman" w:ascii="Times New Roman" w:hAnsi="Times New Roman"/>
          <w:sz w:val="21"/>
          <w:u w:val="single"/>
        </w:rPr>
      </w:r>
    </w:p>
    <w:p>
      <w:pPr>
        <w:pStyle w:val="Normal"/>
        <w:spacing w:lineRule="auto" w:line="249"/>
        <w:jc w:val="both"/>
        <w:rPr>
          <w:rFonts w:ascii="Times New Roman" w:hAnsi="Times New Roman" w:eastAsia="Times New Roman" w:cs="Times New Roman"/>
          <w:sz w:val="22"/>
        </w:rPr>
      </w:pPr>
      <w:r>
        <w:rPr>
          <w:rFonts w:eastAsia="Times New Roman" w:cs="Times New Roman" w:ascii="Times New Roman" w:hAnsi="Times New Roman"/>
          <w:sz w:val="22"/>
        </w:rPr>
        <w:t>cent for a call transaction is significant (Arora &amp; Kaul, 2005).</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firstLine="720" w:end="0"/>
        <w:jc w:val="both"/>
        <w:rPr/>
      </w:pPr>
      <w:r>
        <w:rPr>
          <w:rFonts w:eastAsia="Times New Roman" w:cs="Times New Roman" w:ascii="Times New Roman" w:hAnsi="Times New Roman"/>
          <w:sz w:val="21"/>
        </w:rPr>
        <w:t xml:space="preserve">Exposure to native English speakers even just on the Internet via Youtube, movies, TV shows and programs help CCAs not only to imitate speak-ing but also to improve listening comprehension. This was expressed by P8, a newbie agent who said that TV shows has helped him develop lan-guage comprehension by saying, </w:t>
      </w:r>
      <w:r>
        <w:rPr>
          <w:rFonts w:eastAsia="Times New Roman" w:cs="Times New Roman" w:ascii="Times New Roman" w:hAnsi="Times New Roman"/>
          <w:i/>
          <w:sz w:val="21"/>
        </w:rPr>
        <w:t>“I think it’s also with American TV shows. Not only American TV shows but also different foreign programs improve language comprehension”.</w:t>
      </w:r>
      <w:r>
        <w:rPr>
          <w:rFonts w:eastAsia="Times New Roman" w:cs="Times New Roman" w:ascii="Times New Roman" w:hAnsi="Times New Roman"/>
          <w:sz w:val="21"/>
        </w:rPr>
        <w:t xml:space="preserve"> Television and radio programs should be used with appropriate spoken language skills in English to enhance appropriate language skill acquisition (Gowon, 2009). The use of audiovisuals such as for listening English dialogues improved the CCAs language learning experience particularly in developing their oral language skills and listening comprehension. In fact, the call centers where the data were gathered have several flat screens showing on purpose au-diovisuals such as Anglophone-related films to influence the English communication skills of the Filipino CCAs in their workplace.</w:t>
      </w:r>
    </w:p>
    <w:p>
      <w:pPr>
        <w:pStyle w:val="Normal"/>
        <w:spacing w:lineRule="exact" w:line="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firstLine="720" w:end="0"/>
        <w:jc w:val="both"/>
        <w:rPr/>
      </w:pPr>
      <w:r>
        <w:rPr>
          <w:rFonts w:eastAsia="Times New Roman" w:cs="Times New Roman" w:ascii="Times New Roman" w:hAnsi="Times New Roman"/>
          <w:sz w:val="21"/>
        </w:rPr>
        <w:t xml:space="preserve">Call center trainings. When the partici-pants were asked about their language oral com-munication development, P2, a CCA for more than two years, admitted that the call center train-ing helped him develop his communication skills by saying, </w:t>
      </w:r>
      <w:r>
        <w:rPr>
          <w:rFonts w:eastAsia="Times New Roman" w:cs="Times New Roman" w:ascii="Times New Roman" w:hAnsi="Times New Roman"/>
          <w:i/>
          <w:sz w:val="21"/>
        </w:rPr>
        <w:t>“We have this training in this call cen-ter to develop our vocabulary, accent, and pro-nunciation.”</w:t>
      </w:r>
      <w:r>
        <w:rPr>
          <w:rFonts w:eastAsia="Times New Roman" w:cs="Times New Roman" w:ascii="Times New Roman" w:hAnsi="Times New Roman"/>
          <w:sz w:val="21"/>
        </w:rPr>
        <w:t xml:space="preserve"> The impetus of call center trainings show that hired agents should be linguistically proficient particularly in vocabulary, accent, and pronunciation so that they will be received well as they communicate with their native English speaker clients. Blake (2016) mentioned that call center agents with poor limited skills in areas such as active listening, pronunciation or business vocabulary can make mistakes that result in lost customers, billing errors, or financial losses. Thus, proper training of CCAs is imperative.</w:t>
      </w:r>
    </w:p>
    <w:p>
      <w:pPr>
        <w:pStyle w:val="Normal"/>
        <w:spacing w:lineRule="exact" w:line="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firstLine="720" w:end="0"/>
        <w:jc w:val="both"/>
        <w:rPr/>
      </w:pPr>
      <w:r>
        <w:rPr>
          <w:rFonts w:eastAsia="Times New Roman" w:cs="Times New Roman" w:ascii="Times New Roman" w:hAnsi="Times New Roman"/>
          <w:b/>
          <w:sz w:val="21"/>
        </w:rPr>
        <w:t>Consulting the dictionary.</w:t>
      </w:r>
      <w:r>
        <w:rPr>
          <w:rFonts w:eastAsia="Times New Roman" w:cs="Times New Roman" w:ascii="Times New Roman" w:hAnsi="Times New Roman"/>
          <w:sz w:val="21"/>
        </w:rPr>
        <w:t xml:space="preserve"> Other partic-ipants mentioned that consulting the dictionary how to pronounce words correctly improved their pronunciation. P7, a newbie call center agent, stat-ed that using a dictionary aids her pronunciation</w:t>
      </w:r>
      <w:r>
        <w:rPr>
          <w:rFonts w:eastAsia="Times New Roman" w:cs="Times New Roman" w:ascii="Times New Roman" w:hAnsi="Times New Roman"/>
          <w:sz w:val="21"/>
          <w:u w:val="single"/>
        </w:rPr>
        <w:t xml:space="preserve"> skill development. She stated, </w:t>
      </w:r>
      <w:r>
        <w:rPr>
          <w:rFonts w:eastAsia="Times New Roman" w:cs="Times New Roman" w:ascii="Times New Roman" w:hAnsi="Times New Roman"/>
          <w:i/>
          <w:sz w:val="21"/>
          <w:u w:val="single"/>
        </w:rPr>
        <w:t>“If I’m not sure of</w:t>
      </w:r>
    </w:p>
    <w:p>
      <w:pPr>
        <w:sectPr>
          <w:type w:val="continuous"/>
          <w:pgSz w:w="10800" w:h="14400"/>
          <w:pgMar w:left="1440" w:right="360" w:gutter="0" w:header="0" w:top="559" w:footer="0" w:bottom="0"/>
          <w:cols w:num="2" w:space="240" w:equalWidth="true" w:sep="false"/>
          <w:formProt w:val="false"/>
          <w:textDirection w:val="lrTb"/>
          <w:docGrid w:type="default" w:linePitch="360" w:charSpace="0"/>
        </w:sectPr>
      </w:pPr>
    </w:p>
    <w:p>
      <w:pPr>
        <w:pStyle w:val="Normal"/>
        <w:spacing w:lineRule="exact" w:line="5"/>
        <w:rPr>
          <w:rFonts w:ascii="Times New Roman" w:hAnsi="Times New Roman" w:eastAsia="Times New Roman" w:cs="Times New Roman"/>
          <w:i/>
          <w:i/>
          <w:sz w:val="21"/>
          <w:u w:val="single"/>
        </w:rPr>
      </w:pPr>
      <w:r>
        <w:rPr>
          <w:rFonts w:eastAsia="Times New Roman" w:cs="Times New Roman" w:ascii="Times New Roman" w:hAnsi="Times New Roman"/>
          <w:i/>
          <w:sz w:val="21"/>
          <w:u w:val="single"/>
        </w:rPr>
      </w:r>
    </w:p>
    <w:p>
      <w:pPr>
        <w:pStyle w:val="Normal"/>
        <w:tabs>
          <w:tab w:val="clear" w:pos="720"/>
          <w:tab w:val="left" w:pos="6980" w:leader="none"/>
        </w:tabs>
        <w:spacing w:lineRule="atLeast" w:line="0"/>
        <w:ind w:start="40" w:end="0"/>
        <w:rPr/>
      </w:pPr>
      <w:r>
        <w:rPr>
          <w:rFonts w:eastAsia="Times New Roman" w:cs="Times New Roman" w:ascii="Times New Roman" w:hAnsi="Times New Roman"/>
          <w:sz w:val="16"/>
        </w:rPr>
        <w:t>Journal of Education, Psychology, and Humanities (JEPH)</w:t>
      </w:r>
      <w:r>
        <w:rPr>
          <w:rFonts w:eastAsia="Times New Roman" w:cs="Times New Roman" w:ascii="Times New Roman" w:hAnsi="Times New Roman"/>
        </w:rPr>
        <w:tab/>
      </w: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33">
                <wp:simplePos x="0" y="0"/>
                <wp:positionH relativeFrom="column">
                  <wp:posOffset>0</wp:posOffset>
                </wp:positionH>
                <wp:positionV relativeFrom="paragraph">
                  <wp:posOffset>-93980</wp:posOffset>
                </wp:positionV>
                <wp:extent cx="5715000" cy="0"/>
                <wp:effectExtent l="0" t="3175" r="0" b="3175"/>
                <wp:wrapNone/>
                <wp:docPr id="32"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4pt" to="449.95pt,-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0</wp:posOffset>
                </wp:positionH>
                <wp:positionV relativeFrom="paragraph">
                  <wp:posOffset>8890</wp:posOffset>
                </wp:positionV>
                <wp:extent cx="5715000" cy="0"/>
                <wp:effectExtent l="0" t="3175" r="0" b="3175"/>
                <wp:wrapNone/>
                <wp:docPr id="33"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7pt" to="449.95pt,0.7pt" stroked="t" o:allowincell="f" style="position:absolute">
                <v:stroke color="black" weight="6480" joinstyle="miter" endcap="flat"/>
                <v:fill o:detectmouseclick="t" on="false"/>
                <w10:wrap type="none"/>
              </v:line>
            </w:pict>
          </mc:Fallback>
        </mc:AlternateContent>
      </w:r>
    </w:p>
    <w:p>
      <w:pPr>
        <w:sectPr>
          <w:type w:val="continuous"/>
          <w:pgSz w:w="10800" w:h="14400"/>
          <w:pgMar w:left="1440" w:right="360" w:gutter="0" w:header="0" w:top="559" w:footer="0" w:bottom="0"/>
          <w:formProt w:val="false"/>
          <w:textDirection w:val="lrTb"/>
          <w:docGrid w:type="default" w:linePitch="360" w:charSpace="0"/>
        </w:sectPr>
      </w:pPr>
    </w:p>
    <w:p>
      <w:pPr>
        <w:pStyle w:val="Normal"/>
        <w:numPr>
          <w:ilvl w:val="0"/>
          <w:numId w:val="5"/>
        </w:numPr>
        <w:tabs>
          <w:tab w:val="clear" w:pos="720"/>
          <w:tab w:val="left" w:pos="620" w:leader="none"/>
        </w:tabs>
        <w:spacing w:lineRule="atLeast" w:line="0"/>
        <w:ind w:hanging="547" w:start="620" w:end="0"/>
        <w:rPr>
          <w:rFonts w:ascii="Century Gothic" w:hAnsi="Century Gothic" w:eastAsia="Century Gothic" w:cs="Century Gothic"/>
          <w:b/>
          <w:sz w:val="19"/>
        </w:rPr>
      </w:pPr>
      <w:bookmarkStart w:id="8" w:name="page9"/>
      <w:bookmarkEnd w:id="8"/>
      <w:r>
        <w:rPr>
          <w:rFonts w:eastAsia="Times New Roman" w:cs="Times New Roman" w:ascii="Times New Roman" w:hAnsi="Times New Roman"/>
          <w:sz w:val="15"/>
        </w:rPr>
        <w:t>Journal of Education, Psychology, and Humanities (JEPH) | ISSN 2599-5294</w:t>
      </w:r>
    </w:p>
    <w:p>
      <w:pPr>
        <w:sectPr>
          <w:type w:val="nextPage"/>
          <w:pgSz w:w="10800" w:h="14400"/>
          <w:pgMar w:left="360" w:right="1440" w:gutter="0" w:header="0" w:top="579" w:footer="0" w:bottom="0"/>
          <w:pgNumType w:fmt="decimal"/>
          <w:formProt w:val="false"/>
          <w:textDirection w:val="lrTb"/>
          <w:docGrid w:type="default" w:linePitch="360" w:charSpace="0"/>
        </w:sectPr>
      </w:pPr>
    </w:p>
    <w:p>
      <w:pPr>
        <w:pStyle w:val="Normal"/>
        <w:spacing w:lineRule="exact" w:line="195"/>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1"/>
        <w:jc w:val="both"/>
        <w:rPr/>
      </w:pPr>
      <w:r>
        <w:rPr>
          <w:rFonts w:eastAsia="Times New Roman" w:cs="Times New Roman" w:ascii="Times New Roman" w:hAnsi="Times New Roman"/>
          <w:i/>
          <w:strike/>
          <w:sz w:val="21"/>
        </w:rPr>
        <w:t>the pronunciation of word, I usually check the dic-</w:t>
      </w:r>
      <w:r>
        <w:rPr>
          <w:rFonts w:eastAsia="Times New Roman" w:cs="Times New Roman" w:ascii="Times New Roman" w:hAnsi="Times New Roman"/>
          <w:i/>
          <w:sz w:val="21"/>
        </w:rPr>
        <w:t>tionaries.”</w:t>
      </w:r>
      <w:r>
        <w:rPr>
          <w:rFonts w:eastAsia="Times New Roman" w:cs="Times New Roman" w:ascii="Times New Roman" w:hAnsi="Times New Roman"/>
          <w:sz w:val="21"/>
        </w:rPr>
        <w:t xml:space="preserve"> This result is supported by Al-Bayati and Reishaan (2007) who found out that the use of dictionary helps students master a better English pronunciation. The experts hypothesized that the adoption of dictionary-based instruction enables students to practice various skills that are involved in the mastery of the language.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5">
                <wp:simplePos x="0" y="0"/>
                <wp:positionH relativeFrom="column">
                  <wp:posOffset>0</wp:posOffset>
                </wp:positionH>
                <wp:positionV relativeFrom="paragraph">
                  <wp:posOffset>-1321435</wp:posOffset>
                </wp:positionV>
                <wp:extent cx="5715000" cy="0"/>
                <wp:effectExtent l="0" t="9525" r="0" b="9525"/>
                <wp:wrapNone/>
                <wp:docPr id="34"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04.05pt" to="449.95pt,-104.05pt" stroked="t" o:allowincell="f" style="position:absolute">
                <v:stroke color="black" weight="19080" joinstyle="miter" endcap="flat"/>
                <v:fill o:detectmouseclick="t" on="false"/>
                <w10:wrap type="none"/>
              </v:line>
            </w:pict>
          </mc:Fallback>
        </mc:AlternateContent>
      </w:r>
    </w:p>
    <w:p>
      <w:pPr>
        <w:pStyle w:val="Normal"/>
        <w:spacing w:lineRule="auto" w:line="261"/>
        <w:ind w:firstLine="720" w:end="0"/>
        <w:jc w:val="both"/>
        <w:rPr/>
      </w:pPr>
      <w:r>
        <w:rPr>
          <w:rFonts w:eastAsia="Times New Roman" w:cs="Times New Roman" w:ascii="Times New Roman" w:hAnsi="Times New Roman"/>
          <w:sz w:val="21"/>
        </w:rPr>
        <w:t>The results imply that the language status of Filipino call center agents were reflected profi-cient through their vocabulary skills and oral com-munication skills data. The gender, educational at-tainment, and length of work experience show that there is no significant difference in the agents’ vo-cabulary skill and oral communication skill. How-ever, the language status in terms of age is signif-icant on their vocabulary skills while considered insignificant in oral communication skills. This could mean that there are many influences that can affect the language status of the call center agents; it could be their educational attainment, person-al learning, immersion, and call center training. Overall, the Filipino CCAs respondents tend to have better oral communication skills than vocab-ulary skills. Those who are experts in their vocab-ulary skills are also expert in their oral skills, while those who are intermediate in the former are either also intermediate or expert in the latter. The Call Center Agents who were interviewed claimed that their learning in English language and communi-cation development strongly influenced socially. As Del Rosario (2004) mentioned, Filipino call center agent should be good in outsourcing and have English adeptness. This result is similar to Castillo, De Guzman, and Tahimic’s (2010) find-ing that oral communication skills affect students in numerous ways, not only inside the classroom but even after the students graduate and when they go to look for jobs. The oral communication skills needed by CCAs were basically enhanced in their workplace.</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520" w:end="0"/>
        <w:rPr>
          <w:rFonts w:ascii="Times New Roman" w:hAnsi="Times New Roman" w:eastAsia="Times New Roman" w:cs="Times New Roman"/>
          <w:b/>
          <w:sz w:val="22"/>
        </w:rPr>
      </w:pPr>
      <w:r>
        <w:rPr>
          <w:rFonts w:eastAsia="Times New Roman" w:cs="Times New Roman" w:ascii="Times New Roman" w:hAnsi="Times New Roman"/>
          <w:b/>
          <w:sz w:val="22"/>
        </w:rPr>
        <w:t>Conclusions and Recommendations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The results of the study show that ma-</w:t>
      </w:r>
    </w:p>
    <w:p>
      <w:pPr>
        <w:pStyle w:val="Normal"/>
        <w:spacing w:lineRule="exact" w:line="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jc w:val="both"/>
        <w:rPr/>
      </w:pPr>
      <w:r>
        <w:rPr>
          <w:rFonts w:eastAsia="Times New Roman" w:cs="Times New Roman" w:ascii="Times New Roman" w:hAnsi="Times New Roman"/>
          <w:sz w:val="21"/>
        </w:rPr>
        <w:t xml:space="preserve">jority of the CCAs in Iloilo are </w:t>
      </w:r>
      <w:r>
        <w:rPr>
          <w:rFonts w:eastAsia="Times New Roman" w:cs="Times New Roman" w:ascii="Times New Roman" w:hAnsi="Times New Roman"/>
          <w:i/>
          <w:sz w:val="21"/>
        </w:rPr>
        <w:t>proficient</w:t>
      </w:r>
      <w:r>
        <w:rPr>
          <w:rFonts w:eastAsia="Times New Roman" w:cs="Times New Roman" w:ascii="Times New Roman" w:hAnsi="Times New Roman"/>
          <w:sz w:val="21"/>
        </w:rPr>
        <w:t xml:space="preserve"> in both vocabulary and oral communication skills. Major-ity of the CCAs are categorized as </w:t>
      </w:r>
      <w:r>
        <w:rPr>
          <w:rFonts w:eastAsia="Times New Roman" w:cs="Times New Roman" w:ascii="Times New Roman" w:hAnsi="Times New Roman"/>
          <w:i/>
          <w:sz w:val="21"/>
        </w:rPr>
        <w:t>intermediate</w:t>
      </w:r>
      <w:r>
        <w:rPr>
          <w:rFonts w:eastAsia="Times New Roman" w:cs="Times New Roman" w:ascii="Times New Roman" w:hAnsi="Times New Roman"/>
          <w:sz w:val="21"/>
          <w:u w:val="single"/>
        </w:rPr>
        <w:t xml:space="preserve"> in their vocabulary skills and </w:t>
      </w:r>
      <w:r>
        <w:rPr>
          <w:rFonts w:eastAsia="Times New Roman" w:cs="Times New Roman" w:ascii="Times New Roman" w:hAnsi="Times New Roman"/>
          <w:i/>
          <w:sz w:val="21"/>
          <w:u w:val="single"/>
        </w:rPr>
        <w:t>expert</w:t>
      </w:r>
      <w:r>
        <w:rPr>
          <w:rFonts w:eastAsia="Times New Roman" w:cs="Times New Roman" w:ascii="Times New Roman" w:hAnsi="Times New Roman"/>
          <w:sz w:val="21"/>
          <w:u w:val="single"/>
        </w:rPr>
        <w:t xml:space="preserve"> in their oral</w:t>
      </w:r>
    </w:p>
    <w:p>
      <w:pPr>
        <w:pStyle w:val="Normal"/>
        <w:spacing w:lineRule="exact" w:line="199"/>
        <w:rPr>
          <w:rFonts w:ascii="Times New Roman" w:hAnsi="Times New Roman" w:eastAsia="Times New Roman" w:cs="Times New Roman"/>
          <w:sz w:val="21"/>
          <w:u w:val="single"/>
        </w:rPr>
      </w:pPr>
      <w:r>
        <w:br w:type="column"/>
      </w:r>
      <w:r>
        <w:rPr>
          <w:rFonts w:eastAsia="Times New Roman" w:cs="Times New Roman" w:ascii="Times New Roman" w:hAnsi="Times New Roman"/>
          <w:sz w:val="21"/>
          <w:u w:val="single"/>
        </w:rPr>
      </w:r>
    </w:p>
    <w:p>
      <w:pPr>
        <w:pStyle w:val="Normal"/>
        <w:spacing w:lineRule="auto" w:line="261"/>
        <w:jc w:val="both"/>
        <w:rPr/>
      </w:pPr>
      <w:r>
        <w:rPr>
          <w:rFonts w:eastAsia="Times New Roman" w:cs="Times New Roman" w:ascii="Times New Roman" w:hAnsi="Times New Roman"/>
          <w:strike/>
          <w:sz w:val="21"/>
        </w:rPr>
        <w:t xml:space="preserve">communication skills. As Sun (2014) mentioned </w:t>
      </w:r>
      <w:r>
        <w:rPr>
          <w:rFonts w:eastAsia="Times New Roman" w:cs="Times New Roman" w:ascii="Times New Roman" w:hAnsi="Times New Roman"/>
          <w:sz w:val="21"/>
        </w:rPr>
        <w:t>based on the communicative competence model of Bachman and Palmer, Filipino call center agents are skillful in English communication both in their vocabulary and oral communication. Hammond (2015) theorized that the experience of maturing into adulthood gives older learners access to some tools and techniques not available to younger age children. This study, however, showed that length of work experience, gender, and educational at-tainment do not have significant effect on the En-glish communication skills among CCAs.</w:t>
      </w:r>
    </w:p>
    <w:p>
      <w:pPr>
        <w:pStyle w:val="Normal"/>
        <w:spacing w:lineRule="exact" w:line="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1"/>
        <w:ind w:firstLine="720" w:end="0"/>
        <w:jc w:val="both"/>
        <w:rPr/>
      </w:pPr>
      <w:r>
        <w:rPr>
          <w:rFonts w:eastAsia="Times New Roman" w:cs="Times New Roman" w:ascii="Times New Roman" w:hAnsi="Times New Roman"/>
          <w:sz w:val="21"/>
        </w:rPr>
        <w:t>CCAs acknowledge that they have im-proved in their oral communication skills needed to function as a CCA largely due to their language immersions particularly by exposures to English audiovisuals and media with actual practice with English speakers, reading English dialogues, and their company trainings. This means that relative-ly, they did not learn from school the accent, vo-cabulary, and techniques for being a CCA. Their constant communication in English language with fellow workers and Anglophone customers im-proved their communication skills, specifically their listening comprehension, vocabulary, and pronunciation. Most of the CCAs have completed an undergraduate degree and some are still study-ing in college and they believe that their English communication skills were enhanced socially, i.e., by listening to native speakers and actually us-ing the language. Social learning is supported by Haynes (2007) that language acquisition is pres-ent in day-to-day conversation socially. However, social learning can be created in the classroom if a well-rounded English communication competen-cy that will be applicable in various contexts is to be achieved. This is particularly important for the Philippines being known as supplier of human re-sources globally such as nurses who need to take TOEFL or IELTS that require understanding of English spoken by native speakers for them to get accepted in the US, the UK, Australia, and New Zealand.</w:t>
      </w:r>
    </w:p>
    <w:p>
      <w:pPr>
        <w:pStyle w:val="Normal"/>
        <w:spacing w:lineRule="exact" w:line="1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6"/>
        <w:ind w:firstLine="720" w:end="0"/>
        <w:jc w:val="both"/>
        <w:rPr/>
      </w:pPr>
      <w:r>
        <w:rPr>
          <w:rFonts w:eastAsia="Times New Roman" w:cs="Times New Roman" w:ascii="Times New Roman" w:hAnsi="Times New Roman"/>
          <w:sz w:val="21"/>
        </w:rPr>
        <w:t>Based on the results of the study, effective English communication does not merely rely on the learning of Standard English communication found in formally written books across the coun-</w:t>
      </w:r>
      <w:r>
        <w:rPr>
          <w:rFonts w:eastAsia="Times New Roman" w:cs="Times New Roman" w:ascii="Times New Roman" w:hAnsi="Times New Roman"/>
          <w:sz w:val="21"/>
          <w:u w:val="single"/>
        </w:rPr>
        <w:t>try. There should be a place for conversational</w:t>
      </w:r>
    </w:p>
    <w:p>
      <w:pPr>
        <w:sectPr>
          <w:type w:val="continuous"/>
          <w:pgSz w:w="10800" w:h="14400"/>
          <w:pgMar w:left="360" w:right="1440" w:gutter="0" w:header="0" w:top="579" w:footer="0" w:bottom="0"/>
          <w:cols w:num="2" w:space="240" w:equalWidth="true" w:sep="false"/>
          <w:formProt w:val="false"/>
          <w:textDirection w:val="lrTb"/>
          <w:docGrid w:type="default" w:linePitch="360" w:charSpace="0"/>
        </w:sectPr>
      </w:pPr>
    </w:p>
    <w:p>
      <w:pPr>
        <w:pStyle w:val="Normal"/>
        <w:spacing w:lineRule="exact" w:line="2"/>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tLeast" w:line="0"/>
        <w:ind w:start="100" w:end="0"/>
        <w:rPr>
          <w:rFonts w:ascii="Times New Roman" w:hAnsi="Times New Roman" w:eastAsia="Times New Roman" w:cs="Times New Roman"/>
          <w:sz w:val="16"/>
        </w:rPr>
      </w:pP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36">
                <wp:simplePos x="0" y="0"/>
                <wp:positionH relativeFrom="column">
                  <wp:posOffset>0</wp:posOffset>
                </wp:positionH>
                <wp:positionV relativeFrom="paragraph">
                  <wp:posOffset>-99695</wp:posOffset>
                </wp:positionV>
                <wp:extent cx="5715000" cy="0"/>
                <wp:effectExtent l="0" t="3175" r="0" b="3175"/>
                <wp:wrapNone/>
                <wp:docPr id="35"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85pt" to="449.95pt,-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0</wp:posOffset>
                </wp:positionH>
                <wp:positionV relativeFrom="paragraph">
                  <wp:posOffset>3175</wp:posOffset>
                </wp:positionV>
                <wp:extent cx="5715000" cy="0"/>
                <wp:effectExtent l="0" t="3175" r="0" b="3175"/>
                <wp:wrapNone/>
                <wp:docPr id="36"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25pt" to="449.95pt,0.25pt" stroked="t" o:allowincell="f" style="position:absolute">
                <v:stroke color="black" weight="6480" joinstyle="miter" endcap="flat"/>
                <v:fill o:detectmouseclick="t" on="false"/>
                <w10:wrap type="none"/>
              </v:line>
            </w:pict>
          </mc:Fallback>
        </mc:AlternateContent>
      </w:r>
    </w:p>
    <w:p>
      <w:pPr>
        <w:sectPr>
          <w:type w:val="continuous"/>
          <w:pgSz w:w="10800" w:h="14400"/>
          <w:pgMar w:left="360" w:right="1440" w:gutter="0" w:header="0" w:top="579" w:footer="0" w:bottom="0"/>
          <w:formProt w:val="false"/>
          <w:textDirection w:val="lrTb"/>
          <w:docGrid w:type="default" w:linePitch="360" w:charSpace="0"/>
        </w:sectPr>
      </w:pPr>
    </w:p>
    <w:tbl>
      <w:tblPr>
        <w:tblW w:w="6680" w:type="dxa"/>
        <w:jc w:val="start"/>
        <w:tblInd w:w="2240" w:type="dxa"/>
        <w:tblLayout w:type="fixed"/>
        <w:tblCellMar>
          <w:top w:w="0" w:type="dxa"/>
          <w:start w:w="0" w:type="dxa"/>
          <w:bottom w:w="0" w:type="dxa"/>
          <w:end w:w="0" w:type="dxa"/>
        </w:tblCellMar>
      </w:tblPr>
      <w:tblGrid>
        <w:gridCol w:w="6260"/>
        <w:gridCol w:w="420"/>
      </w:tblGrid>
      <w:tr>
        <w:trPr>
          <w:trHeight w:val="284" w:hRule="atLeast"/>
        </w:trPr>
        <w:tc>
          <w:tcPr>
            <w:tcW w:w="6260" w:type="dxa"/>
            <w:tcBorders/>
          </w:tcPr>
          <w:p>
            <w:pPr>
              <w:pStyle w:val="Normal"/>
              <w:spacing w:lineRule="atLeast" w:line="0"/>
              <w:rPr/>
            </w:pPr>
            <w:bookmarkStart w:id="9" w:name="page10"/>
            <w:bookmarkEnd w:id="9"/>
            <w:r>
              <w:rPr>
                <w:rFonts w:eastAsia="Times New Roman" w:cs="Times New Roman" w:ascii="Times New Roman" w:hAnsi="Times New Roman"/>
                <w:sz w:val="16"/>
              </w:rPr>
              <w:t>Filipino Call Center Agents’ English Communication Proficiency and How They Developed It</w:t>
            </w:r>
          </w:p>
        </w:tc>
        <w:tc>
          <w:tcPr>
            <w:tcW w:w="420" w:type="dxa"/>
            <w:tcBorders/>
          </w:tcPr>
          <w:p>
            <w:pPr>
              <w:pStyle w:val="Normal"/>
              <w:spacing w:lineRule="atLeast" w:line="0"/>
              <w:jc w:val="end"/>
              <w:rPr>
                <w:rFonts w:ascii="Century Gothic" w:hAnsi="Century Gothic" w:eastAsia="Century Gothic" w:cs="Century Gothic"/>
                <w:b/>
              </w:rPr>
            </w:pPr>
            <w:r>
              <w:rPr>
                <w:rFonts w:eastAsia="Century Gothic" w:cs="Century Gothic" w:ascii="Century Gothic" w:hAnsi="Century Gothic"/>
                <w:b/>
              </w:rPr>
              <w:t>29</w:t>
            </w:r>
          </w:p>
        </w:tc>
      </w:tr>
    </w:tbl>
    <w:p>
      <w:pPr>
        <w:sectPr>
          <w:type w:val="continuous"/>
          <w:pgSz w:w="10800" w:h="14400"/>
          <w:pgMar w:left="360" w:right="1440" w:gutter="0" w:header="0" w:top="579" w:footer="0" w:bottom="0"/>
          <w:pgNumType w:fmt="decimal"/>
          <w:formProt w:val="false"/>
          <w:textDirection w:val="lrTb"/>
          <w:docGrid w:type="default" w:linePitch="360" w:charSpace="0"/>
        </w:sectPr>
      </w:pPr>
    </w:p>
    <w:p>
      <w:pPr>
        <w:pStyle w:val="Normal"/>
        <w:spacing w:lineRule="exact" w:line="16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49"/>
        <w:ind w:end="240"/>
        <w:jc w:val="both"/>
        <w:rPr/>
      </w:pPr>
      <w:r>
        <w:rPr>
          <w:rFonts w:eastAsia="Times New Roman" w:cs="Times New Roman" w:ascii="Times New Roman" w:hAnsi="Times New Roman"/>
          <w:strike/>
          <w:sz w:val="22"/>
        </w:rPr>
        <w:t xml:space="preserve">English including idiomatic expressions used by </w:t>
      </w:r>
      <w:r>
        <w:rPr>
          <w:rFonts w:eastAsia="Times New Roman" w:cs="Times New Roman" w:ascii="Times New Roman" w:hAnsi="Times New Roman"/>
          <w:sz w:val="22"/>
        </w:rPr>
        <w:t>English native speakers for Filipinos to be able to effectively function globally. Teachers may use re-corded conversations such as those used in TOE-FL, TOEIC, or IELTS to expose Filipino learners to various accents, pronunciation, and idiomatic expressions commonly used by native speakers. Neutral accent should be encouraged in schools and the use of International Phonetic Alphabet should be emphasized when teaching English pro-nunciation.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8">
                <wp:simplePos x="0" y="0"/>
                <wp:positionH relativeFrom="column">
                  <wp:posOffset>0</wp:posOffset>
                </wp:positionH>
                <wp:positionV relativeFrom="paragraph">
                  <wp:posOffset>-1824990</wp:posOffset>
                </wp:positionV>
                <wp:extent cx="5715000" cy="0"/>
                <wp:effectExtent l="0" t="9525" r="0" b="9525"/>
                <wp:wrapNone/>
                <wp:docPr id="37"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43.7pt" to="449.95pt,-143.7pt" stroked="t" o:allowincell="f" style="position:absolute">
                <v:stroke color="black" weight="19080" joinstyle="miter" endcap="flat"/>
                <v:fill o:detectmouseclick="t" on="false"/>
                <w10:wrap type="none"/>
              </v:line>
            </w:pict>
          </mc:Fallback>
        </mc:AlternateContent>
      </w:r>
    </w:p>
    <w:p>
      <w:pPr>
        <w:pStyle w:val="Normal"/>
        <w:spacing w:lineRule="auto" w:line="254"/>
        <w:ind w:firstLine="720" w:end="240"/>
        <w:jc w:val="both"/>
        <w:rPr>
          <w:rFonts w:ascii="Times New Roman" w:hAnsi="Times New Roman" w:eastAsia="Times New Roman" w:cs="Times New Roman"/>
          <w:sz w:val="22"/>
        </w:rPr>
      </w:pPr>
      <w:r>
        <w:rPr>
          <w:rFonts w:eastAsia="Times New Roman" w:cs="Times New Roman" w:ascii="Times New Roman" w:hAnsi="Times New Roman"/>
          <w:sz w:val="22"/>
        </w:rPr>
        <w:t>Future research may be directed on an in-depth exploration of the commonly acquired vocabulary particularly idioms in their interaction with native English speakers. It may also inquire on how oral communication books in both sec-ondary and tertiary levels teach conversational English.</w:t>
      </w:r>
    </w:p>
    <w:p>
      <w:pPr>
        <w:pStyle w:val="Normal"/>
        <w:spacing w:lineRule="exact" w:line="2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end="240"/>
        <w:jc w:val="center"/>
        <w:rPr>
          <w:rFonts w:ascii="Times New Roman" w:hAnsi="Times New Roman" w:eastAsia="Times New Roman" w:cs="Times New Roman"/>
          <w:b/>
          <w:sz w:val="22"/>
        </w:rPr>
      </w:pPr>
      <w:r>
        <w:rPr>
          <w:rFonts w:eastAsia="Times New Roman" w:cs="Times New Roman" w:ascii="Times New Roman" w:hAnsi="Times New Roman"/>
          <w:b/>
          <w:sz w:val="22"/>
        </w:rPr>
        <w:t>References</w:t>
      </w:r>
    </w:p>
    <w:p>
      <w:pPr>
        <w:pStyle w:val="Normal"/>
        <w:spacing w:lineRule="exact" w:line="1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71"/>
        <w:ind w:hanging="719" w:start="720" w:end="240"/>
        <w:jc w:val="both"/>
        <w:rPr/>
      </w:pPr>
      <w:r>
        <w:rPr>
          <w:rFonts w:eastAsia="Times New Roman" w:cs="Times New Roman" w:ascii="Times New Roman" w:hAnsi="Times New Roman"/>
          <w:sz w:val="21"/>
        </w:rPr>
        <w:t xml:space="preserve">Aclan, E. M., &amp; Abdul Aziz, N. H. (2015). Why and how EFL students learn vocabulary in parliamentary debate class. </w:t>
      </w:r>
      <w:r>
        <w:rPr>
          <w:rFonts w:eastAsia="Times New Roman" w:cs="Times New Roman" w:ascii="Times New Roman" w:hAnsi="Times New Roman"/>
          <w:i/>
          <w:sz w:val="21"/>
        </w:rPr>
        <w:t>Advances in Language and Literary Studies,</w:t>
      </w:r>
      <w:r>
        <w:rPr>
          <w:rFonts w:eastAsia="Times New Roman" w:cs="Times New Roman" w:ascii="Times New Roman" w:hAnsi="Times New Roman"/>
          <w:sz w:val="21"/>
        </w:rPr>
        <w:t xml:space="preserve"> 6(1), 102-113. doi:10.7575/aiac.alls.v.6n.1p.102</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hanging="719" w:start="720" w:end="240"/>
        <w:jc w:val="both"/>
        <w:rPr>
          <w:rFonts w:ascii="Times New Roman" w:hAnsi="Times New Roman" w:eastAsia="Times New Roman" w:cs="Times New Roman"/>
          <w:sz w:val="22"/>
        </w:rPr>
      </w:pPr>
      <w:r>
        <w:rPr>
          <w:rFonts w:eastAsia="Times New Roman" w:cs="Times New Roman" w:ascii="Times New Roman" w:hAnsi="Times New Roman"/>
          <w:sz w:val="22"/>
        </w:rPr>
        <w:t>Airasian, P., Gay, L. R., &amp; Mills, G. E. (2009). Educational research, competencies for analysis and applications (9th ed.). USA: Pearson International Edition.</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719" w:start="720" w:end="240"/>
        <w:jc w:val="both"/>
        <w:rPr>
          <w:rFonts w:ascii="Times New Roman" w:hAnsi="Times New Roman" w:eastAsia="Times New Roman" w:cs="Times New Roman"/>
          <w:sz w:val="22"/>
        </w:rPr>
      </w:pPr>
      <w:r>
        <w:rPr>
          <w:rFonts w:eastAsia="Times New Roman" w:cs="Times New Roman" w:ascii="Times New Roman" w:hAnsi="Times New Roman"/>
          <w:sz w:val="22"/>
        </w:rPr>
        <w:t>Arora, A., &amp; Kaul, V. (2005). The dark side of call centers! Business, rediff.com India. Retrieved from http://www.rediff.com/ money/2005/mar/02guest.htm</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719" w:start="720" w:end="240"/>
        <w:jc w:val="both"/>
        <w:rPr>
          <w:rFonts w:ascii="Times New Roman" w:hAnsi="Times New Roman" w:eastAsia="Times New Roman" w:cs="Times New Roman"/>
          <w:sz w:val="22"/>
        </w:rPr>
      </w:pPr>
      <w:r>
        <w:rPr>
          <w:rFonts w:eastAsia="Times New Roman" w:cs="Times New Roman" w:ascii="Times New Roman" w:hAnsi="Times New Roman"/>
          <w:sz w:val="22"/>
        </w:rPr>
        <w:t>Bailey, J. (2008). First steps in qualitative data analysis: Transcribing. Family Practice, Oxford Journals. Retrieved from http:// fampra.oxfordjournals.org/25/2/127.full</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hanging="719" w:start="720" w:end="240"/>
        <w:jc w:val="both"/>
        <w:rPr/>
      </w:pPr>
      <w:r>
        <w:rPr>
          <w:rFonts w:eastAsia="Times New Roman" w:cs="Times New Roman" w:ascii="Times New Roman" w:hAnsi="Times New Roman"/>
          <w:sz w:val="22"/>
        </w:rPr>
        <w:t>Castillo, V., De Guzman, J., &amp; Tahimic, J. J. (2010). Oral communication skills of English teachers in selected public high schools in Metro Manila: A self-assess-ment. Centro Escolar University, Ma-nila, Philippines.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9">
                <wp:simplePos x="0" y="0"/>
                <wp:positionH relativeFrom="column">
                  <wp:posOffset>0</wp:posOffset>
                </wp:positionH>
                <wp:positionV relativeFrom="paragraph">
                  <wp:posOffset>148590</wp:posOffset>
                </wp:positionV>
                <wp:extent cx="5715000" cy="0"/>
                <wp:effectExtent l="0" t="9525" r="0" b="9525"/>
                <wp:wrapNone/>
                <wp:docPr id="38" name=""/>
                <a:graphic xmlns:a="http://schemas.openxmlformats.org/drawingml/2006/main">
                  <a:graphicData uri="http://schemas.microsoft.com/office/word/2010/wordprocessingShape">
                    <wps:wsp>
                      <wps:cNvSpPr/>
                      <wps:spPr>
                        <a:xfrm>
                          <a:off x="0" y="0"/>
                          <a:ext cx="571500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0pt,11.7pt" to="449.95pt,11.7pt" stroked="t" o:allowincell="f" style="position:absolute">
                <v:stroke color="black" weight="19080" joinstyle="miter" endcap="flat"/>
                <v:fill o:detectmouseclick="t" on="false"/>
                <w10:wrap type="none"/>
              </v:line>
            </w:pict>
          </mc:Fallback>
        </mc:AlternateContent>
      </w:r>
    </w:p>
    <w:p>
      <w:pPr>
        <w:pStyle w:val="Normal"/>
        <w:spacing w:lineRule="exact" w:line="16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56"/>
        <w:ind w:hanging="719" w:end="0"/>
        <w:jc w:val="both"/>
        <w:rPr/>
      </w:pPr>
      <w:r>
        <w:rPr>
          <w:rFonts w:eastAsia="Times New Roman" w:cs="Times New Roman" w:ascii="Times New Roman" w:hAnsi="Times New Roman"/>
          <w:strike/>
          <w:sz w:val="22"/>
        </w:rPr>
        <w:t>Chang,</w:t>
      </w:r>
      <w:r>
        <w:rPr>
          <w:rFonts w:eastAsia="Times New Roman" w:cs="Times New Roman" w:ascii="Times New Roman" w:hAnsi="Times New Roman"/>
        </w:rPr>
        <w:t xml:space="preserve"> </w:t>
      </w:r>
      <w:r>
        <w:rPr>
          <w:rFonts w:eastAsia="Times New Roman" w:cs="Times New Roman" w:ascii="Times New Roman" w:hAnsi="Times New Roman"/>
          <w:strike/>
          <w:sz w:val="22"/>
        </w:rPr>
        <w:t xml:space="preserve">J. C. (2011). Reading between the </w:t>
      </w:r>
      <w:r>
        <w:rPr>
          <w:rFonts w:eastAsia="Times New Roman" w:cs="Times New Roman" w:ascii="Times New Roman" w:hAnsi="Times New Roman"/>
          <w:sz w:val="22"/>
        </w:rPr>
        <w:t>“frames’: English language learners and non-English language learners responses to graphic novels. Ontario Institute for Studies in Education, University of To-ronto, CA.</w:t>
      </w:r>
    </w:p>
    <w:p>
      <w:pPr>
        <w:pStyle w:val="Normal"/>
        <w:spacing w:lineRule="exact" w:line="22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hanging="719" w:end="0"/>
        <w:jc w:val="both"/>
        <w:rPr>
          <w:rFonts w:ascii="Times New Roman" w:hAnsi="Times New Roman" w:eastAsia="Times New Roman" w:cs="Times New Roman"/>
          <w:sz w:val="21"/>
        </w:rPr>
      </w:pPr>
      <w:r>
        <w:rPr>
          <w:rFonts w:eastAsia="Times New Roman" w:cs="Times New Roman" w:ascii="Times New Roman" w:hAnsi="Times New Roman"/>
          <w:sz w:val="21"/>
        </w:rPr>
        <w:t>Hammond, A. (2015). Does it get harder to learn a language as you get older? ESL language studies abroad. Retrieved from http:// blog.esl-languages.com/blog/learn-lan-guages/harder-to-learn-language-older</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hanging="719" w:end="0"/>
        <w:jc w:val="both"/>
        <w:rPr>
          <w:rFonts w:ascii="Times New Roman" w:hAnsi="Times New Roman" w:eastAsia="Times New Roman" w:cs="Times New Roman"/>
          <w:sz w:val="22"/>
        </w:rPr>
      </w:pPr>
      <w:r>
        <w:rPr>
          <w:rFonts w:eastAsia="Times New Roman" w:cs="Times New Roman" w:ascii="Times New Roman" w:hAnsi="Times New Roman"/>
          <w:sz w:val="22"/>
        </w:rPr>
        <w:t>Haynes, J. (2007). Explaining BICS and CALP, Everything. Retrieved from http://www. everythingesl.net/inservices/bics_calp. php</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hanging="719" w:end="0"/>
        <w:jc w:val="both"/>
        <w:rPr>
          <w:rFonts w:ascii="Times New Roman" w:hAnsi="Times New Roman" w:eastAsia="Times New Roman" w:cs="Times New Roman"/>
          <w:sz w:val="21"/>
        </w:rPr>
      </w:pPr>
      <w:r>
        <w:rPr>
          <w:rFonts w:eastAsia="Times New Roman" w:cs="Times New Roman" w:ascii="Times New Roman" w:hAnsi="Times New Roman"/>
          <w:sz w:val="21"/>
        </w:rPr>
        <w:t>Honey, M., Pasnik, S., &amp; Saltrick, S. (2004). Tele-vision goes to school: the impact of video on student learning in formal education. Washington, DC. Retrieved from https:// www.dcmp.org/caai/nadh173.pdf</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hanging="719" w:end="0"/>
        <w:jc w:val="both"/>
        <w:rPr/>
      </w:pPr>
      <w:r>
        <w:rPr>
          <w:rFonts w:eastAsia="Times New Roman" w:cs="Times New Roman" w:ascii="Times New Roman" w:hAnsi="Times New Roman"/>
          <w:sz w:val="21"/>
        </w:rPr>
        <w:t>McGeown, K. (2011). The Philippines: The world’s hotline. BBC News, Manila. Retrieved from http://www.bbc.co.uk/news/business -14149615</w:t>
      </w:r>
    </w:p>
    <w:p>
      <w:pPr>
        <w:pStyle w:val="Normal"/>
        <w:spacing w:lineRule="exact" w:line="20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hanging="719" w:end="0"/>
        <w:jc w:val="both"/>
        <w:rPr/>
      </w:pPr>
      <w:r>
        <w:rPr>
          <w:rFonts w:eastAsia="Times New Roman" w:cs="Times New Roman" w:ascii="Times New Roman" w:hAnsi="Times New Roman"/>
          <w:sz w:val="22"/>
        </w:rPr>
        <w:t>Mendoza, S. (2012). PH: World’s best country in business English. Retrieved from https:// sg.news.yahoo.com/ph--world -s-best-country-in-business-english.html</w:t>
      </w:r>
    </w:p>
    <w:p>
      <w:pPr>
        <w:pStyle w:val="Normal"/>
        <w:spacing w:lineRule="exact" w:line="22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8"/>
        <w:ind w:hanging="719" w:end="0"/>
        <w:jc w:val="both"/>
        <w:rPr/>
      </w:pPr>
      <w:r>
        <w:rPr>
          <w:rFonts w:eastAsia="Times New Roman" w:cs="Times New Roman" w:ascii="Times New Roman" w:hAnsi="Times New Roman"/>
          <w:sz w:val="21"/>
        </w:rPr>
        <w:t xml:space="preserve">Ong, C. (2009). Development of vocabulary skills in selected second year high school En-glish classes. </w:t>
      </w:r>
      <w:r>
        <w:rPr>
          <w:rFonts w:eastAsia="Times New Roman" w:cs="Times New Roman" w:ascii="Times New Roman" w:hAnsi="Times New Roman"/>
          <w:i/>
          <w:sz w:val="21"/>
        </w:rPr>
        <w:t>JPAIR Multidisciplinary Journal, 3</w:t>
      </w:r>
      <w:r>
        <w:rPr>
          <w:rFonts w:eastAsia="Times New Roman" w:cs="Times New Roman" w:ascii="Times New Roman" w:hAnsi="Times New Roman"/>
          <w:b/>
          <w:sz w:val="21"/>
        </w:rPr>
        <w:t>.</w:t>
      </w:r>
      <w:r>
        <w:rPr>
          <w:rFonts w:eastAsia="Times New Roman" w:cs="Times New Roman" w:ascii="Times New Roman" w:hAnsi="Times New Roman"/>
          <w:sz w:val="21"/>
        </w:rPr>
        <w:t xml:space="preserve"> Retrieved from http://ejour-nals.ph/index.php?journal=JPAIRM-J&amp;page=article&amp;op=viewArticle&amp;-path%5 B%5D=3718</w:t>
      </w:r>
    </w:p>
    <w:p>
      <w:pPr>
        <w:pStyle w:val="Normal"/>
        <w:spacing w:lineRule="exact" w:line="21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9"/>
        <w:ind w:hanging="719" w:end="0"/>
        <w:jc w:val="both"/>
        <w:rPr/>
      </w:pPr>
      <w:r>
        <w:rPr>
          <w:rFonts w:eastAsia="Times New Roman" w:cs="Times New Roman" w:ascii="Times New Roman" w:hAnsi="Times New Roman"/>
          <w:sz w:val="22"/>
        </w:rPr>
        <w:t>Oxford, R. L. (1990). Language learning strate-gies, what every teacher should know.</w:t>
      </w:r>
      <w:r>
        <w:rPr>
          <w:rFonts w:eastAsia="Times New Roman" w:cs="Times New Roman" w:ascii="Times New Roman" w:hAnsi="Times New Roman"/>
          <w:i/>
          <w:sz w:val="22"/>
        </w:rPr>
        <w:t xml:space="preserve"> Heinle &amp; Heinle Publishers, Boston, Massachuchetts, p.71</w:t>
      </w:r>
    </w:p>
    <w:p>
      <w:pPr>
        <w:sectPr>
          <w:type w:val="continuous"/>
          <w:pgSz w:w="10800" w:h="14400"/>
          <w:pgMar w:left="1440" w:right="360" w:gutter="0" w:header="0" w:top="559" w:footer="0" w:bottom="0"/>
          <w:cols w:num="2" w:equalWidth="false" w:sep="false">
            <w:col w:w="4620" w:space="720"/>
            <w:col w:w="3660"/>
          </w:cols>
          <w:formProt w:val="false"/>
          <w:textDirection w:val="lrTb"/>
          <w:docGrid w:type="default" w:linePitch="360" w:charSpace="0"/>
        </w:sectPr>
      </w:pPr>
    </w:p>
    <w:p>
      <w:pPr>
        <w:pStyle w:val="Normal"/>
        <w:spacing w:lineRule="exact" w:line="23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tabs>
          <w:tab w:val="clear" w:pos="720"/>
          <w:tab w:val="left" w:pos="6980" w:leader="none"/>
        </w:tabs>
        <w:spacing w:lineRule="atLeast" w:line="0"/>
        <w:ind w:start="40" w:end="0"/>
        <w:rPr/>
      </w:pPr>
      <w:r>
        <w:rPr>
          <w:rFonts w:eastAsia="Times New Roman" w:cs="Times New Roman" w:ascii="Times New Roman" w:hAnsi="Times New Roman"/>
          <w:sz w:val="16"/>
        </w:rPr>
        <w:t>Journal of Education, Psychology, and Humanities (JEPH)</w:t>
      </w:r>
      <w:r>
        <w:rPr>
          <w:rFonts w:eastAsia="Times New Roman" w:cs="Times New Roman" w:ascii="Times New Roman" w:hAnsi="Times New Roman"/>
        </w:rPr>
        <w:tab/>
      </w: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40">
                <wp:simplePos x="0" y="0"/>
                <wp:positionH relativeFrom="column">
                  <wp:posOffset>0</wp:posOffset>
                </wp:positionH>
                <wp:positionV relativeFrom="paragraph">
                  <wp:posOffset>-93980</wp:posOffset>
                </wp:positionV>
                <wp:extent cx="5715000" cy="0"/>
                <wp:effectExtent l="0" t="3175" r="0" b="3175"/>
                <wp:wrapNone/>
                <wp:docPr id="39"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7.4pt" to="449.95pt,-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0</wp:posOffset>
                </wp:positionH>
                <wp:positionV relativeFrom="paragraph">
                  <wp:posOffset>8890</wp:posOffset>
                </wp:positionV>
                <wp:extent cx="5715000" cy="0"/>
                <wp:effectExtent l="0" t="3175" r="0" b="3175"/>
                <wp:wrapNone/>
                <wp:docPr id="40" name=""/>
                <a:graphic xmlns:a="http://schemas.openxmlformats.org/drawingml/2006/main">
                  <a:graphicData uri="http://schemas.microsoft.com/office/word/2010/wordprocessingShape">
                    <wps:wsp>
                      <wps:cNvSpPr/>
                      <wps:spPr>
                        <a:xfrm>
                          <a:off x="0" y="0"/>
                          <a:ext cx="5715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0.7pt" to="449.95pt,0.7pt" stroked="t" o:allowincell="f" style="position:absolute">
                <v:stroke color="black" weight="6480" joinstyle="miter" endcap="flat"/>
                <v:fill o:detectmouseclick="t" on="false"/>
                <w10:wrap type="none"/>
              </v:line>
            </w:pict>
          </mc:Fallback>
        </mc:AlternateContent>
      </w:r>
    </w:p>
    <w:p>
      <w:pPr>
        <w:sectPr>
          <w:type w:val="continuous"/>
          <w:pgSz w:w="10800" w:h="14400"/>
          <w:pgMar w:left="1440" w:right="360" w:gutter="0" w:header="0" w:top="559" w:footer="0" w:bottom="0"/>
          <w:formProt w:val="false"/>
          <w:textDirection w:val="lrTb"/>
          <w:docGrid w:type="default" w:linePitch="360" w:charSpace="0"/>
        </w:sectPr>
      </w:pPr>
    </w:p>
    <w:p>
      <w:pPr>
        <w:pStyle w:val="Normal"/>
        <w:numPr>
          <w:ilvl w:val="0"/>
          <w:numId w:val="6"/>
        </w:numPr>
        <w:tabs>
          <w:tab w:val="clear" w:pos="720"/>
          <w:tab w:val="left" w:pos="547" w:leader="none"/>
        </w:tabs>
        <w:spacing w:lineRule="atLeast" w:line="0"/>
        <w:ind w:hanging="547" w:start="547" w:end="0"/>
        <w:rPr>
          <w:rFonts w:ascii="Century Gothic" w:hAnsi="Century Gothic" w:eastAsia="Century Gothic" w:cs="Century Gothic"/>
          <w:b/>
          <w:sz w:val="19"/>
        </w:rPr>
      </w:pPr>
      <w:bookmarkStart w:id="10" w:name="page11"/>
      <w:bookmarkEnd w:id="10"/>
      <w:r>
        <w:rPr>
          <w:rFonts w:eastAsia="Times New Roman" w:cs="Times New Roman" w:ascii="Times New Roman" w:hAnsi="Times New Roman"/>
          <w:sz w:val="15"/>
        </w:rPr>
        <w:t>Journal of Education, Psychology, and Humanities (JEPH) | ISSN 2599-5294</w:t>
      </w:r>
    </w:p>
    <w:p>
      <w:pPr>
        <w:sectPr>
          <w:type w:val="nextPage"/>
          <w:pgSz w:w="10800" w:h="14400"/>
          <w:pgMar w:left="433" w:right="1440" w:gutter="0" w:header="0" w:top="579" w:footer="0" w:bottom="0"/>
          <w:pgNumType w:fmt="decimal"/>
          <w:formProt w:val="false"/>
          <w:textDirection w:val="lrTb"/>
          <w:docGrid w:type="default" w:linePitch="360" w:charSpace="0"/>
        </w:sectPr>
      </w:pPr>
    </w:p>
    <w:p>
      <w:pPr>
        <w:pStyle w:val="Normal"/>
        <w:spacing w:lineRule="exact" w:line="19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66"/>
        <w:ind w:hanging="719" w:start="647" w:end="0"/>
        <w:jc w:val="both"/>
        <w:rPr/>
      </w:pPr>
      <w:r>
        <w:rPr>
          <w:rFonts w:eastAsia="Times New Roman" w:cs="Times New Roman" w:ascii="Times New Roman" w:hAnsi="Times New Roman"/>
          <w:strike/>
          <w:sz w:val="21"/>
        </w:rPr>
        <w:t>Pujol, I. M. (2008). The influence of age on vo-</w:t>
      </w:r>
      <w:r>
        <w:rPr>
          <w:rFonts w:eastAsia="Times New Roman" w:cs="Times New Roman" w:ascii="Times New Roman" w:hAnsi="Times New Roman"/>
          <w:sz w:val="21"/>
        </w:rPr>
        <w:t>cabulary acquisition in English as a for-eign language. Universitat de Barcelona, Spain. Retrieved from http://www.tdx. cat/bitstream/handle/10803/1670/02. I M P _ C H A P T E R _ 2 . p d f ; j s e s s i o n - id=D31B429786E0DB1044F2CAE-1F3835AA1.tdx1?sequence=3</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2">
                <wp:simplePos x="0" y="0"/>
                <wp:positionH relativeFrom="column">
                  <wp:posOffset>-46355</wp:posOffset>
                </wp:positionH>
                <wp:positionV relativeFrom="paragraph">
                  <wp:posOffset>-1354455</wp:posOffset>
                </wp:positionV>
                <wp:extent cx="5714365" cy="0"/>
                <wp:effectExtent l="0" t="9525" r="0" b="9525"/>
                <wp:wrapNone/>
                <wp:docPr id="41" name=""/>
                <a:graphic xmlns:a="http://schemas.openxmlformats.org/drawingml/2006/main">
                  <a:graphicData uri="http://schemas.microsoft.com/office/word/2010/wordprocessingShape">
                    <wps:wsp>
                      <wps:cNvSpPr/>
                      <wps:spPr>
                        <a:xfrm>
                          <a:off x="0" y="0"/>
                          <a:ext cx="5714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5pt,-106.65pt" to="446.25pt,-106.65pt" stroked="t" o:allowincell="f" style="position:absolute">
                <v:stroke color="black" weight="19080" joinstyle="miter" endcap="flat"/>
                <v:fill o:detectmouseclick="t" on="false"/>
                <w10:wrap type="none"/>
              </v:line>
            </w:pict>
          </mc:Fallback>
        </mc:AlternateContent>
      </w:r>
    </w:p>
    <w:p>
      <w:pPr>
        <w:pStyle w:val="Normal"/>
        <w:spacing w:lineRule="exact" w:line="19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719" w:start="647" w:end="0"/>
        <w:jc w:val="both"/>
        <w:rPr/>
      </w:pPr>
      <w:r>
        <w:rPr>
          <w:rFonts w:eastAsia="Times New Roman" w:cs="Times New Roman" w:ascii="Times New Roman" w:hAnsi="Times New Roman"/>
          <w:sz w:val="22"/>
        </w:rPr>
        <w:t>Schelmetic, T. E. (2012). In multilingual call center operations, understanding the lan-guage isn’t enough. TMCnet Contribu-tor. Retrieved from http://www.tmcnet. com/channels/bpa/articles/313772-mul-tilingual-call-center-operations-unders-tanding-language-isnt-enough.htm</w:t>
      </w:r>
    </w:p>
    <w:p>
      <w:pPr>
        <w:pStyle w:val="Normal"/>
        <w:spacing w:lineRule="exact" w:line="2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88"/>
        <w:ind w:hanging="719" w:start="647" w:end="0"/>
        <w:rPr>
          <w:rFonts w:ascii="Times New Roman" w:hAnsi="Times New Roman" w:eastAsia="Times New Roman" w:cs="Times New Roman"/>
        </w:rPr>
      </w:pPr>
      <w:r>
        <w:rPr>
          <w:rFonts w:eastAsia="Times New Roman" w:cs="Times New Roman" w:ascii="Times New Roman" w:hAnsi="Times New Roman"/>
        </w:rPr>
        <w:t>Smith, G. (2013) Are call centres part of your brand-ing strategy? Retrieved from http://www. mycustomer.com/feature/experience/ call-centre-trainingdon%E2 %80%99t-put-your-brand-hold/165064</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start="647" w:end="0"/>
        <w:jc w:val="both"/>
        <w:rPr>
          <w:rFonts w:ascii="Times New Roman" w:hAnsi="Times New Roman" w:eastAsia="Times New Roman" w:cs="Times New Roman"/>
          <w:sz w:val="22"/>
        </w:rPr>
      </w:pPr>
      <w:r>
        <w:rPr>
          <w:rFonts w:eastAsia="Times New Roman" w:cs="Times New Roman" w:ascii="Times New Roman" w:hAnsi="Times New Roman"/>
          <w:sz w:val="22"/>
        </w:rPr>
        <w:t>Sta. Ana, M. (2014). How does positive script-ing preserves working relationships and discourages conflicts. Retrieved from http:myronstaana.wordpress.com/tag/ positivescripting</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1"/>
        <w:ind w:hanging="719" w:start="647" w:end="0"/>
        <w:jc w:val="both"/>
        <w:rPr/>
      </w:pPr>
      <w:r>
        <w:rPr>
          <w:rFonts w:eastAsia="Times New Roman" w:cs="Times New Roman" w:ascii="Times New Roman" w:hAnsi="Times New Roman"/>
          <w:sz w:val="21"/>
        </w:rPr>
        <w:t>Sternberg, R. J. (1987). Most vocabulary is learned from context. In M. G. McKeown &amp; M. E. Curtis (Eds.). The nature of vocabulary acquisition, 89-105. Hillsdale, NJ: Law-rence Erlbaum Associates.</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ind w:hanging="719" w:start="647" w:end="0"/>
        <w:jc w:val="both"/>
        <w:rPr>
          <w:rFonts w:ascii="Times New Roman" w:hAnsi="Times New Roman" w:eastAsia="Times New Roman" w:cs="Times New Roman"/>
          <w:sz w:val="22"/>
        </w:rPr>
      </w:pPr>
      <w:r>
        <w:rPr>
          <w:rFonts w:eastAsia="Times New Roman" w:cs="Times New Roman" w:ascii="Times New Roman" w:hAnsi="Times New Roman"/>
          <w:sz w:val="22"/>
        </w:rPr>
        <w:t>The Manila Times. (2013, Oct 26). Philippines: The new call center capital of the world. Retrieved from http://www.manilatimes. net/philippines-the-new-call-center-capi-tal-of-the-world/47984/</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3">
                <wp:simplePos x="0" y="0"/>
                <wp:positionH relativeFrom="column">
                  <wp:posOffset>-46355</wp:posOffset>
                </wp:positionH>
                <wp:positionV relativeFrom="paragraph">
                  <wp:posOffset>1323340</wp:posOffset>
                </wp:positionV>
                <wp:extent cx="5714365" cy="0"/>
                <wp:effectExtent l="0" t="9525" r="0" b="9525"/>
                <wp:wrapNone/>
                <wp:docPr id="42" name=""/>
                <a:graphic xmlns:a="http://schemas.openxmlformats.org/drawingml/2006/main">
                  <a:graphicData uri="http://schemas.microsoft.com/office/word/2010/wordprocessingShape">
                    <wps:wsp>
                      <wps:cNvSpPr/>
                      <wps:spPr>
                        <a:xfrm>
                          <a:off x="0" y="0"/>
                          <a:ext cx="5714280" cy="0"/>
                        </a:xfrm>
                        <a:prstGeom prst="line">
                          <a:avLst/>
                        </a:prstGeom>
                        <a:ln w="19080">
                          <a:solidFill>
                            <a:srgbClr val="000000"/>
                          </a:solidFill>
                          <a:miter/>
                        </a:ln>
                      </wps:spPr>
                      <wps:style>
                        <a:lnRef idx="0"/>
                        <a:fillRef idx="0"/>
                        <a:effectRef idx="0"/>
                        <a:fontRef idx="minor"/>
                      </wps:style>
                      <wps:bodyPr/>
                    </wps:wsp>
                  </a:graphicData>
                </a:graphic>
              </wp:anchor>
            </w:drawing>
          </mc:Choice>
          <mc:Fallback>
            <w:pict>
              <v:line id="shape_0" from="-3.65pt,104.2pt" to="446.25pt,104.2pt" stroked="t" o:allowincell="f" style="position:absolute">
                <v:stroke color="black" weight="19080" joinstyle="miter" endcap="flat"/>
                <v:fill o:detectmouseclick="t" on="false"/>
                <w10:wrap type="none"/>
              </v:line>
            </w:pict>
          </mc:Fallback>
        </mc:AlternateContent>
      </w:r>
    </w:p>
    <w:p>
      <w:pPr>
        <w:pStyle w:val="Normal"/>
        <w:spacing w:lineRule="exact" w:line="1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9"/>
        <w:jc w:val="end"/>
        <w:rPr/>
      </w:pPr>
      <w:r>
        <w:rPr>
          <w:rFonts w:eastAsia="Times New Roman" w:cs="Times New Roman" w:ascii="Times New Roman" w:hAnsi="Times New Roman"/>
          <w:strike/>
          <w:sz w:val="22"/>
        </w:rPr>
        <w:t xml:space="preserve">Tingyong, Y. (2012). </w:t>
      </w:r>
      <w:r>
        <w:rPr>
          <w:rFonts w:eastAsia="Times New Roman" w:cs="Times New Roman" w:ascii="Times New Roman" w:hAnsi="Times New Roman"/>
          <w:i/>
          <w:strike/>
          <w:sz w:val="22"/>
        </w:rPr>
        <w:t>The research of the use of</w:t>
      </w:r>
      <w:r>
        <w:rPr>
          <w:rFonts w:eastAsia="Times New Roman" w:cs="Times New Roman" w:ascii="Times New Roman" w:hAnsi="Times New Roman"/>
          <w:i/>
          <w:sz w:val="22"/>
        </w:rPr>
        <w:t xml:space="preserve"> business English in the current interna-tionaltrade.</w:t>
      </w:r>
      <w:r>
        <w:rPr>
          <w:rFonts w:eastAsia="Times New Roman" w:cs="Times New Roman" w:ascii="Times New Roman" w:hAnsi="Times New Roman"/>
          <w:sz w:val="22"/>
        </w:rPr>
        <w:t xml:space="preserve"> International Conference on Artificial Intelligence and Soft Comput-ing Lecture    Notes  in  Information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Technology, Vol.2. Sichuan National Uni-</w:t>
      </w:r>
    </w:p>
    <w:p>
      <w:pPr>
        <w:pStyle w:val="Normal"/>
        <w:spacing w:lineRule="exact" w:line="2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860" w:leader="none"/>
        </w:tabs>
        <w:spacing w:lineRule="atLeast" w:line="0"/>
        <w:ind w:start="720" w:end="0"/>
        <w:rPr/>
      </w:pPr>
      <w:r>
        <w:rPr>
          <w:rFonts w:eastAsia="Times New Roman" w:cs="Times New Roman" w:ascii="Times New Roman" w:hAnsi="Times New Roman"/>
          <w:sz w:val="22"/>
        </w:rPr>
        <w:t>versity Science Park</w:t>
      </w:r>
      <w:r>
        <w:rPr>
          <w:rFonts w:eastAsia="Times New Roman" w:cs="Times New Roman" w:ascii="Times New Roman" w:hAnsi="Times New Roman"/>
        </w:rPr>
        <w:tab/>
      </w:r>
      <w:r>
        <w:rPr>
          <w:rFonts w:eastAsia="Times New Roman" w:cs="Times New Roman" w:ascii="Times New Roman" w:hAnsi="Times New Roman"/>
          <w:sz w:val="22"/>
        </w:rPr>
        <w:t>Training Center,</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720" w:end="0"/>
        <w:rPr>
          <w:rFonts w:ascii="Times New Roman" w:hAnsi="Times New Roman" w:eastAsia="Times New Roman" w:cs="Times New Roman"/>
          <w:sz w:val="22"/>
        </w:rPr>
      </w:pPr>
      <w:r>
        <w:rPr>
          <w:rFonts w:eastAsia="Times New Roman" w:cs="Times New Roman" w:ascii="Times New Roman" w:hAnsi="Times New Roman"/>
          <w:sz w:val="22"/>
        </w:rPr>
        <w:t>Chengdu. CN.</w:t>
      </w:r>
    </w:p>
    <w:p>
      <w:pPr>
        <w:pStyle w:val="Normal"/>
        <w:spacing w:lineRule="exact" w:line="24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hanging="719" w:start="720" w:end="0"/>
        <w:jc w:val="both"/>
        <w:rPr/>
      </w:pPr>
      <w:r>
        <w:rPr>
          <w:rFonts w:eastAsia="Times New Roman" w:cs="Times New Roman" w:ascii="Times New Roman" w:hAnsi="Times New Roman"/>
        </w:rPr>
        <w:t>Visconti, K. (2012). Beyond English: The key skills BPO need. Retrieved from http://www.rap-pler.com/business/13699 -what-key-skills-are-needed-to-work-in-bpo</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hanging="719" w:start="720" w:end="0"/>
        <w:jc w:val="both"/>
        <w:rPr/>
      </w:pPr>
      <w:r>
        <w:rPr>
          <w:rFonts w:eastAsia="Times New Roman" w:cs="Times New Roman" w:ascii="Times New Roman" w:hAnsi="Times New Roman"/>
        </w:rPr>
        <w:t>Williams, J. (2006). Combining communication strat-egies and vocabulary development. The Internet TESL Journal. Vol.XII, No. 2 Re-trieved from http://iteslj.org/Techniques/Wil-liams-CommunicationStrategies.html</w:t>
      </w:r>
    </w:p>
    <w:p>
      <w:pPr>
        <w:sectPr>
          <w:type w:val="continuous"/>
          <w:pgSz w:w="10800" w:h="14400"/>
          <w:pgMar w:left="433" w:right="1440" w:gutter="0" w:header="0" w:top="579" w:footer="0" w:bottom="0"/>
          <w:cols w:num="2" w:equalWidth="false" w:sep="false">
            <w:col w:w="4307" w:space="240"/>
            <w:col w:w="43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 w:end="0"/>
        <w:rPr>
          <w:rFonts w:ascii="Times New Roman" w:hAnsi="Times New Roman" w:eastAsia="Times New Roman" w:cs="Times New Roman"/>
          <w:sz w:val="16"/>
        </w:rPr>
      </w:pPr>
      <w:r>
        <w:rPr>
          <w:rFonts w:eastAsia="Times New Roman" w:cs="Times New Roman" w:ascii="Times New Roman" w:hAnsi="Times New Roman"/>
          <w:sz w:val="16"/>
        </w:rPr>
        <w:t>Volume 1 Issue 1 | June 2018</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44">
                <wp:simplePos x="0" y="0"/>
                <wp:positionH relativeFrom="column">
                  <wp:posOffset>-46355</wp:posOffset>
                </wp:positionH>
                <wp:positionV relativeFrom="paragraph">
                  <wp:posOffset>-99695</wp:posOffset>
                </wp:positionV>
                <wp:extent cx="5714365" cy="0"/>
                <wp:effectExtent l="0" t="3175" r="0" b="3175"/>
                <wp:wrapNone/>
                <wp:docPr id="43" name=""/>
                <a:graphic xmlns:a="http://schemas.openxmlformats.org/drawingml/2006/main">
                  <a:graphicData uri="http://schemas.microsoft.com/office/word/2010/wordprocessingShape">
                    <wps:wsp>
                      <wps:cNvSpPr/>
                      <wps:spPr>
                        <a:xfrm>
                          <a:off x="0" y="0"/>
                          <a:ext cx="571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5pt,-7.85pt" to="446.25pt,-7.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-46355</wp:posOffset>
                </wp:positionH>
                <wp:positionV relativeFrom="paragraph">
                  <wp:posOffset>3175</wp:posOffset>
                </wp:positionV>
                <wp:extent cx="5714365" cy="0"/>
                <wp:effectExtent l="0" t="3175" r="0" b="3175"/>
                <wp:wrapNone/>
                <wp:docPr id="44" name=""/>
                <a:graphic xmlns:a="http://schemas.openxmlformats.org/drawingml/2006/main">
                  <a:graphicData uri="http://schemas.microsoft.com/office/word/2010/wordprocessingShape">
                    <wps:wsp>
                      <wps:cNvSpPr/>
                      <wps:spPr>
                        <a:xfrm>
                          <a:off x="0" y="0"/>
                          <a:ext cx="5714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5pt,0.25pt" to="446.25pt,0.25pt" stroked="t" o:allowincell="f" style="position:absolute">
                <v:stroke color="black" weight="6480" joinstyle="miter" endcap="flat"/>
                <v:fill o:detectmouseclick="t" on="false"/>
                <w10:wrap type="none"/>
              </v:line>
            </w:pict>
          </mc:Fallback>
        </mc:AlternateContent>
      </w:r>
    </w:p>
    <w:sectPr>
      <w:type w:val="continuous"/>
      <w:pgSz w:w="10800" w:h="14400"/>
      <w:pgMar w:left="433" w:right="1440" w:gutter="0" w:header="0" w:top="579"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22"/>
      <w:numFmt w:val="decimal"/>
      <w:lvlText w:val="%1"/>
      <w:lvlJc w:val="start"/>
      <w:pPr>
        <w:tabs>
          <w:tab w:val="num" w:pos="0"/>
        </w:tabs>
        <w:ind w:start="0" w:hanging="0"/>
      </w:pPr>
    </w:lvl>
  </w:abstractNum>
  <w:abstractNum w:abstractNumId="3">
    <w:lvl w:ilvl="0">
      <w:start w:val="24"/>
      <w:numFmt w:val="decimal"/>
      <w:lvlText w:val="%1"/>
      <w:lvlJc w:val="start"/>
      <w:pPr>
        <w:tabs>
          <w:tab w:val="num" w:pos="0"/>
        </w:tabs>
        <w:ind w:start="0" w:hanging="0"/>
      </w:pPr>
    </w:lvl>
  </w:abstractNum>
  <w:abstractNum w:abstractNumId="4">
    <w:lvl w:ilvl="0">
      <w:start w:val="26"/>
      <w:numFmt w:val="decimal"/>
      <w:lvlText w:val="%1"/>
      <w:lvlJc w:val="start"/>
      <w:pPr>
        <w:tabs>
          <w:tab w:val="num" w:pos="0"/>
        </w:tabs>
        <w:ind w:start="0" w:hanging="0"/>
      </w:pPr>
    </w:lvl>
  </w:abstractNum>
  <w:abstractNum w:abstractNumId="5">
    <w:lvl w:ilvl="0">
      <w:start w:val="28"/>
      <w:numFmt w:val="decimal"/>
      <w:lvlText w:val="%1"/>
      <w:lvlJc w:val="start"/>
      <w:pPr>
        <w:tabs>
          <w:tab w:val="num" w:pos="0"/>
        </w:tabs>
        <w:ind w:start="0" w:hanging="0"/>
      </w:pPr>
    </w:lvl>
  </w:abstractNum>
  <w:abstractNum w:abstractNumId="6">
    <w:lvl w:ilvl="0">
      <w:start w:val="30"/>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Pages>
  <Words>6032</Words>
  <Characters>34281</Characters>
  <CharactersWithSpaces>40006</CharactersWithSpaces>
  <Paragraphs>302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