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800" w:type="dxa"/>
        <w:jc w:val="start"/>
        <w:tblInd w:w="0" w:type="dxa"/>
        <w:tblLayout w:type="fixed"/>
        <w:tblCellMar>
          <w:top w:w="0" w:type="dxa"/>
          <w:start w:w="0" w:type="dxa"/>
          <w:bottom w:w="0" w:type="dxa"/>
          <w:end w:w="0" w:type="dxa"/>
        </w:tblCellMar>
      </w:tblPr>
      <w:tblGrid>
        <w:gridCol w:w="540"/>
        <w:gridCol w:w="180"/>
        <w:gridCol w:w="1300"/>
        <w:gridCol w:w="520"/>
        <w:gridCol w:w="60"/>
        <w:gridCol w:w="880"/>
        <w:gridCol w:w="1920"/>
        <w:gridCol w:w="1080"/>
        <w:gridCol w:w="1120"/>
        <w:gridCol w:w="280"/>
        <w:gridCol w:w="1520"/>
        <w:gridCol w:w="1020"/>
        <w:gridCol w:w="380"/>
      </w:tblGrid>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bookmarkStart w:id="0" w:name="page1"/>
            <w:bookmarkStart w:id="1" w:name="page1"/>
            <w:bookmarkEnd w:id="1"/>
          </w:p>
        </w:tc>
        <w:tc>
          <w:tcPr>
            <w:tcW w:w="4860" w:type="dxa"/>
            <w:gridSpan w:val="6"/>
            <w:tcBorders/>
          </w:tcPr>
          <w:p>
            <w:pPr>
              <w:pStyle w:val="Normal"/>
              <w:spacing w:lineRule="atLeast" w:line="0"/>
              <w:ind w:start="100" w:end="0"/>
              <w:rPr>
                <w:rFonts w:ascii="Times New Roman" w:hAnsi="Times New Roman" w:eastAsia="Times New Roman" w:cs="Times New Roman"/>
                <w:b/>
                <w:sz w:val="16"/>
              </w:rPr>
            </w:pPr>
            <w:r>
              <w:rPr>
                <w:rFonts w:eastAsia="Times New Roman" w:cs="Times New Roman" w:ascii="Times New Roman" w:hAnsi="Times New Roman"/>
                <w:b/>
                <w:sz w:val="16"/>
              </w:rPr>
              <w:t>CORPORATE BOND SETTLEMENT AGREEMENT</w:t>
            </w:r>
          </w:p>
        </w:tc>
        <w:tc>
          <w:tcPr>
            <w:tcW w:w="1080" w:type="dxa"/>
            <w:tcBorders/>
          </w:tcPr>
          <w:p>
            <w:pPr>
              <w:pStyle w:val="Normal"/>
              <w:spacing w:lineRule="atLeast" w:line="0"/>
              <w:ind w:end="520"/>
              <w:jc w:val="end"/>
              <w:rPr>
                <w:rFonts w:ascii="Times New Roman" w:hAnsi="Times New Roman" w:eastAsia="Times New Roman" w:cs="Times New Roman"/>
                <w:sz w:val="16"/>
              </w:rPr>
            </w:pPr>
            <w:r>
              <w:rPr>
                <w:rFonts w:eastAsia="Times New Roman" w:cs="Times New Roman" w:ascii="Times New Roman" w:hAnsi="Times New Roman"/>
                <w:sz w:val="16"/>
              </w:rPr>
              <w:t>5.</w:t>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RIGHTS OF THE PARTICIPANT AS A BUYER / SELLER</w:t>
            </w:r>
          </w:p>
        </w:tc>
      </w:tr>
      <w:tr>
        <w:trPr>
          <w:trHeight w:val="23" w:hRule="atLeast"/>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1" w:hRule="atLeast"/>
        </w:trPr>
        <w:tc>
          <w:tcPr>
            <w:tcW w:w="5400" w:type="dxa"/>
            <w:gridSpan w:val="7"/>
            <w:vMerge w:val="restart"/>
            <w:tcBorders/>
          </w:tcPr>
          <w:p>
            <w:pPr>
              <w:pStyle w:val="Normal"/>
              <w:spacing w:lineRule="atLeast" w:line="0"/>
              <w:rPr/>
            </w:pPr>
            <w:r>
              <w:rPr>
                <w:rFonts w:eastAsia="Times New Roman" w:cs="Times New Roman" w:ascii="Times New Roman" w:hAnsi="Times New Roman"/>
                <w:b/>
                <w:sz w:val="16"/>
              </w:rPr>
              <w:t>THIS AGREEMENT</w:t>
            </w:r>
            <w:r>
              <w:rPr>
                <w:rFonts w:eastAsia="Times New Roman" w:cs="Times New Roman" w:ascii="Times New Roman" w:hAnsi="Times New Roman"/>
                <w:sz w:val="16"/>
              </w:rPr>
              <w:t xml:space="preserve"> is entered into on this ____ day of ___________ Two</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2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Where the seller deposits the securities, the buyer has right to</w:t>
            </w:r>
          </w:p>
        </w:tc>
      </w:tr>
      <w:tr>
        <w:trPr>
          <w:trHeight w:val="184" w:hRule="atLeast"/>
        </w:trPr>
        <w:tc>
          <w:tcPr>
            <w:tcW w:w="540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receive the securities, provided the buyer has deposited the funds</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Thousand and ______ at Mumbai between National Securities Clearing</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in the NSCCL designated bank account</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Corporation Limited, a company incorporated under the Companies Act, 1956</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5400" w:type="dxa"/>
            <w:gridSpan w:val="7"/>
            <w:tcBorders/>
          </w:tcPr>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t>and having its registered office at Exchange Plaza, Bandra Kurla Complex,</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t>Where the buyer deposits the funds, the seller has a right to receive</w:t>
            </w:r>
          </w:p>
        </w:tc>
      </w:tr>
      <w:tr>
        <w:trPr>
          <w:trHeight w:val="184" w:hRule="atLeast"/>
        </w:trPr>
        <w:tc>
          <w:tcPr>
            <w:tcW w:w="5400" w:type="dxa"/>
            <w:gridSpan w:val="7"/>
            <w:tcBorders/>
          </w:tcPr>
          <w:p>
            <w:pPr>
              <w:pStyle w:val="Normal"/>
              <w:spacing w:lineRule="atLeast" w:line="0"/>
              <w:rPr/>
            </w:pPr>
            <w:r>
              <w:rPr>
                <w:rFonts w:eastAsia="Times New Roman" w:cs="Times New Roman" w:ascii="Times New Roman" w:hAnsi="Times New Roman"/>
                <w:sz w:val="16"/>
              </w:rPr>
              <w:t xml:space="preserve">Bandra (East), Mumbai 400 051, (hereinafter referred to as </w:t>
            </w:r>
            <w:r>
              <w:rPr>
                <w:rFonts w:eastAsia="Times New Roman" w:cs="Times New Roman" w:ascii="Times New Roman" w:hAnsi="Times New Roman"/>
                <w:b/>
                <w:sz w:val="16"/>
              </w:rPr>
              <w:t>“NSCCL”</w:t>
            </w:r>
            <w:r>
              <w:rPr>
                <w:rFonts w:eastAsia="Times New Roman" w:cs="Times New Roman" w:ascii="Times New Roman" w:hAnsi="Times New Roman"/>
                <w:sz w:val="16"/>
              </w:rPr>
              <w:t>) of the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the funds if the seller has deposited the securities in the NSCCL</w:t>
            </w:r>
          </w:p>
        </w:tc>
      </w:tr>
      <w:tr>
        <w:trPr>
          <w:trHeight w:val="187" w:hRule="atLeast"/>
        </w:trPr>
        <w:tc>
          <w:tcPr>
            <w:tcW w:w="5400" w:type="dxa"/>
            <w:gridSpan w:val="7"/>
            <w:tcBorders/>
          </w:tcPr>
          <w:p>
            <w:pPr>
              <w:pStyle w:val="Normal"/>
              <w:spacing w:lineRule="atLeast" w:line="0"/>
              <w:rPr/>
            </w:pPr>
            <w:r>
              <w:rPr>
                <w:rFonts w:eastAsia="Times New Roman" w:cs="Times New Roman" w:ascii="Times New Roman" w:hAnsi="Times New Roman"/>
                <w:b/>
                <w:sz w:val="16"/>
              </w:rPr>
              <w:t>One Part</w:t>
            </w:r>
            <w:r>
              <w:rPr>
                <w:rFonts w:eastAsia="Times New Roman" w:cs="Times New Roman" w:ascii="Times New Roman" w:hAnsi="Times New Roman"/>
                <w:sz w:val="16"/>
              </w:rPr>
              <w:t xml:space="preserve"> and ……….., _________________________________, a company</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designated depository account.</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incorporated under the Companies Act, 1956, having his /her / its office /</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5400" w:type="dxa"/>
            <w:gridSpan w:val="7"/>
            <w:tcBorders/>
          </w:tcPr>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t>registered office at _______________________________________________,</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81"/>
              <w:rPr>
                <w:rFonts w:ascii="Times New Roman" w:hAnsi="Times New Roman" w:eastAsia="Times New Roman" w:cs="Times New Roman"/>
                <w:w w:val="99"/>
                <w:sz w:val="16"/>
              </w:rPr>
            </w:pPr>
            <w:r>
              <w:rPr>
                <w:rFonts w:eastAsia="Times New Roman" w:cs="Times New Roman" w:ascii="Times New Roman" w:hAnsi="Times New Roman"/>
                <w:w w:val="99"/>
                <w:sz w:val="16"/>
              </w:rPr>
              <w:t>If the seller fails to deposit the requisite securities or the buyer fails</w:t>
            </w:r>
          </w:p>
        </w:tc>
      </w:tr>
      <w:tr>
        <w:trPr>
          <w:trHeight w:val="187" w:hRule="atLeast"/>
        </w:trPr>
        <w:tc>
          <w:tcPr>
            <w:tcW w:w="5400" w:type="dxa"/>
            <w:gridSpan w:val="7"/>
            <w:tcBorders/>
          </w:tcPr>
          <w:p>
            <w:pPr>
              <w:pStyle w:val="Normal"/>
              <w:spacing w:lineRule="atLeast" w:line="0"/>
              <w:rPr/>
            </w:pPr>
            <w:r>
              <w:rPr>
                <w:rFonts w:eastAsia="Times New Roman" w:cs="Times New Roman" w:ascii="Times New Roman" w:hAnsi="Times New Roman"/>
                <w:sz w:val="16"/>
              </w:rPr>
              <w:t xml:space="preserve">hereinafter referred to as </w:t>
            </w:r>
            <w:r>
              <w:rPr>
                <w:rFonts w:eastAsia="Times New Roman" w:cs="Times New Roman" w:ascii="Times New Roman" w:hAnsi="Times New Roman"/>
                <w:b/>
                <w:sz w:val="16"/>
              </w:rPr>
              <w:t>“Participant”</w:t>
            </w:r>
            <w:r>
              <w:rPr>
                <w:rFonts w:eastAsia="Times New Roman" w:cs="Times New Roman" w:ascii="Times New Roman" w:hAnsi="Times New Roman"/>
                <w:sz w:val="16"/>
              </w:rPr>
              <w:t xml:space="preserve"> (which expression shall, unless</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to deposit the required funds within the stipulated time, then the</w:t>
            </w:r>
          </w:p>
        </w:tc>
      </w:tr>
      <w:tr>
        <w:trPr>
          <w:trHeight w:val="182" w:hRule="atLeast"/>
        </w:trPr>
        <w:tc>
          <w:tcPr>
            <w:tcW w:w="5400" w:type="dxa"/>
            <w:gridSpan w:val="7"/>
            <w:tcBorders/>
          </w:tcPr>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t>repugnant to the context or meaning thereof, be deemed to mean and include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81"/>
              <w:rPr>
                <w:rFonts w:ascii="Times New Roman" w:hAnsi="Times New Roman" w:eastAsia="Times New Roman" w:cs="Times New Roman"/>
                <w:w w:val="99"/>
                <w:sz w:val="16"/>
              </w:rPr>
            </w:pPr>
            <w:r>
              <w:rPr>
                <w:rFonts w:eastAsia="Times New Roman" w:cs="Times New Roman" w:ascii="Times New Roman" w:hAnsi="Times New Roman"/>
                <w:w w:val="99"/>
                <w:sz w:val="16"/>
              </w:rPr>
              <w:t>buyer or the seller shall have the right to receive the return of funds</w:t>
            </w:r>
          </w:p>
        </w:tc>
      </w:tr>
      <w:tr>
        <w:trPr>
          <w:trHeight w:val="210" w:hRule="atLeast"/>
        </w:trPr>
        <w:tc>
          <w:tcPr>
            <w:tcW w:w="5400" w:type="dxa"/>
            <w:gridSpan w:val="7"/>
            <w:tcBorders/>
          </w:tcPr>
          <w:p>
            <w:pPr>
              <w:pStyle w:val="Normal"/>
              <w:spacing w:lineRule="atLeast" w:line="0"/>
              <w:rPr/>
            </w:pPr>
            <w:r>
              <w:rPr>
                <w:rFonts w:eastAsia="Times New Roman" w:cs="Times New Roman" w:ascii="Times New Roman" w:hAnsi="Times New Roman"/>
                <w:sz w:val="16"/>
              </w:rPr>
              <w:t xml:space="preserve">its successors and legal representatives, of the </w:t>
            </w:r>
            <w:r>
              <w:rPr>
                <w:rFonts w:eastAsia="Times New Roman" w:cs="Times New Roman" w:ascii="Times New Roman" w:hAnsi="Times New Roman"/>
                <w:b/>
                <w:sz w:val="16"/>
              </w:rPr>
              <w:t>Other Part</w:t>
            </w:r>
            <w:r>
              <w:rPr>
                <w:rFonts w:eastAsia="Times New Roman" w:cs="Times New Roman" w:ascii="Times New Roman" w:hAnsi="Times New Roman"/>
                <w:sz w:val="16"/>
              </w:rPr>
              <w:t>.</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or securities deposited as the case may be.</w:t>
            </w:r>
          </w:p>
        </w:tc>
      </w:tr>
      <w:tr>
        <w:trPr>
          <w:trHeight w:val="336" w:hRule="atLeast"/>
        </w:trPr>
        <w:tc>
          <w:tcPr>
            <w:tcW w:w="5400" w:type="dxa"/>
            <w:gridSpan w:val="7"/>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WHEREAS:</w:t>
            </w:r>
          </w:p>
        </w:tc>
        <w:tc>
          <w:tcPr>
            <w:tcW w:w="1080" w:type="dxa"/>
            <w:tcBorders/>
          </w:tcPr>
          <w:p>
            <w:pPr>
              <w:pStyle w:val="Normal"/>
              <w:spacing w:lineRule="atLeast" w:line="0"/>
              <w:ind w:end="520"/>
              <w:jc w:val="end"/>
              <w:rPr>
                <w:rFonts w:ascii="Times New Roman" w:hAnsi="Times New Roman" w:eastAsia="Times New Roman" w:cs="Times New Roman"/>
                <w:sz w:val="16"/>
              </w:rPr>
            </w:pPr>
            <w:r>
              <w:rPr>
                <w:rFonts w:eastAsia="Times New Roman" w:cs="Times New Roman" w:ascii="Times New Roman" w:hAnsi="Times New Roman"/>
                <w:sz w:val="16"/>
              </w:rPr>
              <w:t>6.</w:t>
            </w:r>
          </w:p>
        </w:tc>
        <w:tc>
          <w:tcPr>
            <w:tcW w:w="1120" w:type="dxa"/>
            <w:tcBorders>
              <w:bottom w:val="single" w:sz="8" w:space="0" w:color="000000"/>
            </w:tcBorders>
          </w:tcPr>
          <w:p>
            <w:pPr>
              <w:pStyle w:val="Normal"/>
              <w:spacing w:lineRule="atLeast" w:line="0"/>
              <w:rPr>
                <w:rFonts w:ascii="Times New Roman" w:hAnsi="Times New Roman" w:eastAsia="Times New Roman" w:cs="Times New Roman"/>
                <w:w w:val="98"/>
                <w:sz w:val="16"/>
              </w:rPr>
            </w:pPr>
            <w:r>
              <w:rPr>
                <w:rFonts w:eastAsia="Times New Roman" w:cs="Times New Roman" w:ascii="Times New Roman" w:hAnsi="Times New Roman"/>
                <w:w w:val="98"/>
                <w:sz w:val="16"/>
              </w:rPr>
              <w:t>TERMINATION</w:t>
            </w:r>
          </w:p>
        </w:tc>
        <w:tc>
          <w:tcPr>
            <w:tcW w:w="3200" w:type="dxa"/>
            <w:gridSpan w:val="4"/>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r>
      <w:tr>
        <w:trPr>
          <w:trHeight w:val="171" w:hRule="atLeast"/>
        </w:trPr>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2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This Agreement shall commence on the date set forth above. This</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NSCCL, a 100 % subsidiary of NSEIL, has decided to provide settlement</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Agreement may at any time during its Term, be terminated by</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services for transactions executed in Corporate Bond and Participants desired</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either party by a written 60 days notice to the other party without</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to enter into an agreement with NSCCL stipulating the terms and conditions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prejudice to the rights, liabilities, interests and obligations that</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subject to which NSCCL shall settle such transactions.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have accrued to the parties prior to the date of such termination and</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shall be without prejudice to any other rights or remedies the</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The Participant is engaged in the business of providing custodial services to</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terminating party may have under this Agreement or at law or in</w:t>
            </w:r>
          </w:p>
        </w:tc>
      </w:tr>
      <w:tr>
        <w:trPr>
          <w:trHeight w:val="184"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its various clients and is desirous of settling the deals on behalf of such</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equity.</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clients.  Based  on  the  agreement  between  Participant  and  clients,  the</w:t>
            </w:r>
          </w:p>
        </w:tc>
        <w:tc>
          <w:tcPr>
            <w:tcW w:w="1080" w:type="dxa"/>
            <w:vMerge w:val="restart"/>
            <w:tcBorders/>
          </w:tcPr>
          <w:p>
            <w:pPr>
              <w:pStyle w:val="Normal"/>
              <w:spacing w:lineRule="atLeast" w:line="0"/>
              <w:ind w:end="520"/>
              <w:jc w:val="end"/>
              <w:rPr>
                <w:rFonts w:ascii="Times New Roman" w:hAnsi="Times New Roman" w:eastAsia="Times New Roman" w:cs="Times New Roman"/>
                <w:sz w:val="16"/>
              </w:rPr>
            </w:pPr>
            <w:r>
              <w:rPr>
                <w:rFonts w:eastAsia="Times New Roman" w:cs="Times New Roman" w:ascii="Times New Roman" w:hAnsi="Times New Roman"/>
                <w:sz w:val="16"/>
              </w:rPr>
              <w:t>7.</w:t>
            </w:r>
          </w:p>
        </w:tc>
        <w:tc>
          <w:tcPr>
            <w:tcW w:w="432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REPRESENTATIONS AND WARRANTIES</w:t>
            </w:r>
          </w:p>
        </w:tc>
      </w:tr>
      <w:tr>
        <w:trPr>
          <w:trHeight w:val="177" w:hRule="atLeast"/>
        </w:trPr>
        <w:tc>
          <w:tcPr>
            <w:tcW w:w="5400" w:type="dxa"/>
            <w:gridSpan w:val="7"/>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Participant has represented that it is authorised to make and receive payment</w:t>
            </w:r>
          </w:p>
        </w:tc>
        <w:tc>
          <w:tcPr>
            <w:tcW w:w="10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 w:hRule="atLeast"/>
        </w:trPr>
        <w:tc>
          <w:tcPr>
            <w:tcW w:w="5400" w:type="dxa"/>
            <w:gridSpan w:val="7"/>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for deals in corporate bonds and also to deliver and receive securities on</w:t>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0" w:hRule="atLeast"/>
        </w:trPr>
        <w:tc>
          <w:tcPr>
            <w:tcW w:w="540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20" w:type="dxa"/>
            <w:gridSpan w:val="5"/>
            <w:tcBorders/>
          </w:tcPr>
          <w:p>
            <w:pPr>
              <w:pStyle w:val="Normal"/>
              <w:spacing w:lineRule="exact" w:line="171"/>
              <w:rPr>
                <w:rFonts w:ascii="Times New Roman" w:hAnsi="Times New Roman" w:eastAsia="Times New Roman" w:cs="Times New Roman"/>
                <w:w w:val="98"/>
                <w:sz w:val="16"/>
              </w:rPr>
            </w:pPr>
            <w:r>
              <w:rPr>
                <w:rFonts w:eastAsia="Times New Roman" w:cs="Times New Roman" w:ascii="Times New Roman" w:hAnsi="Times New Roman"/>
                <w:w w:val="98"/>
                <w:sz w:val="16"/>
              </w:rPr>
              <w:t>NSCCL represents and warrants that it will provide the said services</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behalf of such clients.</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t>only if both the parties perform their obligations for each transaction</w:t>
            </w:r>
          </w:p>
        </w:tc>
      </w:tr>
      <w:tr>
        <w:trPr>
          <w:trHeight w:val="208" w:hRule="atLeast"/>
        </w:trPr>
        <w:tc>
          <w:tcPr>
            <w:tcW w:w="5400" w:type="dxa"/>
            <w:gridSpan w:val="7"/>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The Participant is desirous of utilizing the services of NSCCL and NSCCL</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executed.</w:t>
            </w:r>
          </w:p>
        </w:tc>
      </w:tr>
      <w:tr>
        <w:trPr>
          <w:trHeight w:val="159" w:hRule="atLeast"/>
        </w:trPr>
        <w:tc>
          <w:tcPr>
            <w:tcW w:w="540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32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NSCCL does not guarantee performance of the transactions settled</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has agreed to offer its services subject to the terms and conditions contained</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54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herein.</w:t>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8"/>
                <w:sz w:val="16"/>
              </w:rPr>
            </w:pPr>
            <w:r>
              <w:rPr>
                <w:rFonts w:eastAsia="Times New Roman" w:cs="Times New Roman" w:ascii="Times New Roman" w:hAnsi="Times New Roman"/>
                <w:w w:val="98"/>
                <w:sz w:val="16"/>
              </w:rPr>
              <w:t>by it. Performance of the transactions shall be the sole responsibility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8"/>
                <w:sz w:val="15"/>
              </w:rPr>
            </w:pPr>
            <w:r>
              <w:rPr>
                <w:rFonts w:eastAsia="Times New Roman" w:cs="Times New Roman" w:ascii="Times New Roman" w:hAnsi="Times New Roman"/>
                <w:w w:val="98"/>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of the respective parties and NSCCL is not a counter party to any</w:t>
            </w:r>
          </w:p>
        </w:tc>
      </w:tr>
      <w:tr>
        <w:trPr>
          <w:trHeight w:val="185"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Now this Agreement witnesseth and it is hereby agreed by and between the</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transaction settled by it.</w:t>
            </w:r>
          </w:p>
        </w:tc>
      </w:tr>
      <w:tr>
        <w:trPr>
          <w:trHeight w:val="208" w:hRule="atLeast"/>
        </w:trPr>
        <w:tc>
          <w:tcPr>
            <w:tcW w:w="5400" w:type="dxa"/>
            <w:gridSpan w:val="7"/>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parties as follows:</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vMerge w:val="restart"/>
            <w:tcBorders/>
          </w:tcPr>
          <w:p>
            <w:pPr>
              <w:pStyle w:val="Normal"/>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t>NSCCL shall hold the securities or funds deposited by the Participant</w:t>
            </w:r>
          </w:p>
        </w:tc>
      </w:tr>
      <w:tr>
        <w:trPr>
          <w:trHeight w:val="159" w:hRule="atLeast"/>
        </w:trPr>
        <w:tc>
          <w:tcPr>
            <w:tcW w:w="540" w:type="dxa"/>
            <w:tcBorders/>
          </w:tcPr>
          <w:p>
            <w:pPr>
              <w:pStyle w:val="Normal"/>
              <w:snapToGrid w:val="false"/>
              <w:spacing w:lineRule="atLeast" w:line="0"/>
              <w:rPr>
                <w:rFonts w:ascii="Times New Roman" w:hAnsi="Times New Roman" w:eastAsia="Times New Roman" w:cs="Times New Roman"/>
                <w:w w:val="96"/>
                <w:sz w:val="13"/>
              </w:rPr>
            </w:pPr>
            <w:r>
              <w:rPr>
                <w:rFonts w:eastAsia="Times New Roman" w:cs="Times New Roman" w:ascii="Times New Roman" w:hAnsi="Times New Roman"/>
                <w:w w:val="96"/>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320" w:type="dxa"/>
            <w:gridSpan w:val="5"/>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7" w:hRule="atLeast"/>
        </w:trPr>
        <w:tc>
          <w:tcPr>
            <w:tcW w:w="540" w:type="dxa"/>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1.</w:t>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SETTLEMENT SERVICES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as a trustee.</w:t>
            </w:r>
          </w:p>
        </w:tc>
      </w:tr>
      <w:tr>
        <w:trPr>
          <w:trHeight w:val="23" w:hRule="atLeast"/>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1" w:hRule="atLeast"/>
        </w:trPr>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8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NSCCL agrees to provide the settlement services in the manner as</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pPr>
            <w:r>
              <w:rPr>
                <w:rFonts w:eastAsia="Times New Roman" w:cs="Times New Roman" w:ascii="Times New Roman" w:hAnsi="Times New Roman"/>
                <w:sz w:val="16"/>
              </w:rPr>
              <w:t>set forth in Schedule A (the ‘Services”). Schedule A is attached to</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Except as provided in this Agreement, NSCCL makes no other</w:t>
            </w:r>
          </w:p>
        </w:tc>
      </w:tr>
      <w:tr>
        <w:trPr>
          <w:trHeight w:val="208" w:hRule="atLeast"/>
        </w:trPr>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this Agreement and forms part and parcel of this Agreement.</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representations or warranties, express or implied.</w:t>
            </w:r>
          </w:p>
        </w:tc>
      </w:tr>
      <w:tr>
        <w:trPr>
          <w:trHeight w:val="337" w:hRule="atLeast"/>
        </w:trPr>
        <w:tc>
          <w:tcPr>
            <w:tcW w:w="54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2.</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CONSIDERATION</w:t>
            </w:r>
          </w:p>
        </w:tc>
        <w:tc>
          <w:tcPr>
            <w:tcW w:w="1080" w:type="dxa"/>
            <w:tcBorders/>
          </w:tcPr>
          <w:p>
            <w:pPr>
              <w:pStyle w:val="Normal"/>
              <w:spacing w:lineRule="atLeast" w:line="0"/>
              <w:ind w:end="520"/>
              <w:jc w:val="end"/>
              <w:rPr>
                <w:rFonts w:ascii="Times New Roman" w:hAnsi="Times New Roman" w:eastAsia="Times New Roman" w:cs="Times New Roman"/>
                <w:sz w:val="16"/>
              </w:rPr>
            </w:pPr>
            <w:r>
              <w:rPr>
                <w:rFonts w:eastAsia="Times New Roman" w:cs="Times New Roman" w:ascii="Times New Roman" w:hAnsi="Times New Roman"/>
                <w:sz w:val="16"/>
              </w:rPr>
              <w:t>8.</w:t>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CONFIDENTIALITY</w:t>
            </w:r>
          </w:p>
        </w:tc>
      </w:tr>
      <w:tr>
        <w:trPr>
          <w:trHeight w:val="170" w:hRule="atLeast"/>
        </w:trPr>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00" w:type="dxa"/>
            <w:tcBorders>
              <w:top w:val="single" w:sz="8" w:space="0" w:color="000000"/>
            </w:tcBorders>
          </w:tcPr>
          <w:p>
            <w:pPr>
              <w:pStyle w:val="Normal"/>
              <w:spacing w:lineRule="exact" w:line="171"/>
              <w:rPr>
                <w:rFonts w:ascii="Times New Roman" w:hAnsi="Times New Roman" w:eastAsia="Times New Roman" w:cs="Times New Roman"/>
                <w:w w:val="96"/>
                <w:sz w:val="16"/>
              </w:rPr>
            </w:pPr>
            <w:r>
              <w:rPr>
                <w:rFonts w:eastAsia="Times New Roman" w:cs="Times New Roman" w:ascii="Times New Roman" w:hAnsi="Times New Roman"/>
                <w:w w:val="96"/>
                <w:sz w:val="16"/>
              </w:rPr>
              <w:t>The Participant shall</w:t>
            </w:r>
          </w:p>
        </w:tc>
        <w:tc>
          <w:tcPr>
            <w:tcW w:w="3380" w:type="dxa"/>
            <w:gridSpan w:val="4"/>
            <w:tcBorders/>
          </w:tcPr>
          <w:p>
            <w:pPr>
              <w:pStyle w:val="Normal"/>
              <w:spacing w:lineRule="exact" w:line="171"/>
              <w:ind w:start="80" w:end="0"/>
              <w:rPr>
                <w:rFonts w:ascii="Times New Roman" w:hAnsi="Times New Roman" w:eastAsia="Times New Roman" w:cs="Times New Roman"/>
                <w:sz w:val="16"/>
              </w:rPr>
            </w:pPr>
            <w:r>
              <w:rPr>
                <w:rFonts w:eastAsia="Times New Roman" w:cs="Times New Roman" w:ascii="Times New Roman" w:hAnsi="Times New Roman"/>
                <w:sz w:val="16"/>
              </w:rPr>
              <w:t>pay to the NSCCL such consideration for the</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0" w:type="dxa"/>
            <w:gridSpan w:val="2"/>
            <w:tcBorders>
              <w:top w:val="single" w:sz="8" w:space="0" w:color="000000"/>
            </w:tcBorders>
          </w:tcPr>
          <w:p>
            <w:pPr>
              <w:pStyle w:val="Normal"/>
              <w:spacing w:lineRule="exact" w:line="171"/>
              <w:rPr>
                <w:rFonts w:ascii="Times New Roman" w:hAnsi="Times New Roman" w:eastAsia="Times New Roman" w:cs="Times New Roman"/>
                <w:w w:val="94"/>
                <w:sz w:val="16"/>
              </w:rPr>
            </w:pPr>
            <w:r>
              <w:rPr>
                <w:rFonts w:eastAsia="Times New Roman" w:cs="Times New Roman" w:ascii="Times New Roman" w:hAnsi="Times New Roman"/>
                <w:w w:val="94"/>
                <w:sz w:val="16"/>
              </w:rPr>
              <w:t>NSCCL acknowledges</w:t>
            </w:r>
          </w:p>
        </w:tc>
        <w:tc>
          <w:tcPr>
            <w:tcW w:w="2920" w:type="dxa"/>
            <w:gridSpan w:val="3"/>
            <w:tcBorders/>
          </w:tcPr>
          <w:p>
            <w:pPr>
              <w:pStyle w:val="Normal"/>
              <w:spacing w:lineRule="exact" w:line="171"/>
              <w:ind w:start="80" w:end="0"/>
              <w:rPr>
                <w:rFonts w:ascii="Times New Roman" w:hAnsi="Times New Roman" w:eastAsia="Times New Roman" w:cs="Times New Roman"/>
                <w:w w:val="99"/>
                <w:sz w:val="16"/>
              </w:rPr>
            </w:pPr>
            <w:r>
              <w:rPr>
                <w:rFonts w:eastAsia="Times New Roman" w:cs="Times New Roman" w:ascii="Times New Roman" w:hAnsi="Times New Roman"/>
                <w:w w:val="99"/>
                <w:sz w:val="16"/>
              </w:rPr>
              <w:t>that it or its employees may, in the course of</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services rendered by NSCCL as may be mutually agreed upon</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performing its responsibilities under this Agreement, be exposed to</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between them.</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or acquire information which is confidential to the Participant. Any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and all non-public information of any form obtained by NSCCL or</w:t>
            </w:r>
          </w:p>
        </w:tc>
      </w:tr>
      <w:tr>
        <w:trPr>
          <w:trHeight w:val="177" w:hRule="atLeast"/>
        </w:trPr>
        <w:tc>
          <w:tcPr>
            <w:tcW w:w="540" w:type="dxa"/>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3.</w:t>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80" w:type="dxa"/>
            <w:gridSpan w:val="3"/>
            <w:tcBorders>
              <w:bottom w:val="single" w:sz="8" w:space="0" w:color="000000"/>
            </w:tcBorders>
          </w:tcPr>
          <w:p>
            <w:pPr>
              <w:pStyle w:val="Normal"/>
              <w:spacing w:lineRule="exact" w:line="177"/>
              <w:rPr>
                <w:rFonts w:ascii="Times New Roman" w:hAnsi="Times New Roman" w:eastAsia="Times New Roman" w:cs="Times New Roman"/>
                <w:w w:val="99"/>
                <w:sz w:val="16"/>
              </w:rPr>
            </w:pPr>
            <w:r>
              <w:rPr>
                <w:rFonts w:eastAsia="Times New Roman" w:cs="Times New Roman" w:ascii="Times New Roman" w:hAnsi="Times New Roman"/>
                <w:w w:val="99"/>
                <w:sz w:val="16"/>
              </w:rPr>
              <w:t>OBLIGATIONS OF NSCCL</w:t>
            </w:r>
          </w:p>
        </w:tc>
        <w:tc>
          <w:tcPr>
            <w:tcW w:w="2800" w:type="dxa"/>
            <w:gridSpan w:val="2"/>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77"/>
              <w:rPr>
                <w:rFonts w:ascii="Times New Roman" w:hAnsi="Times New Roman" w:eastAsia="Times New Roman" w:cs="Times New Roman"/>
                <w:w w:val="97"/>
                <w:sz w:val="16"/>
              </w:rPr>
            </w:pPr>
            <w:r>
              <w:rPr>
                <w:rFonts w:eastAsia="Times New Roman" w:cs="Times New Roman" w:ascii="Times New Roman" w:hAnsi="Times New Roman"/>
                <w:w w:val="97"/>
                <w:sz w:val="16"/>
              </w:rPr>
              <w:t>its employees in the performance of this Agreement shall be deemed</w:t>
            </w:r>
          </w:p>
        </w:tc>
      </w:tr>
      <w:tr>
        <w:trPr>
          <w:trHeight w:val="171" w:hRule="atLeast"/>
        </w:trPr>
        <w:tc>
          <w:tcPr>
            <w:tcW w:w="540" w:type="dxa"/>
            <w:tcBorders/>
          </w:tcPr>
          <w:p>
            <w:pPr>
              <w:pStyle w:val="Normal"/>
              <w:snapToGrid w:val="false"/>
              <w:spacing w:lineRule="atLeast" w:line="0"/>
              <w:rPr>
                <w:rFonts w:ascii="Times New Roman" w:hAnsi="Times New Roman" w:eastAsia="Times New Roman" w:cs="Times New Roman"/>
                <w:w w:val="97"/>
                <w:sz w:val="14"/>
              </w:rPr>
            </w:pPr>
            <w:r>
              <w:rPr>
                <w:rFonts w:eastAsia="Times New Roman" w:cs="Times New Roman" w:ascii="Times New Roman" w:hAnsi="Times New Roman"/>
                <w:w w:val="97"/>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8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NSCCL agrees to provide settlement services in the manner as set</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20" w:type="dxa"/>
            <w:gridSpan w:val="5"/>
            <w:tcBorders/>
          </w:tcPr>
          <w:p>
            <w:pPr>
              <w:pStyle w:val="Normal"/>
              <w:spacing w:lineRule="exact" w:line="171"/>
              <w:rPr>
                <w:rFonts w:ascii="Times New Roman" w:hAnsi="Times New Roman" w:eastAsia="Times New Roman" w:cs="Times New Roman"/>
                <w:w w:val="99"/>
                <w:sz w:val="16"/>
              </w:rPr>
            </w:pPr>
            <w:r>
              <w:rPr>
                <w:rFonts w:eastAsia="Times New Roman" w:cs="Times New Roman" w:ascii="Times New Roman" w:hAnsi="Times New Roman"/>
                <w:w w:val="99"/>
                <w:sz w:val="16"/>
              </w:rPr>
              <w:t>to be confidential information of the Participant.  NSCCL agrees to</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forth in Schedule A for corporate bond transactions executed.</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hold such information in strict confidence and will not copy,</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Where  NSCCL  receives  the  funds  and/or  securities  from  a</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t>reproduce, sell, assign, license, market, transfer or otherwise dispose</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of, give or disclose such information to third parties or to use such</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Participant as the case may be, NSCCL agrees to ensure the return</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8"/>
                <w:sz w:val="16"/>
              </w:rPr>
            </w:pPr>
            <w:r>
              <w:rPr>
                <w:rFonts w:eastAsia="Times New Roman" w:cs="Times New Roman" w:ascii="Times New Roman" w:hAnsi="Times New Roman"/>
                <w:w w:val="98"/>
                <w:sz w:val="16"/>
              </w:rPr>
              <w:t>information for any purposes whatsoever other than the provision of</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w w:val="98"/>
                <w:sz w:val="16"/>
              </w:rPr>
            </w:pPr>
            <w:r>
              <w:rPr>
                <w:rFonts w:eastAsia="Times New Roman" w:cs="Times New Roman" w:ascii="Times New Roman" w:hAnsi="Times New Roman"/>
                <w:w w:val="98"/>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of such funds or securities should there be a failure on the part of</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t>services to the Participant or as contemplated by this Agreement and</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the counterparty Participant in meeting its obligations.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will  advise each of its employees who may be exposed to such</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If funds and/or securities as the case may be received from the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confidential information of its obligations to keep such information</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confidential. Confidential information shall not include information</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counterparty Participants, then NSCCL shall ensure that by the end</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which is (i) in or becomes part of the public domain other than by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of  stipulated  hours,  NSCCL  transfers  the  securities  from its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disclosure  by  NSCCL  in  violation  of  this  Agreement,  (ii)</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tcBorders/>
          </w:tcPr>
          <w:p>
            <w:pPr>
              <w:pStyle w:val="Normal"/>
              <w:spacing w:lineRule="atLeast" w:line="0"/>
              <w:rPr/>
            </w:pPr>
            <w:r>
              <w:rPr>
                <w:rFonts w:eastAsia="Times New Roman" w:cs="Times New Roman" w:ascii="Times New Roman" w:hAnsi="Times New Roman"/>
                <w:sz w:val="16"/>
              </w:rPr>
              <w:t>designated depository account to the buying Participant’s account</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demonstrably known to  NSCCL previously, (iii) independently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and transfer funds from its designated bank account to the selling</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developed by NSCCL outside of this Agreement or (iv) rightfully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pPr>
            <w:r>
              <w:rPr>
                <w:rFonts w:eastAsia="Times New Roman" w:cs="Times New Roman" w:ascii="Times New Roman" w:hAnsi="Times New Roman"/>
                <w:sz w:val="16"/>
              </w:rPr>
              <w:t>Participant’s account.</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obtained by NSCCL from third parties. This provision shall survive</w:t>
            </w:r>
          </w:p>
        </w:tc>
      </w:tr>
      <w:tr>
        <w:trPr>
          <w:trHeight w:val="208" w:hRule="atLeast"/>
        </w:trPr>
        <w:tc>
          <w:tcPr>
            <w:tcW w:w="54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8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Provided  that  NSCCL  shall  not  be  responsible  for  any</w:t>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termination or expiration of this Agreement.</w:t>
            </w:r>
          </w:p>
        </w:tc>
      </w:tr>
      <w:tr>
        <w:trPr>
          <w:trHeight w:val="160" w:hRule="atLeast"/>
        </w:trPr>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80" w:type="dxa"/>
            <w:gridSpan w:val="5"/>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losses/consequences arising out of corporate bond transactions or</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Notwithstanding anything to the contrary herein, NSCCL may</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any dispute, difference or claim arising out of settlement services</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disclose confidential information required to be disclosed by it by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provided by NSCCL</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applicable law or regulation, or pursuant to an order of a court or</w:t>
            </w:r>
          </w:p>
        </w:tc>
      </w:tr>
      <w:tr>
        <w:trPr>
          <w:trHeight w:val="184" w:hRule="atLeast"/>
        </w:trPr>
        <w:tc>
          <w:tcPr>
            <w:tcW w:w="540" w:type="dxa"/>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4.</w:t>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60" w:type="dxa"/>
            <w:gridSpan w:val="4"/>
            <w:vMerge w:val="restart"/>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OBLIGATIONS OF THE PARTICIPANT</w:t>
            </w:r>
          </w:p>
        </w:tc>
        <w:tc>
          <w:tcPr>
            <w:tcW w:w="1920" w:type="dxa"/>
            <w:vMerge w:val="restart"/>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regulatory,  self-regulatory  or  legislative  body  of  competent</w:t>
            </w:r>
          </w:p>
        </w:tc>
      </w:tr>
      <w:tr>
        <w:trPr>
          <w:trHeight w:val="182" w:hRule="atLeast"/>
        </w:trPr>
        <w:tc>
          <w:tcPr>
            <w:tcW w:w="5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60" w:type="dxa"/>
            <w:gridSpan w:val="4"/>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t>jurisdiction, or in connection with any regulatory report, audit,</w:t>
            </w:r>
          </w:p>
        </w:tc>
      </w:tr>
      <w:tr>
        <w:trPr>
          <w:trHeight w:val="171" w:hRule="atLeast"/>
        </w:trPr>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8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Participant agrees to abide by the procedures as may be stipulated</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320" w:type="dxa"/>
            <w:gridSpan w:val="5"/>
            <w:tcBorders/>
          </w:tcPr>
          <w:p>
            <w:pPr>
              <w:pStyle w:val="Normal"/>
              <w:spacing w:lineRule="exact" w:line="171"/>
              <w:rPr>
                <w:rFonts w:ascii="Times New Roman" w:hAnsi="Times New Roman" w:eastAsia="Times New Roman" w:cs="Times New Roman"/>
                <w:sz w:val="16"/>
              </w:rPr>
            </w:pPr>
            <w:r>
              <w:rPr>
                <w:rFonts w:eastAsia="Times New Roman" w:cs="Times New Roman" w:ascii="Times New Roman" w:hAnsi="Times New Roman"/>
                <w:sz w:val="16"/>
              </w:rPr>
              <w:t>inquiry or other request for information from a regulatory, self-</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by NSCCL for the purpose of facilitating settlement of corporate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8"/>
                <w:sz w:val="16"/>
              </w:rPr>
            </w:pPr>
            <w:r>
              <w:rPr>
                <w:rFonts w:eastAsia="Times New Roman" w:cs="Times New Roman" w:ascii="Times New Roman" w:hAnsi="Times New Roman"/>
                <w:w w:val="98"/>
                <w:sz w:val="16"/>
              </w:rPr>
              <w:t>regulatory or legislative body of competent jurisdiction. In the event</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8"/>
                <w:sz w:val="15"/>
              </w:rPr>
            </w:pPr>
            <w:r>
              <w:rPr>
                <w:rFonts w:eastAsia="Times New Roman" w:cs="Times New Roman" w:ascii="Times New Roman" w:hAnsi="Times New Roman"/>
                <w:w w:val="98"/>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bond transactions.</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NSCCL receives a request to disclose any confidential information</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Without prejudice to the above, the Participant as a seller or a</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under such order or otherwise, NSCCL will (a) promptly notify the</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Participant; (b) consult with the Participant on the advisability of</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buyer agrees to deposit the securities in the NSCCL designated</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taking steps to resist or narrow such request; and (c) if disclosure is</w:t>
            </w:r>
          </w:p>
        </w:tc>
      </w:tr>
      <w:tr>
        <w:trPr>
          <w:trHeight w:val="185" w:hRule="atLeast"/>
        </w:trPr>
        <w:tc>
          <w:tcPr>
            <w:tcW w:w="540" w:type="dxa"/>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depository account or deposit the funds in the NSCCL designated</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required or deemed advisable, cooperate with the Participant in any</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bank account in order to facilitate delivery of the securities to the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attempt that it may make to obtain an order or other reliable</w:t>
            </w:r>
          </w:p>
        </w:tc>
      </w:tr>
      <w:tr>
        <w:trPr>
          <w:trHeight w:val="184" w:hRule="atLeast"/>
        </w:trPr>
        <w:tc>
          <w:tcPr>
            <w:tcW w:w="5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buyer or funds to the seller as the case may be.</w:t>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20" w:type="dxa"/>
            <w:gridSpan w:val="5"/>
            <w:tcBorders/>
          </w:tcPr>
          <w:p>
            <w:pPr>
              <w:pStyle w:val="Normal"/>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t>assurance that confidential treatment will be accorded to designated</w:t>
            </w:r>
          </w:p>
        </w:tc>
      </w:tr>
      <w:tr>
        <w:trPr>
          <w:trHeight w:val="208" w:hRule="atLeast"/>
        </w:trPr>
        <w:tc>
          <w:tcPr>
            <w:tcW w:w="54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gridSpan w:val="5"/>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portions of the confidential information.</w:t>
            </w:r>
          </w:p>
        </w:tc>
      </w:tr>
    </w:tbl>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Page 1 of 3</w:t>
      </w:r>
    </w:p>
    <w:p>
      <w:pPr>
        <w:sectPr>
          <w:type w:val="nextPage"/>
          <w:pgSz w:w="12240" w:h="15840"/>
          <w:pgMar w:left="720" w:right="720" w:gutter="0" w:header="0" w:top="698" w:footer="0" w:bottom="170"/>
          <w:pgNumType w:fmt="decimal"/>
          <w:formProt w:val="false"/>
          <w:textDirection w:val="lrTb"/>
          <w:docGrid w:type="default" w:linePitch="360" w:charSpace="0"/>
        </w:sectPr>
      </w:pPr>
    </w:p>
    <w:p>
      <w:pPr>
        <w:pStyle w:val="Normal"/>
        <w:spacing w:lineRule="exact" w:line="368"/>
        <w:rPr>
          <w:rFonts w:ascii="Times New Roman" w:hAnsi="Times New Roman" w:eastAsia="Times New Roman" w:cs="Times New Roman"/>
          <w:sz w:val="16"/>
        </w:rPr>
      </w:pPr>
      <w:r>
        <w:rPr>
          <w:rFonts w:eastAsia="Times New Roman" w:cs="Times New Roman" w:ascii="Times New Roman" w:hAnsi="Times New Roman"/>
          <w:sz w:val="16"/>
        </w:rPr>
      </w:r>
      <w:bookmarkStart w:id="2" w:name="page2"/>
      <w:bookmarkStart w:id="3" w:name="page2"/>
      <w:bookmarkEnd w:id="3"/>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NO-LIABILITY</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720" w:end="0"/>
        <w:jc w:val="both"/>
        <w:rPr>
          <w:rFonts w:ascii="Times New Roman" w:hAnsi="Times New Roman" w:eastAsia="Times New Roman" w:cs="Times New Roman"/>
          <w:sz w:val="16"/>
        </w:rPr>
      </w:pPr>
      <w:r>
        <w:rPr>
          <w:rFonts w:eastAsia="Times New Roman" w:cs="Times New Roman" w:ascii="Times New Roman" w:hAnsi="Times New Roman"/>
          <w:sz w:val="16"/>
        </w:rPr>
        <w:t>The Participant agrees that NSCCL shall not be responsible for any services rendered under this Agreement and accordingly no right vests with the Participant for making any claim or any damages whatsoever. NSCCL shall not be responsible for any mistake or error in the transaction settled by it or failure of the systems of the Reserve Bank of India or of any other depository or regulatory authority. In no event shall NSCCL be liable for special, indirect, incidental or consequential damages, regardless of the form of action (including negligence or strict liability), whether or not such party is advised or might have anticipated the possibility of such damages. This provision shall survive termination or expiration of this Agreement.</w:t>
      </w:r>
    </w:p>
    <w:p>
      <w:pPr>
        <w:pStyle w:val="Normal"/>
        <w:spacing w:lineRule="exact" w:line="16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NOTICE</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720" w:end="0"/>
        <w:jc w:val="both"/>
        <w:rPr>
          <w:rFonts w:ascii="Times New Roman" w:hAnsi="Times New Roman" w:eastAsia="Times New Roman" w:cs="Times New Roman"/>
          <w:sz w:val="16"/>
        </w:rPr>
      </w:pPr>
      <w:r>
        <w:rPr>
          <w:rFonts w:eastAsia="Times New Roman" w:cs="Times New Roman" w:ascii="Times New Roman" w:hAnsi="Times New Roman"/>
          <w:sz w:val="16"/>
        </w:rPr>
        <w:t>Any notice required or permitted to be given under this Agreement shall be given in writing and shall be effective from the date delivered by registered or certified mail, by hand or courier to the addresses set forth on the first page of this Agreement. Notice can also be sent by e-mail.</w:t>
      </w:r>
    </w:p>
    <w:p>
      <w:pPr>
        <w:pStyle w:val="Normal"/>
        <w:spacing w:lineRule="exact" w:line="15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color w:val="111C2F"/>
          <w:sz w:val="16"/>
        </w:rPr>
      </w:pPr>
      <w:r>
        <w:rPr>
          <w:rFonts w:eastAsia="Times New Roman" w:cs="Times New Roman" w:ascii="Times New Roman" w:hAnsi="Times New Roman"/>
          <w:color w:val="111C2F"/>
          <w:sz w:val="16"/>
          <w:u w:val="single"/>
        </w:rPr>
        <w:t>AMENDMENT</w:t>
      </w:r>
    </w:p>
    <w:p>
      <w:pPr>
        <w:pStyle w:val="Normal"/>
        <w:spacing w:lineRule="exact" w:line="18"/>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spacing w:lineRule="auto" w:line="240"/>
        <w:ind w:start="720" w:end="0"/>
        <w:jc w:val="both"/>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t>The rights and obligations of the parties are governed by this Agreement. This Agreement may be amended, altered, modified, varied or added to from time to time only by a written instrument duly signed by both the parties to this Agreement.</w:t>
      </w:r>
    </w:p>
    <w:p>
      <w:pPr>
        <w:pStyle w:val="Normal"/>
        <w:spacing w:lineRule="exact" w:line="159"/>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color w:val="111C2F"/>
          <w:sz w:val="16"/>
        </w:rPr>
      </w:pPr>
      <w:r>
        <w:rPr>
          <w:rFonts w:eastAsia="Times New Roman" w:cs="Times New Roman" w:ascii="Times New Roman" w:hAnsi="Times New Roman"/>
          <w:color w:val="111C2F"/>
          <w:sz w:val="16"/>
          <w:u w:val="single"/>
        </w:rPr>
        <w:t>ASSIGNMENT</w:t>
      </w:r>
    </w:p>
    <w:p>
      <w:pPr>
        <w:pStyle w:val="Normal"/>
        <w:spacing w:lineRule="exact" w:line="18"/>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spacing w:lineRule="atLeast" w:line="0"/>
        <w:ind w:start="720" w:end="0"/>
        <w:jc w:val="both"/>
        <w:rPr/>
      </w:pPr>
      <w:r>
        <w:rPr>
          <w:rFonts w:eastAsia="Times New Roman" w:cs="Times New Roman" w:ascii="Times New Roman" w:hAnsi="Times New Roman"/>
          <w:sz w:val="16"/>
        </w:rPr>
        <w:t>Neither party shall assign, sub-license, charge or otherwise encumber any of its rights or obligations under this Agreement without the prior written consent of the other party, which consent shall not be unreasonably withheld or delayed except that NSCCL may assign this Agreement or any of its rights or obligations hereunder to any third party or to any other entity which succeeds to all or substantially all of NSCCL assets and business without the Participant’s prior consent. Any attempted assignment in violation of this shall be null and void.</w:t>
      </w:r>
    </w:p>
    <w:p>
      <w:pPr>
        <w:pStyle w:val="Normal"/>
        <w:spacing w:lineRule="exact" w:line="165"/>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color w:val="111C2F"/>
          <w:sz w:val="16"/>
        </w:rPr>
      </w:pPr>
      <w:r>
        <w:rPr>
          <w:rFonts w:eastAsia="Times New Roman" w:cs="Times New Roman" w:ascii="Times New Roman" w:hAnsi="Times New Roman"/>
          <w:color w:val="111C2F"/>
          <w:sz w:val="16"/>
          <w:u w:val="single"/>
        </w:rPr>
        <w:t>TAXES</w:t>
      </w:r>
    </w:p>
    <w:p>
      <w:pPr>
        <w:pStyle w:val="Normal"/>
        <w:spacing w:lineRule="exact" w:line="17"/>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spacing w:lineRule="auto" w:line="240"/>
        <w:ind w:start="720" w:end="0"/>
        <w:jc w:val="both"/>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t>The parties shall be liable for payment of any and all Central, State and local taxes to the Authorities independently. However, nothing contained herein shall prevent NSCCL from effecting such deductions at source as required by law or regulations.</w:t>
      </w:r>
    </w:p>
    <w:p>
      <w:pPr>
        <w:pStyle w:val="Normal"/>
        <w:spacing w:lineRule="exact" w:line="160"/>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DISPUTES</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start="720" w:end="0"/>
        <w:jc w:val="both"/>
        <w:rPr>
          <w:rFonts w:ascii="Times New Roman" w:hAnsi="Times New Roman" w:eastAsia="Times New Roman" w:cs="Times New Roman"/>
          <w:sz w:val="15"/>
        </w:rPr>
      </w:pPr>
      <w:r>
        <w:rPr>
          <w:rFonts w:eastAsia="Times New Roman" w:cs="Times New Roman" w:ascii="Times New Roman" w:hAnsi="Times New Roman"/>
          <w:sz w:val="15"/>
        </w:rPr>
        <w:t>NSCCL and the Participant shall make every effort to resolve amicably any disagreement or dispute arising between them under or</w:t>
      </w:r>
    </w:p>
    <w:p>
      <w:pPr>
        <w:pStyle w:val="Normal"/>
        <w:spacing w:lineRule="exact" w:line="15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NATIONAL SECURITIES CLEARING CORPORATION LTD.</w:t>
      </w:r>
    </w:p>
    <w:p>
      <w:pPr>
        <w:pStyle w:val="Normal"/>
        <w:spacing w:lineRule="exact" w:line="18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By: ________________________________</w:t>
      </w:r>
    </w:p>
    <w:p>
      <w:pPr>
        <w:pStyle w:val="Normal"/>
        <w:spacing w:lineRule="exact" w:line="18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w:t>
      </w:r>
    </w:p>
    <w:p>
      <w:pPr>
        <w:pStyle w:val="Normal"/>
        <w:spacing w:lineRule="exact" w:line="18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t>Name and Title</w:t>
      </w:r>
    </w:p>
    <w:p>
      <w:pPr>
        <w:pStyle w:val="Normal"/>
        <w:spacing w:lineRule="exact" w:line="186"/>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Authorized Signatory</w:t>
      </w:r>
    </w:p>
    <w:p>
      <w:pPr>
        <w:pStyle w:val="Normal"/>
        <w:spacing w:lineRule="exact" w:line="18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Date: ______________________________</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_____________________________________(PARTICPANT)</w:t>
      </w:r>
    </w:p>
    <w:p>
      <w:pPr>
        <w:pStyle w:val="Normal"/>
        <w:spacing w:lineRule="exact" w:line="18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By: ________________________________</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t>Name and Title</w:t>
      </w:r>
    </w:p>
    <w:p>
      <w:pPr>
        <w:pStyle w:val="Normal"/>
        <w:spacing w:lineRule="exact" w:line="186"/>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Authorized Signatory</w:t>
      </w:r>
    </w:p>
    <w:p>
      <w:pPr>
        <w:pStyle w:val="Normal"/>
        <w:spacing w:lineRule="exact" w:line="18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Date: _______________________________</w:t>
      </w:r>
    </w:p>
    <w:p>
      <w:pPr>
        <w:pStyle w:val="Normal"/>
        <w:spacing w:lineRule="auto" w:line="240"/>
        <w:ind w:start="720" w:end="0"/>
        <w:jc w:val="both"/>
        <w:rPr>
          <w:rFonts w:ascii="Times New Roman" w:hAnsi="Times New Roman" w:eastAsia="Times New Roman" w:cs="Times New Roman"/>
          <w:sz w:val="16"/>
        </w:rPr>
      </w:pPr>
      <w:r>
        <w:br w:type="column"/>
      </w:r>
      <w:r>
        <w:rPr>
          <w:rFonts w:eastAsia="Times New Roman" w:cs="Times New Roman" w:ascii="Times New Roman" w:hAnsi="Times New Roman"/>
          <w:sz w:val="16"/>
        </w:rPr>
        <w:t>in connection with this Agreement by direct informal negotiations. All disputes, differences or questions, arising out of this Agreement including the interpretation of the terms herein or in regard to the obligations, failure or breach of any terms thereof by any of the parties and/or compensation/damages payable under this Agreement or of any matter whatsoever arising under this Agreement which have not been settled shall be referred to arbitration under the provisions of the Arbitration and Conciliation Act, 1996 of India to two arbitrators, one to be appointed by each of the parties and the arbitrators appointing an Umpire. The decision or award so given by the arbitrators or the Umpire as the case may be shall be final and binding on the parties hereto.</w:t>
      </w:r>
    </w:p>
    <w:p>
      <w:pPr>
        <w:pStyle w:val="Normal"/>
        <w:spacing w:lineRule="exact" w:line="16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GOVERNING LAW AND JURISDICTION</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720" w:end="0"/>
        <w:jc w:val="both"/>
        <w:rPr>
          <w:rFonts w:ascii="Times New Roman" w:hAnsi="Times New Roman" w:eastAsia="Times New Roman" w:cs="Times New Roman"/>
          <w:sz w:val="15"/>
        </w:rPr>
      </w:pPr>
      <w:r>
        <w:rPr>
          <w:rFonts w:eastAsia="Times New Roman" w:cs="Times New Roman" w:ascii="Times New Roman" w:hAnsi="Times New Roman"/>
          <w:sz w:val="15"/>
        </w:rPr>
        <w:t>This Agreement shall be subject to and construed and interpreted in accordance with the laws of India and each of the party hereby submits to the exclusive jurisdiction of the Courts in Mumbai. This provision shall survive termination or expiration of this Agreement.</w:t>
      </w:r>
    </w:p>
    <w:p>
      <w:pPr>
        <w:pStyle w:val="Normal"/>
        <w:spacing w:lineRule="exact" w:line="14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ENTIRE AGREEMENT</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0"/>
        <w:ind w:start="720" w:end="0"/>
        <w:jc w:val="both"/>
        <w:rPr>
          <w:rFonts w:ascii="Times New Roman" w:hAnsi="Times New Roman" w:eastAsia="Times New Roman" w:cs="Times New Roman"/>
          <w:sz w:val="16"/>
        </w:rPr>
      </w:pPr>
      <w:r>
        <w:rPr>
          <w:rFonts w:eastAsia="Times New Roman" w:cs="Times New Roman" w:ascii="Times New Roman" w:hAnsi="Times New Roman"/>
          <w:sz w:val="16"/>
        </w:rPr>
        <w:t>This Agreement contains the entire agreement of the parties with respect to its subject matter and supersedes all existing and all other oral, written or other communications between the parties concerning this subject matter hereof. This Agreement may be modified only by an amendment signed by both parties in hardcopy format. This provision shall survive termination or expiration of this Agreement.</w:t>
      </w:r>
    </w:p>
    <w:p>
      <w:pPr>
        <w:pStyle w:val="Normal"/>
        <w:spacing w:lineRule="exact" w:line="16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HEADINGS</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2"/>
        <w:ind w:start="720" w:end="0"/>
        <w:jc w:val="both"/>
        <w:rPr>
          <w:rFonts w:ascii="Times New Roman" w:hAnsi="Times New Roman" w:eastAsia="Times New Roman" w:cs="Times New Roman"/>
          <w:sz w:val="16"/>
        </w:rPr>
      </w:pPr>
      <w:r>
        <w:rPr>
          <w:rFonts w:eastAsia="Times New Roman" w:cs="Times New Roman" w:ascii="Times New Roman" w:hAnsi="Times New Roman"/>
          <w:sz w:val="16"/>
        </w:rPr>
        <w:t>The headings to the clauses of this Agreement are for ease of reference only and shall not affect the interpretation or construction of this Agreement.</w:t>
      </w:r>
    </w:p>
    <w:p>
      <w:pPr>
        <w:pStyle w:val="Normal"/>
        <w:spacing w:lineRule="exact" w:line="15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sz w:val="16"/>
        </w:rPr>
      </w:pPr>
      <w:r>
        <w:rPr>
          <w:rFonts w:eastAsia="Times New Roman" w:cs="Times New Roman" w:ascii="Times New Roman" w:hAnsi="Times New Roman"/>
          <w:sz w:val="16"/>
          <w:u w:val="single"/>
        </w:rPr>
        <w:t>GENERAL</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720" w:end="0"/>
        <w:jc w:val="both"/>
        <w:rPr>
          <w:rFonts w:ascii="Times New Roman" w:hAnsi="Times New Roman" w:eastAsia="Times New Roman" w:cs="Times New Roman"/>
          <w:sz w:val="15"/>
        </w:rPr>
      </w:pPr>
      <w:r>
        <w:rPr>
          <w:rFonts w:eastAsia="Times New Roman" w:cs="Times New Roman" w:ascii="Times New Roman" w:hAnsi="Times New Roman"/>
          <w:sz w:val="15"/>
        </w:rPr>
        <w:t>The invalidity or unenforceability of any provision of this Agreement shall not affect the other provisions hereof, all of which shall remain enforceable in accordance with their terms. This provision shall survive termination or expiration of this Agreement.</w:t>
      </w:r>
    </w:p>
    <w:p>
      <w:pPr>
        <w:pStyle w:val="Normal"/>
        <w:spacing w:lineRule="exact" w:line="14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color w:val="111C2F"/>
          <w:sz w:val="16"/>
        </w:rPr>
      </w:pPr>
      <w:r>
        <w:rPr>
          <w:rFonts w:eastAsia="Times New Roman" w:cs="Times New Roman" w:ascii="Times New Roman" w:hAnsi="Times New Roman"/>
          <w:color w:val="111C2F"/>
          <w:sz w:val="16"/>
          <w:u w:val="single"/>
        </w:rPr>
        <w:t>EXECUTION OF AGREEMENT</w:t>
      </w:r>
    </w:p>
    <w:p>
      <w:pPr>
        <w:pStyle w:val="Normal"/>
        <w:spacing w:lineRule="exact" w:line="120"/>
        <w:rPr>
          <w:rFonts w:ascii="Times New Roman" w:hAnsi="Times New Roman" w:eastAsia="Times New Roman" w:cs="Times New Roman"/>
          <w:color w:val="111C2F"/>
          <w:sz w:val="16"/>
        </w:rPr>
      </w:pPr>
      <w:r>
        <w:rPr>
          <w:rFonts w:eastAsia="Times New Roman" w:cs="Times New Roman" w:ascii="Times New Roman" w:hAnsi="Times New Roman"/>
          <w:color w:val="111C2F"/>
          <w:sz w:val="16"/>
        </w:rPr>
      </w:r>
    </w:p>
    <w:p>
      <w:pPr>
        <w:pStyle w:val="Normal"/>
        <w:spacing w:lineRule="auto" w:line="254"/>
        <w:ind w:start="720" w:end="140"/>
        <w:jc w:val="both"/>
        <w:rPr>
          <w:rFonts w:ascii="Times New Roman" w:hAnsi="Times New Roman" w:eastAsia="Times New Roman" w:cs="Times New Roman"/>
          <w:sz w:val="16"/>
        </w:rPr>
      </w:pPr>
      <w:r>
        <w:rPr>
          <w:rFonts w:eastAsia="Times New Roman" w:cs="Times New Roman" w:ascii="Times New Roman" w:hAnsi="Times New Roman"/>
          <w:sz w:val="16"/>
        </w:rPr>
        <w:t>This Agreement is executed in two original counterparts. Each of which is an original in itself and both of which together however shall constitute one and the same agreement.</w:t>
      </w:r>
    </w:p>
    <w:p>
      <w:pPr>
        <w:sectPr>
          <w:type w:val="nextPage"/>
          <w:pgSz w:w="12240" w:h="15840"/>
          <w:pgMar w:left="720" w:right="720" w:gutter="0" w:header="0" w:top="705" w:footer="0" w:bottom="182"/>
          <w:pgNumType w:fmt="decimal"/>
          <w:cols w:num="2" w:space="720" w:equalWidth="true" w:sep="false"/>
          <w:formProt w:val="false"/>
          <w:textDirection w:val="lrTb"/>
          <w:docGrid w:type="default" w:linePitch="360" w:charSpace="0"/>
        </w:sectPr>
      </w:pPr>
    </w:p>
    <w:p>
      <w:pPr>
        <w:pStyle w:val="Normal"/>
        <w:spacing w:lineRule="exact" w:line="39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center"/>
        <w:rPr/>
      </w:pPr>
      <w:r>
        <w:rPr/>
        <w:t>Page 2 of 3</w:t>
      </w:r>
    </w:p>
    <w:p>
      <w:pPr>
        <w:sectPr>
          <w:type w:val="continuous"/>
          <w:pgSz w:w="12240" w:h="15840"/>
          <w:pgMar w:left="720" w:right="720" w:gutter="0" w:header="0" w:top="705" w:footer="0" w:bottom="182"/>
          <w:formProt w:val="false"/>
          <w:textDirection w:val="lrTb"/>
          <w:docGrid w:type="default" w:linePitch="360" w:charSpace="0"/>
        </w:sectPr>
      </w:pPr>
    </w:p>
    <w:tbl>
      <w:tblPr>
        <w:tblW w:w="10800" w:type="dxa"/>
        <w:jc w:val="start"/>
        <w:tblInd w:w="0" w:type="dxa"/>
        <w:tblLayout w:type="fixed"/>
        <w:tblCellMar>
          <w:top w:w="0" w:type="dxa"/>
          <w:start w:w="0" w:type="dxa"/>
          <w:bottom w:w="0" w:type="dxa"/>
          <w:end w:w="0" w:type="dxa"/>
        </w:tblCellMar>
      </w:tblPr>
      <w:tblGrid>
        <w:gridCol w:w="220"/>
        <w:gridCol w:w="780"/>
        <w:gridCol w:w="4760"/>
        <w:gridCol w:w="220"/>
        <w:gridCol w:w="360"/>
        <w:gridCol w:w="420"/>
        <w:gridCol w:w="4040"/>
      </w:tblGrid>
      <w:tr>
        <w:trPr>
          <w:trHeight w:val="184" w:hRule="atLeast"/>
        </w:trPr>
        <w:tc>
          <w:tcPr>
            <w:tcW w:w="5760" w:type="dxa"/>
            <w:gridSpan w:val="3"/>
            <w:tcBorders/>
          </w:tcPr>
          <w:p>
            <w:pPr>
              <w:pStyle w:val="Normal"/>
              <w:spacing w:lineRule="atLeast" w:line="0"/>
              <w:rPr>
                <w:rFonts w:ascii="Times New Roman" w:hAnsi="Times New Roman" w:eastAsia="Times New Roman" w:cs="Times New Roman"/>
                <w:b/>
                <w:sz w:val="16"/>
              </w:rPr>
            </w:pPr>
            <w:bookmarkStart w:id="4" w:name="page3"/>
            <w:bookmarkEnd w:id="4"/>
            <w:r>
              <w:rPr>
                <w:rFonts w:eastAsia="Times New Roman" w:cs="Times New Roman" w:ascii="Times New Roman" w:hAnsi="Times New Roman"/>
                <w:b/>
                <w:sz w:val="16"/>
              </w:rPr>
              <w:t>SCHEDULE A</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360" w:type="dxa"/>
            <w:tcBorders/>
          </w:tcPr>
          <w:p>
            <w:pPr>
              <w:pStyle w:val="Normal"/>
              <w:spacing w:lineRule="atLeast" w:line="0"/>
              <w:ind w:start="140" w:end="0"/>
              <w:rPr>
                <w:rFonts w:ascii="Courier New" w:hAnsi="Courier New" w:eastAsia="Courier New" w:cs="Courier New"/>
                <w:sz w:val="16"/>
              </w:rPr>
            </w:pPr>
            <w:r>
              <w:rPr>
                <w:rFonts w:eastAsia="Courier New" w:cs="Courier New" w:ascii="Courier New" w:hAnsi="Courier New"/>
                <w:sz w:val="16"/>
              </w:rPr>
              <w:t>o</w:t>
            </w:r>
          </w:p>
        </w:tc>
        <w:tc>
          <w:tcPr>
            <w:tcW w:w="446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Settlement pending</w:t>
            </w:r>
          </w:p>
        </w:tc>
      </w:tr>
      <w:tr>
        <w:trPr>
          <w:trHeight w:val="321" w:hRule="atLeast"/>
        </w:trPr>
        <w:tc>
          <w:tcPr>
            <w:tcW w:w="1000" w:type="dxa"/>
            <w:gridSpan w:val="2"/>
            <w:tcBorders>
              <w:top w:val="single" w:sz="8" w:space="0" w:color="000000"/>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About Us</w:t>
            </w:r>
          </w:p>
        </w:tc>
        <w:tc>
          <w:tcPr>
            <w:tcW w:w="4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gridSpan w:val="3"/>
            <w:tcBorders>
              <w:bottom w:val="single" w:sz="8" w:space="0" w:color="000000"/>
            </w:tcBorders>
          </w:tcPr>
          <w:p>
            <w:pPr>
              <w:pStyle w:val="Normal"/>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t>Post Settlement</w:t>
            </w:r>
          </w:p>
        </w:tc>
        <w:tc>
          <w:tcPr>
            <w:tcW w:w="40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r>
      <w:tr>
        <w:trPr>
          <w:trHeight w:val="159" w:hRule="atLeast"/>
        </w:trPr>
        <w:tc>
          <w:tcPr>
            <w:tcW w:w="5760" w:type="dxa"/>
            <w:gridSpan w:val="3"/>
            <w:tcBorders/>
          </w:tcPr>
          <w:p>
            <w:pPr>
              <w:pStyle w:val="Normal"/>
              <w:spacing w:lineRule="exact" w:line="159"/>
              <w:rPr>
                <w:rFonts w:ascii="Times New Roman" w:hAnsi="Times New Roman" w:eastAsia="Times New Roman" w:cs="Times New Roman"/>
                <w:sz w:val="16"/>
              </w:rPr>
            </w:pPr>
            <w:r>
              <w:rPr>
                <w:rFonts w:eastAsia="Times New Roman" w:cs="Times New Roman" w:ascii="Times New Roman" w:hAnsi="Times New Roman"/>
                <w:sz w:val="16"/>
              </w:rPr>
              <w:t>The National Securities Clearing Corporation Ltd. (NSCCL), a wholly owned</w:t>
            </w:r>
          </w:p>
        </w:tc>
        <w:tc>
          <w:tcPr>
            <w:tcW w:w="220" w:type="dxa"/>
            <w:tcBorders/>
          </w:tcPr>
          <w:p>
            <w:pPr>
              <w:pStyle w:val="Normal"/>
              <w:spacing w:lineRule="exact" w:line="159"/>
              <w:rPr>
                <w:rFonts w:ascii="Arial" w:hAnsi="Arial" w:eastAsia="Arial" w:cs="Arial"/>
                <w:sz w:val="16"/>
              </w:rPr>
            </w:pPr>
            <w:r>
              <w:rPr>
                <w:rFonts w:eastAsia="Arial" w:cs="Arial" w:ascii="Arial" w:hAnsi="Arial"/>
                <w:sz w:val="16"/>
              </w:rPr>
              <w:t>•</w:t>
            </w:r>
          </w:p>
        </w:tc>
        <w:tc>
          <w:tcPr>
            <w:tcW w:w="4820" w:type="dxa"/>
            <w:gridSpan w:val="3"/>
            <w:tcBorders/>
          </w:tcPr>
          <w:p>
            <w:pPr>
              <w:pStyle w:val="Normal"/>
              <w:spacing w:lineRule="exact" w:line="159"/>
              <w:ind w:start="140" w:end="0"/>
              <w:rPr>
                <w:rFonts w:ascii="Times New Roman" w:hAnsi="Times New Roman" w:eastAsia="Times New Roman" w:cs="Times New Roman"/>
                <w:sz w:val="16"/>
              </w:rPr>
            </w:pPr>
            <w:r>
              <w:rPr>
                <w:rFonts w:eastAsia="Times New Roman" w:cs="Times New Roman" w:ascii="Times New Roman" w:hAnsi="Times New Roman"/>
                <w:sz w:val="16"/>
              </w:rPr>
              <w:t>All the transaction during a day will be reported on the web site.</w:t>
            </w:r>
          </w:p>
        </w:tc>
      </w:tr>
      <w:tr>
        <w:trPr>
          <w:trHeight w:val="196" w:hRule="atLeast"/>
        </w:trPr>
        <w:tc>
          <w:tcPr>
            <w:tcW w:w="5760" w:type="dxa"/>
            <w:gridSpan w:val="3"/>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subsidiary of NSE, was incorporated in August 1995. NSCCL commenced</w:t>
            </w:r>
          </w:p>
        </w:tc>
        <w:tc>
          <w:tcPr>
            <w:tcW w:w="220" w:type="dxa"/>
            <w:tcBorders/>
          </w:tcPr>
          <w:p>
            <w:pPr>
              <w:pStyle w:val="Normal"/>
              <w:spacing w:lineRule="atLeast" w:line="0"/>
              <w:rPr>
                <w:rFonts w:ascii="Arial" w:hAnsi="Arial" w:eastAsia="Arial" w:cs="Arial"/>
                <w:sz w:val="16"/>
              </w:rPr>
            </w:pPr>
            <w:r>
              <w:rPr>
                <w:rFonts w:eastAsia="Arial" w:cs="Arial" w:ascii="Arial" w:hAnsi="Arial"/>
                <w:sz w:val="16"/>
              </w:rPr>
              <w:t>•</w:t>
            </w:r>
          </w:p>
        </w:tc>
        <w:tc>
          <w:tcPr>
            <w:tcW w:w="4820" w:type="dxa"/>
            <w:gridSpan w:val="3"/>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All historical transaction will be provided to the participant by way of</w:t>
            </w:r>
          </w:p>
        </w:tc>
      </w:tr>
      <w:tr>
        <w:trPr>
          <w:trHeight w:val="185" w:hRule="atLeast"/>
        </w:trPr>
        <w:tc>
          <w:tcPr>
            <w:tcW w:w="5760" w:type="dxa"/>
            <w:gridSpan w:val="3"/>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clearing operations in April 1996. NSCCL has been a pioneer and possesses</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20" w:type="dxa"/>
            <w:gridSpan w:val="3"/>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report.</w:t>
            </w:r>
          </w:p>
        </w:tc>
      </w:tr>
      <w:tr>
        <w:trPr>
          <w:trHeight w:val="161" w:hRule="atLeast"/>
        </w:trPr>
        <w:tc>
          <w:tcPr>
            <w:tcW w:w="5760" w:type="dxa"/>
            <w:gridSpan w:val="3"/>
            <w:tcBorders/>
          </w:tcPr>
          <w:p>
            <w:pPr>
              <w:pStyle w:val="Normal"/>
              <w:spacing w:lineRule="exact" w:line="161"/>
              <w:rPr>
                <w:rFonts w:ascii="Times New Roman" w:hAnsi="Times New Roman" w:eastAsia="Times New Roman" w:cs="Times New Roman"/>
                <w:sz w:val="16"/>
              </w:rPr>
            </w:pPr>
            <w:r>
              <w:rPr>
                <w:rFonts w:eastAsia="Times New Roman" w:cs="Times New Roman" w:ascii="Times New Roman" w:hAnsi="Times New Roman"/>
                <w:sz w:val="16"/>
              </w:rPr>
              <w:t>several years of experience in clearing &amp; settling trades pertaining to spot &amp;</w:t>
            </w:r>
          </w:p>
        </w:tc>
        <w:tc>
          <w:tcPr>
            <w:tcW w:w="220" w:type="dxa"/>
            <w:vMerge w:val="restart"/>
            <w:tcBorders/>
          </w:tcPr>
          <w:p>
            <w:pPr>
              <w:pStyle w:val="Normal"/>
              <w:spacing w:lineRule="atLeast" w:line="0"/>
              <w:rPr>
                <w:rFonts w:ascii="Arial" w:hAnsi="Arial" w:eastAsia="Arial" w:cs="Arial"/>
                <w:sz w:val="16"/>
              </w:rPr>
            </w:pPr>
            <w:r>
              <w:rPr>
                <w:rFonts w:eastAsia="Arial" w:cs="Arial" w:ascii="Arial" w:hAnsi="Arial"/>
                <w:sz w:val="16"/>
              </w:rPr>
              <w:t>•</w:t>
            </w:r>
          </w:p>
        </w:tc>
        <w:tc>
          <w:tcPr>
            <w:tcW w:w="4820" w:type="dxa"/>
            <w:gridSpan w:val="3"/>
            <w:vMerge w:val="restart"/>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Reports such as-</w:t>
            </w:r>
          </w:p>
        </w:tc>
      </w:tr>
      <w:tr>
        <w:trPr>
          <w:trHeight w:val="55" w:hRule="atLeast"/>
        </w:trPr>
        <w:tc>
          <w:tcPr>
            <w:tcW w:w="5760" w:type="dxa"/>
            <w:gridSpan w:val="3"/>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derivatives market in India. NSCCL has successfully brought about an up-</w:t>
            </w:r>
          </w:p>
        </w:tc>
        <w:tc>
          <w:tcPr>
            <w:tcW w:w="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2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9" w:hRule="atLeast"/>
        </w:trPr>
        <w:tc>
          <w:tcPr>
            <w:tcW w:w="576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restart"/>
            <w:tcBorders/>
          </w:tcPr>
          <w:p>
            <w:pPr>
              <w:pStyle w:val="Normal"/>
              <w:spacing w:lineRule="atLeast" w:line="0"/>
              <w:ind w:start="140" w:end="0"/>
              <w:rPr>
                <w:rFonts w:ascii="Courier New" w:hAnsi="Courier New" w:eastAsia="Courier New" w:cs="Courier New"/>
                <w:sz w:val="16"/>
              </w:rPr>
            </w:pPr>
            <w:r>
              <w:rPr>
                <w:rFonts w:eastAsia="Courier New" w:cs="Courier New" w:ascii="Courier New" w:hAnsi="Courier New"/>
                <w:sz w:val="16"/>
              </w:rPr>
              <w:t>o</w:t>
            </w:r>
          </w:p>
        </w:tc>
        <w:tc>
          <w:tcPr>
            <w:tcW w:w="4460" w:type="dxa"/>
            <w:gridSpan w:val="2"/>
            <w:vMerge w:val="restart"/>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Obligation (pay-in detail)</w:t>
            </w:r>
          </w:p>
        </w:tc>
      </w:tr>
      <w:tr>
        <w:trPr>
          <w:trHeight w:val="55" w:hRule="atLeast"/>
        </w:trPr>
        <w:tc>
          <w:tcPr>
            <w:tcW w:w="5760" w:type="dxa"/>
            <w:gridSpan w:val="3"/>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gradation of the clearing and settlement procedures and has brought Indian</w:t>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0" w:hRule="atLeast"/>
        </w:trPr>
        <w:tc>
          <w:tcPr>
            <w:tcW w:w="576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vMerge w:val="restart"/>
            <w:tcBorders/>
          </w:tcPr>
          <w:p>
            <w:pPr>
              <w:pStyle w:val="Normal"/>
              <w:spacing w:lineRule="atLeast" w:line="0"/>
              <w:ind w:start="140" w:end="0"/>
              <w:rPr>
                <w:rFonts w:ascii="Courier New" w:hAnsi="Courier New" w:eastAsia="Courier New" w:cs="Courier New"/>
                <w:sz w:val="16"/>
              </w:rPr>
            </w:pPr>
            <w:r>
              <w:rPr>
                <w:rFonts w:eastAsia="Courier New" w:cs="Courier New" w:ascii="Courier New" w:hAnsi="Courier New"/>
                <w:sz w:val="16"/>
              </w:rPr>
              <w:t>o</w:t>
            </w:r>
          </w:p>
        </w:tc>
        <w:tc>
          <w:tcPr>
            <w:tcW w:w="4460" w:type="dxa"/>
            <w:gridSpan w:val="2"/>
            <w:vMerge w:val="restart"/>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Trade transaction (Trade details)</w:t>
            </w:r>
          </w:p>
        </w:tc>
      </w:tr>
      <w:tr>
        <w:trPr>
          <w:trHeight w:val="54" w:hRule="atLeast"/>
        </w:trPr>
        <w:tc>
          <w:tcPr>
            <w:tcW w:w="5760" w:type="dxa"/>
            <w:gridSpan w:val="3"/>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financial markets in line with international markets.</w:t>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4" w:hRule="atLeast"/>
        </w:trPr>
        <w:tc>
          <w:tcPr>
            <w:tcW w:w="576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vMerge w:val="restart"/>
            <w:tcBorders/>
          </w:tcPr>
          <w:p>
            <w:pPr>
              <w:pStyle w:val="Normal"/>
              <w:spacing w:lineRule="atLeast" w:line="0"/>
              <w:ind w:start="140" w:end="0"/>
              <w:rPr>
                <w:rFonts w:ascii="Courier New" w:hAnsi="Courier New" w:eastAsia="Courier New" w:cs="Courier New"/>
                <w:sz w:val="16"/>
              </w:rPr>
            </w:pPr>
            <w:r>
              <w:rPr>
                <w:rFonts w:eastAsia="Courier New" w:cs="Courier New" w:ascii="Courier New" w:hAnsi="Courier New"/>
                <w:sz w:val="16"/>
              </w:rPr>
              <w:t>o</w:t>
            </w:r>
          </w:p>
        </w:tc>
        <w:tc>
          <w:tcPr>
            <w:tcW w:w="4460" w:type="dxa"/>
            <w:gridSpan w:val="2"/>
            <w:vMerge w:val="restart"/>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Settlement status</w:t>
            </w:r>
          </w:p>
        </w:tc>
      </w:tr>
      <w:tr>
        <w:trPr>
          <w:trHeight w:val="44"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7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vMerge w:val="restart"/>
            <w:tcBorders/>
          </w:tcPr>
          <w:p>
            <w:pPr>
              <w:pStyle w:val="Normal"/>
              <w:spacing w:lineRule="atLeast" w:line="0"/>
              <w:rPr>
                <w:rFonts w:ascii="Arial" w:hAnsi="Arial" w:eastAsia="Arial" w:cs="Arial"/>
                <w:sz w:val="16"/>
              </w:rPr>
            </w:pPr>
            <w:r>
              <w:rPr>
                <w:rFonts w:eastAsia="Arial" w:cs="Arial" w:ascii="Arial" w:hAnsi="Arial"/>
                <w:sz w:val="16"/>
              </w:rPr>
              <w:t>•</w:t>
            </w:r>
          </w:p>
        </w:tc>
        <w:tc>
          <w:tcPr>
            <w:tcW w:w="3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0" w:hRule="atLeast"/>
        </w:trPr>
        <w:tc>
          <w:tcPr>
            <w:tcW w:w="5760" w:type="dxa"/>
            <w:gridSpan w:val="3"/>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Corporate Bond Settlement</w:t>
            </w:r>
          </w:p>
        </w:tc>
        <w:tc>
          <w:tcPr>
            <w:tcW w:w="220" w:type="dxa"/>
            <w:vMerge w:val="continue"/>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4820" w:type="dxa"/>
            <w:gridSpan w:val="3"/>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All these reports can be downloaded by the participant at any time.</w:t>
            </w:r>
          </w:p>
        </w:tc>
      </w:tr>
      <w:tr>
        <w:trPr>
          <w:trHeight w:val="184" w:hRule="atLeast"/>
        </w:trPr>
        <w:tc>
          <w:tcPr>
            <w:tcW w:w="5760" w:type="dxa"/>
            <w:gridSpan w:val="3"/>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NSCCL present a centralised clearing and settlement mechanism for enabling</w:t>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5" w:hRule="atLeast"/>
        </w:trPr>
        <w:tc>
          <w:tcPr>
            <w:tcW w:w="5760" w:type="dxa"/>
            <w:gridSpan w:val="3"/>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timely  and  smoother  transaction  closure  and  completely  eliminate  the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5760" w:type="dxa"/>
            <w:gridSpan w:val="3"/>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operational risk for counterparties. The salient features are:</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5" w:hRule="atLeast"/>
        </w:trPr>
        <w:tc>
          <w:tcPr>
            <w:tcW w:w="220" w:type="dxa"/>
            <w:tcBorders/>
          </w:tcPr>
          <w:p>
            <w:pPr>
              <w:pStyle w:val="Normal"/>
              <w:spacing w:lineRule="atLeast" w:line="0"/>
              <w:rPr>
                <w:rFonts w:ascii="Arial" w:hAnsi="Arial" w:eastAsia="Arial" w:cs="Arial"/>
                <w:sz w:val="16"/>
              </w:rPr>
            </w:pPr>
            <w:r>
              <w:rPr>
                <w:rFonts w:eastAsia="Arial" w:cs="Arial" w:ascii="Arial" w:hAnsi="Arial"/>
                <w:sz w:val="16"/>
              </w:rPr>
              <w:t>•</w:t>
            </w:r>
          </w:p>
        </w:tc>
        <w:tc>
          <w:tcPr>
            <w:tcW w:w="554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Active  follow  up  with  each  of  the  participants  for  settlement  of</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220" w:type="dxa"/>
            <w:vMerge w:val="restart"/>
            <w:tcBorders/>
          </w:tcPr>
          <w:p>
            <w:pPr>
              <w:pStyle w:val="Normal"/>
              <w:spacing w:lineRule="atLeast" w:line="0"/>
              <w:rPr>
                <w:rFonts w:ascii="Arial" w:hAnsi="Arial" w:eastAsia="Arial" w:cs="Arial"/>
                <w:sz w:val="16"/>
              </w:rPr>
            </w:pPr>
            <w:r>
              <w:rPr>
                <w:rFonts w:eastAsia="Arial" w:cs="Arial" w:ascii="Arial" w:hAnsi="Arial"/>
                <w:sz w:val="16"/>
              </w:rPr>
              <w:t>•</w:t>
            </w:r>
          </w:p>
        </w:tc>
        <w:tc>
          <w:tcPr>
            <w:tcW w:w="554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transaction.</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5" w:hRule="atLeast"/>
        </w:trPr>
        <w:tc>
          <w:tcPr>
            <w:tcW w:w="2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54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All reported transactions through FIMMDA, NSE-WDM and NSE web</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54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site are eligible for settlement and shall be  picked up from reporting</w:t>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5" w:hRule="atLeast"/>
        </w:trPr>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540" w:type="dxa"/>
            <w:gridSpan w:val="2"/>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systems.</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numPr>
          <w:ilvl w:val="0"/>
          <w:numId w:val="3"/>
        </w:numPr>
        <w:tabs>
          <w:tab w:val="clear" w:pos="720"/>
          <w:tab w:val="left" w:pos="360" w:leader="none"/>
        </w:tabs>
        <w:spacing w:lineRule="auto" w:line="254"/>
        <w:ind w:hanging="360" w:start="360" w:end="5760"/>
        <w:rPr>
          <w:rFonts w:ascii="Arial" w:hAnsi="Arial" w:eastAsia="Arial" w:cs="Arial"/>
          <w:sz w:val="16"/>
        </w:rPr>
      </w:pPr>
      <w:r>
        <w:rPr>
          <w:rFonts w:eastAsia="Times New Roman" w:cs="Times New Roman" w:ascii="Times New Roman" w:hAnsi="Times New Roman"/>
          <w:sz w:val="16"/>
        </w:rPr>
        <w:t>Alerts, messages, emails and online transaction status to participants at various stages of activity.</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3"/>
        </w:numPr>
        <w:tabs>
          <w:tab w:val="clear" w:pos="720"/>
          <w:tab w:val="left" w:pos="360" w:leader="none"/>
        </w:tabs>
        <w:spacing w:lineRule="auto" w:line="242"/>
        <w:ind w:hanging="360" w:start="360" w:end="5760"/>
        <w:jc w:val="both"/>
        <w:rPr>
          <w:rFonts w:ascii="Arial" w:hAnsi="Arial" w:eastAsia="Arial" w:cs="Arial"/>
          <w:sz w:val="16"/>
        </w:rPr>
      </w:pPr>
      <w:r>
        <w:rPr>
          <w:rFonts w:eastAsia="Times New Roman" w:cs="Times New Roman" w:ascii="Times New Roman" w:hAnsi="Times New Roman"/>
          <w:sz w:val="16"/>
        </w:rPr>
        <w:t>Every reported transaction where both the parties have entered into agreement with NSCCL and intend to settle through NSCCL to be taken up for settlement</w:t>
      </w:r>
    </w:p>
    <w:p>
      <w:pPr>
        <w:pStyle w:val="Normal"/>
        <w:numPr>
          <w:ilvl w:val="0"/>
          <w:numId w:val="3"/>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Delivery and receipt of bonds/funds to and from NSCCL accounts</w:t>
      </w:r>
    </w:p>
    <w:p>
      <w:pPr>
        <w:pStyle w:val="Normal"/>
        <w:spacing w:lineRule="exact" w:line="9"/>
        <w:rPr>
          <w:rFonts w:ascii="Arial" w:hAnsi="Arial" w:eastAsia="Arial" w:cs="Arial"/>
          <w:sz w:val="16"/>
        </w:rPr>
      </w:pPr>
      <w:r>
        <w:rPr>
          <w:rFonts w:eastAsia="Arial" w:cs="Arial" w:ascii="Arial" w:hAnsi="Arial"/>
          <w:sz w:val="16"/>
        </w:rPr>
      </w:r>
    </w:p>
    <w:p>
      <w:pPr>
        <w:pStyle w:val="Normal"/>
        <w:numPr>
          <w:ilvl w:val="0"/>
          <w:numId w:val="3"/>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No separate bank / DP account required for participants.</w:t>
      </w:r>
    </w:p>
    <w:p>
      <w:pPr>
        <w:pStyle w:val="Normal"/>
        <w:spacing w:lineRule="exact" w:line="10"/>
        <w:rPr>
          <w:rFonts w:ascii="Arial" w:hAnsi="Arial" w:eastAsia="Arial" w:cs="Arial"/>
          <w:sz w:val="16"/>
        </w:rPr>
      </w:pPr>
      <w:r>
        <w:rPr>
          <w:rFonts w:eastAsia="Arial" w:cs="Arial" w:ascii="Arial" w:hAnsi="Arial"/>
          <w:sz w:val="16"/>
        </w:rPr>
      </w:r>
    </w:p>
    <w:p>
      <w:pPr>
        <w:pStyle w:val="Normal"/>
        <w:numPr>
          <w:ilvl w:val="0"/>
          <w:numId w:val="3"/>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There shall be no netting and each transaction shall be settled separately.</w:t>
      </w:r>
    </w:p>
    <w:p>
      <w:pPr>
        <w:pStyle w:val="Normal"/>
        <w:spacing w:lineRule="exact" w:line="10"/>
        <w:rPr>
          <w:rFonts w:ascii="Arial" w:hAnsi="Arial" w:eastAsia="Arial" w:cs="Arial"/>
          <w:sz w:val="16"/>
        </w:rPr>
      </w:pPr>
      <w:r>
        <w:rPr>
          <w:rFonts w:eastAsia="Arial" w:cs="Arial" w:ascii="Arial" w:hAnsi="Arial"/>
          <w:sz w:val="16"/>
        </w:rPr>
      </w:r>
    </w:p>
    <w:p>
      <w:pPr>
        <w:pStyle w:val="Normal"/>
        <w:numPr>
          <w:ilvl w:val="0"/>
          <w:numId w:val="3"/>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Archival mechanism</w:t>
      </w:r>
    </w:p>
    <w:p>
      <w:pPr>
        <w:pStyle w:val="Normal"/>
        <w:spacing w:lineRule="exact" w:line="17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Settlement framework</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The settlement activity is grouped as under:</w:t>
      </w:r>
    </w:p>
    <w:p>
      <w:pPr>
        <w:pStyle w:val="Normal"/>
        <w:numPr>
          <w:ilvl w:val="0"/>
          <w:numId w:val="4"/>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Pre-settlement</w:t>
      </w:r>
    </w:p>
    <w:p>
      <w:pPr>
        <w:pStyle w:val="Normal"/>
        <w:spacing w:lineRule="exact" w:line="23"/>
        <w:rPr>
          <w:rFonts w:ascii="Arial" w:hAnsi="Arial" w:eastAsia="Arial" w:cs="Arial"/>
          <w:sz w:val="16"/>
        </w:rPr>
      </w:pPr>
      <w:r>
        <w:rPr>
          <w:rFonts w:eastAsia="Arial" w:cs="Arial" w:ascii="Arial" w:hAnsi="Arial"/>
          <w:sz w:val="16"/>
        </w:rPr>
      </w:r>
    </w:p>
    <w:p>
      <w:pPr>
        <w:pStyle w:val="Normal"/>
        <w:numPr>
          <w:ilvl w:val="0"/>
          <w:numId w:val="4"/>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Settlement</w:t>
      </w:r>
    </w:p>
    <w:p>
      <w:pPr>
        <w:pStyle w:val="Normal"/>
        <w:spacing w:lineRule="exact" w:line="10"/>
        <w:rPr>
          <w:rFonts w:ascii="Arial" w:hAnsi="Arial" w:eastAsia="Arial" w:cs="Arial"/>
          <w:sz w:val="16"/>
        </w:rPr>
      </w:pPr>
      <w:r>
        <w:rPr>
          <w:rFonts w:eastAsia="Arial" w:cs="Arial" w:ascii="Arial" w:hAnsi="Arial"/>
          <w:sz w:val="16"/>
        </w:rPr>
      </w:r>
    </w:p>
    <w:p>
      <w:pPr>
        <w:pStyle w:val="Normal"/>
        <w:numPr>
          <w:ilvl w:val="0"/>
          <w:numId w:val="4"/>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Post settlement</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u w:val="single"/>
        </w:rPr>
      </w:pPr>
      <w:r>
        <w:rPr>
          <w:rFonts w:eastAsia="Times New Roman" w:cs="Times New Roman" w:ascii="Times New Roman" w:hAnsi="Times New Roman"/>
          <w:sz w:val="16"/>
          <w:u w:val="single"/>
        </w:rPr>
        <w:t>Pre-settlement</w:t>
      </w:r>
    </w:p>
    <w:p>
      <w:pPr>
        <w:pStyle w:val="Normal"/>
        <w:spacing w:lineRule="exact" w:line="10"/>
        <w:rPr>
          <w:rFonts w:ascii="Times New Roman" w:hAnsi="Times New Roman" w:eastAsia="Times New Roman" w:cs="Times New Roman"/>
          <w:sz w:val="16"/>
          <w:u w:val="single"/>
        </w:rPr>
      </w:pPr>
      <w:r>
        <w:rPr>
          <w:rFonts w:eastAsia="Times New Roman" w:cs="Times New Roman" w:ascii="Times New Roman" w:hAnsi="Times New Roman"/>
          <w:sz w:val="16"/>
          <w:u w:val="single"/>
        </w:rPr>
      </w:r>
    </w:p>
    <w:p>
      <w:pPr>
        <w:pStyle w:val="Normal"/>
        <w:numPr>
          <w:ilvl w:val="0"/>
          <w:numId w:val="5"/>
        </w:numPr>
        <w:tabs>
          <w:tab w:val="clear" w:pos="720"/>
          <w:tab w:val="left" w:pos="360" w:leader="none"/>
        </w:tabs>
        <w:spacing w:lineRule="auto" w:line="254"/>
        <w:ind w:hanging="360" w:start="360" w:end="5760"/>
        <w:rPr>
          <w:rFonts w:ascii="Arial" w:hAnsi="Arial" w:eastAsia="Arial" w:cs="Arial"/>
          <w:sz w:val="16"/>
        </w:rPr>
      </w:pPr>
      <w:r>
        <w:rPr>
          <w:rFonts w:eastAsia="Times New Roman" w:cs="Times New Roman" w:ascii="Times New Roman" w:hAnsi="Times New Roman"/>
          <w:sz w:val="16"/>
        </w:rPr>
        <w:t>Transactions reported on NSE-WDM, NSE website and FIMMDA ready for settlements.</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5"/>
        </w:numPr>
        <w:tabs>
          <w:tab w:val="clear" w:pos="720"/>
          <w:tab w:val="left" w:pos="360" w:leader="none"/>
        </w:tabs>
        <w:spacing w:lineRule="atLeast" w:line="0"/>
        <w:ind w:hanging="360" w:start="360" w:end="0"/>
        <w:rPr>
          <w:rFonts w:ascii="Arial" w:hAnsi="Arial" w:eastAsia="Arial" w:cs="Arial"/>
          <w:sz w:val="16"/>
        </w:rPr>
      </w:pPr>
      <w:r>
        <w:rPr>
          <w:rFonts w:eastAsia="Times New Roman" w:cs="Times New Roman" w:ascii="Times New Roman" w:hAnsi="Times New Roman"/>
          <w:sz w:val="16"/>
        </w:rPr>
        <w:t>Participant should choose to settle through NSCCL through front end.</w:t>
      </w:r>
    </w:p>
    <w:p>
      <w:pPr>
        <w:pStyle w:val="Normal"/>
        <w:spacing w:lineRule="exact" w:line="9"/>
        <w:rPr>
          <w:rFonts w:ascii="Arial" w:hAnsi="Arial" w:eastAsia="Arial" w:cs="Arial"/>
          <w:sz w:val="16"/>
        </w:rPr>
      </w:pPr>
      <w:r>
        <w:rPr>
          <w:rFonts w:eastAsia="Arial" w:cs="Arial" w:ascii="Arial" w:hAnsi="Arial"/>
          <w:sz w:val="16"/>
        </w:rPr>
      </w:r>
    </w:p>
    <w:p>
      <w:pPr>
        <w:pStyle w:val="Normal"/>
        <w:numPr>
          <w:ilvl w:val="0"/>
          <w:numId w:val="5"/>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An alert confirming the same will be generated and sent to both participants.</w:t>
      </w:r>
    </w:p>
    <w:p>
      <w:pPr>
        <w:pStyle w:val="Normal"/>
        <w:numPr>
          <w:ilvl w:val="0"/>
          <w:numId w:val="5"/>
        </w:numPr>
        <w:tabs>
          <w:tab w:val="clear" w:pos="720"/>
          <w:tab w:val="left" w:pos="360" w:leader="none"/>
        </w:tabs>
        <w:spacing w:lineRule="auto" w:line="242"/>
        <w:ind w:hanging="360" w:start="360" w:end="5760"/>
        <w:jc w:val="both"/>
        <w:rPr>
          <w:rFonts w:ascii="Arial" w:hAnsi="Arial" w:eastAsia="Arial" w:cs="Arial"/>
          <w:sz w:val="16"/>
        </w:rPr>
      </w:pPr>
      <w:r>
        <w:rPr>
          <w:rFonts w:eastAsia="Times New Roman" w:cs="Times New Roman" w:ascii="Times New Roman" w:hAnsi="Times New Roman"/>
          <w:sz w:val="16"/>
        </w:rPr>
        <w:t>Participants may modify selected fields of the transactions. The confirmation for the same is sent to intimate both participants about the modifications.</w:t>
      </w:r>
    </w:p>
    <w:p>
      <w:pPr>
        <w:pStyle w:val="Normal"/>
        <w:numPr>
          <w:ilvl w:val="0"/>
          <w:numId w:val="5"/>
        </w:numPr>
        <w:tabs>
          <w:tab w:val="clear" w:pos="720"/>
          <w:tab w:val="left" w:pos="360" w:leader="none"/>
        </w:tabs>
        <w:spacing w:lineRule="auto" w:line="244"/>
        <w:ind w:hanging="360" w:start="360" w:end="5760"/>
        <w:jc w:val="both"/>
        <w:rPr>
          <w:rFonts w:ascii="Arial" w:hAnsi="Arial" w:eastAsia="Arial" w:cs="Arial"/>
          <w:sz w:val="16"/>
        </w:rPr>
      </w:pPr>
      <w:r>
        <w:rPr>
          <w:rFonts w:eastAsia="Times New Roman" w:cs="Times New Roman" w:ascii="Times New Roman" w:hAnsi="Times New Roman"/>
          <w:sz w:val="16"/>
        </w:rPr>
        <w:t>The confirmation status will be reflected for each transaction like ‘Buyer confirmed’, ‘Seller confirmed’, ‘Unconfirmed’ and ‘Fully confirmed’. Only ‘Fully confirmed’ will be settled through NSCCL.</w:t>
      </w:r>
    </w:p>
    <w:p>
      <w:pPr>
        <w:pStyle w:val="Normal"/>
        <w:spacing w:lineRule="exact" w:line="1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sz w:val="16"/>
          <w:u w:val="single"/>
        </w:rPr>
      </w:pPr>
      <w:r>
        <w:rPr>
          <w:rFonts w:eastAsia="Times New Roman" w:cs="Times New Roman" w:ascii="Times New Roman" w:hAnsi="Times New Roman"/>
          <w:sz w:val="16"/>
          <w:u w:val="single"/>
        </w:rPr>
        <w:t>Settlement activity</w:t>
      </w:r>
    </w:p>
    <w:p>
      <w:pPr>
        <w:pStyle w:val="Normal"/>
        <w:spacing w:lineRule="exact" w:line="10"/>
        <w:rPr>
          <w:rFonts w:ascii="Times New Roman" w:hAnsi="Times New Roman" w:eastAsia="Times New Roman" w:cs="Times New Roman"/>
          <w:sz w:val="16"/>
          <w:u w:val="single"/>
        </w:rPr>
      </w:pPr>
      <w:r>
        <w:rPr>
          <w:rFonts w:eastAsia="Times New Roman" w:cs="Times New Roman" w:ascii="Times New Roman" w:hAnsi="Times New Roman"/>
          <w:sz w:val="16"/>
          <w:u w:val="single"/>
        </w:rPr>
      </w:r>
    </w:p>
    <w:p>
      <w:pPr>
        <w:pStyle w:val="Normal"/>
        <w:numPr>
          <w:ilvl w:val="0"/>
          <w:numId w:val="6"/>
        </w:numPr>
        <w:tabs>
          <w:tab w:val="clear" w:pos="720"/>
          <w:tab w:val="left" w:pos="360" w:leader="none"/>
        </w:tabs>
        <w:spacing w:lineRule="auto" w:line="254"/>
        <w:ind w:hanging="360" w:start="360" w:end="5760"/>
        <w:rPr>
          <w:rFonts w:ascii="Arial" w:hAnsi="Arial" w:eastAsia="Arial" w:cs="Arial"/>
          <w:sz w:val="16"/>
        </w:rPr>
      </w:pPr>
      <w:r>
        <w:rPr>
          <w:rFonts w:eastAsia="Times New Roman" w:cs="Times New Roman" w:ascii="Times New Roman" w:hAnsi="Times New Roman"/>
          <w:sz w:val="16"/>
        </w:rPr>
        <w:t>Active follow-up with obligated participants for funds and bonds in respect of transactions to be settled through NSCCL.</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On receipt of bonds an alert will be sent to sell and buy participants for confirmation of receipt of bonds in NSCCL Beneficiary a/c. (BO a/c)</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On receipt of funds an alert will be sent to buy and sell participants for confirmation of receipt of funds in NSCCL Bank a/c</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On matching of the above the bonds and funds will be swapped to the respective participants and alerts for the same will be sent respectively.</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In case the transaction details do not match, an alert will be sent to the respective participants.</w:t>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If the confirmation from participants is not received by cut-off time then the respective deals shall be deemed to be cancelled.</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2"/>
        <w:ind w:hanging="360" w:start="360" w:end="5760"/>
        <w:jc w:val="both"/>
        <w:rPr>
          <w:rFonts w:ascii="Arial" w:hAnsi="Arial" w:eastAsia="Arial" w:cs="Arial"/>
          <w:sz w:val="16"/>
        </w:rPr>
      </w:pPr>
      <w:r>
        <w:rPr>
          <w:rFonts w:eastAsia="Times New Roman" w:cs="Times New Roman" w:ascii="Times New Roman" w:hAnsi="Times New Roman"/>
          <w:sz w:val="16"/>
        </w:rPr>
        <w:t>In case participants have opted for settlement through NSCCL, but both bonds and funds are not transferred to NSCCL Beneficiary A/c and NSCCL bank A/c respectively, the deal will be deemed to be cancelled.</w:t>
      </w:r>
    </w:p>
    <w:p>
      <w:pPr>
        <w:pStyle w:val="Normal"/>
        <w:numPr>
          <w:ilvl w:val="0"/>
          <w:numId w:val="6"/>
        </w:numPr>
        <w:tabs>
          <w:tab w:val="clear" w:pos="720"/>
          <w:tab w:val="left" w:pos="360" w:leader="none"/>
        </w:tabs>
        <w:spacing w:lineRule="auto" w:line="242"/>
        <w:ind w:hanging="360" w:start="360" w:end="5760"/>
        <w:jc w:val="both"/>
        <w:rPr>
          <w:rFonts w:ascii="Arial" w:hAnsi="Arial" w:eastAsia="Arial" w:cs="Arial"/>
          <w:sz w:val="16"/>
        </w:rPr>
      </w:pPr>
      <w:r>
        <w:rPr>
          <w:rFonts w:eastAsia="Times New Roman" w:cs="Times New Roman" w:ascii="Times New Roman" w:hAnsi="Times New Roman"/>
          <w:sz w:val="16"/>
        </w:rPr>
        <w:t>In case of buy transaction, if a participant has transferred his funds respective to its deal, but the counter participant has failed to deliver bonds, the transaction will be deemed to be cancelled.</w:t>
      </w:r>
    </w:p>
    <w:p>
      <w:pPr>
        <w:pStyle w:val="Normal"/>
        <w:spacing w:lineRule="exact" w:line="2"/>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60" w:leader="none"/>
        </w:tabs>
        <w:spacing w:lineRule="auto" w:line="242"/>
        <w:ind w:hanging="360" w:start="360" w:end="5760"/>
        <w:jc w:val="both"/>
        <w:rPr>
          <w:rFonts w:ascii="Arial" w:hAnsi="Arial" w:eastAsia="Arial" w:cs="Arial"/>
          <w:sz w:val="16"/>
        </w:rPr>
      </w:pPr>
      <w:r>
        <w:rPr>
          <w:rFonts w:eastAsia="Times New Roman" w:cs="Times New Roman" w:ascii="Times New Roman" w:hAnsi="Times New Roman"/>
          <w:sz w:val="16"/>
        </w:rPr>
        <w:t>In case of sell transaction, if a participant has delivered bonds respective to its deal, but the counter participant has failed to pay the funds, the transaction will be deemed to be cancelled.</w:t>
      </w:r>
    </w:p>
    <w:p>
      <w:pPr>
        <w:pStyle w:val="Normal"/>
        <w:numPr>
          <w:ilvl w:val="0"/>
          <w:numId w:val="6"/>
        </w:numPr>
        <w:tabs>
          <w:tab w:val="clear" w:pos="720"/>
          <w:tab w:val="left" w:pos="360" w:leader="none"/>
        </w:tabs>
        <w:spacing w:lineRule="auto" w:line="244"/>
        <w:ind w:hanging="360" w:start="360" w:end="5760"/>
        <w:rPr>
          <w:rFonts w:ascii="Arial" w:hAnsi="Arial" w:eastAsia="Arial" w:cs="Arial"/>
          <w:sz w:val="16"/>
        </w:rPr>
      </w:pPr>
      <w:r>
        <w:rPr>
          <w:rFonts w:eastAsia="Times New Roman" w:cs="Times New Roman" w:ascii="Times New Roman" w:hAnsi="Times New Roman"/>
          <w:sz w:val="16"/>
        </w:rPr>
        <w:t>In case of cancelled deals, the bonds or funds will be returned back to the respective participant.</w:t>
      </w:r>
    </w:p>
    <w:p>
      <w:pPr>
        <w:pStyle w:val="Normal"/>
        <w:numPr>
          <w:ilvl w:val="0"/>
          <w:numId w:val="6"/>
        </w:numPr>
        <w:tabs>
          <w:tab w:val="clear" w:pos="720"/>
          <w:tab w:val="left" w:pos="360" w:leader="none"/>
        </w:tabs>
        <w:spacing w:lineRule="auto" w:line="232"/>
        <w:ind w:hanging="360" w:start="360" w:end="6120"/>
        <w:rPr>
          <w:rFonts w:ascii="Arial" w:hAnsi="Arial" w:eastAsia="Arial" w:cs="Arial"/>
          <w:sz w:val="16"/>
        </w:rPr>
      </w:pPr>
      <w:r>
        <w:rPr>
          <w:rFonts w:eastAsia="Times New Roman" w:cs="Times New Roman" w:ascii="Times New Roman" w:hAnsi="Times New Roman"/>
          <w:sz w:val="16"/>
        </w:rPr>
        <w:t>A view is provided to the participant in respect of settlement status-</w:t>
      </w:r>
      <w:r>
        <w:rPr>
          <w:rFonts w:eastAsia="Courier New" w:cs="Courier New" w:ascii="Courier New" w:hAnsi="Courier New"/>
          <w:sz w:val="16"/>
        </w:rPr>
        <w:t>o</w:t>
      </w:r>
      <w:r>
        <w:rPr>
          <w:rFonts w:eastAsia="Times New Roman" w:cs="Times New Roman" w:ascii="Times New Roman" w:hAnsi="Times New Roman"/>
          <w:sz w:val="16"/>
        </w:rPr>
        <w:t xml:space="preserve"> Settlement success</w:t>
      </w:r>
    </w:p>
    <w:p>
      <w:pPr>
        <w:pStyle w:val="Normal"/>
        <w:spacing w:lineRule="atLeast" w:line="0"/>
        <w:ind w:start="360" w:end="0"/>
        <w:rPr/>
      </w:pPr>
      <w:r>
        <w:rPr>
          <w:rFonts w:eastAsia="Courier New" w:cs="Courier New" w:ascii="Courier New" w:hAnsi="Courier New"/>
          <w:sz w:val="16"/>
        </w:rPr>
        <w:t>o</w:t>
      </w:r>
      <w:r>
        <w:rPr>
          <w:rFonts w:eastAsia="Times New Roman" w:cs="Times New Roman" w:ascii="Times New Roman" w:hAnsi="Times New Roman"/>
          <w:sz w:val="16"/>
        </w:rPr>
        <w:t xml:space="preserve">   Settlement failure</w:t>
      </w:r>
    </w:p>
    <w:p>
      <w:pPr>
        <w:pStyle w:val="Normal"/>
        <w:spacing w:lineRule="exact" w:line="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Page 3 of 3</w:t>
      </w:r>
    </w:p>
    <w:sectPr>
      <w:type w:val="continuous"/>
      <w:pgSz w:w="12240" w:h="15840"/>
      <w:pgMar w:left="720" w:right="720" w:gutter="0" w:header="0" w:top="705" w:footer="0" w:bottom="18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decimal"/>
      <w:lvlText w:val="%1."/>
      <w:lvlJc w:val="start"/>
      <w:pPr>
        <w:tabs>
          <w:tab w:val="num" w:pos="0"/>
        </w:tabs>
        <w:ind w:start="0" w:hanging="0"/>
      </w:pPr>
    </w:lvl>
  </w:abstractNum>
  <w:abstractNum w:abstractNumId="2">
    <w:lvl w:ilvl="0">
      <w:start w:val="15"/>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