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140" w:end="0"/>
        <w:rPr>
          <w:rFonts w:ascii="Arial" w:hAnsi="Arial" w:eastAsia="Arial" w:cs="Arial"/>
          <w:b/>
          <w:sz w:val="32"/>
          <w:u w:val="single"/>
        </w:rPr>
      </w:pPr>
      <w:bookmarkStart w:id="0" w:name="page1"/>
      <w:bookmarkEnd w:id="0"/>
      <w:r>
        <w:drawing>
          <wp:anchor behindDoc="1" distT="0" distB="0" distL="114935" distR="114935" simplePos="0" locked="0" layoutInCell="0" allowOverlap="1" relativeHeight="2">
            <wp:simplePos x="0" y="0"/>
            <wp:positionH relativeFrom="page">
              <wp:posOffset>711835</wp:posOffset>
            </wp:positionH>
            <wp:positionV relativeFrom="page">
              <wp:posOffset>241935</wp:posOffset>
            </wp:positionV>
            <wp:extent cx="914400" cy="914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0" r="-20" b="-20"/>
                    <a:stretch>
                      <a:fillRect/>
                    </a:stretch>
                  </pic:blipFill>
                  <pic:spPr bwMode="auto">
                    <a:xfrm>
                      <a:off x="0" y="0"/>
                      <a:ext cx="914400" cy="914400"/>
                    </a:xfrm>
                    <a:prstGeom prst="rect">
                      <a:avLst/>
                    </a:prstGeom>
                  </pic:spPr>
                </pic:pic>
              </a:graphicData>
            </a:graphic>
          </wp:anchor>
        </w:drawing>
      </w:r>
      <w:r>
        <w:rPr>
          <w:rFonts w:eastAsia="Arial" w:cs="Arial" w:ascii="Arial" w:hAnsi="Arial"/>
          <w:b/>
          <w:sz w:val="32"/>
          <w:u w:val="single"/>
        </w:rPr>
        <w:t>BUYOUT AGREEMENT DISCLOSURE FORM</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6"/>
        </w:rPr>
      </w:pPr>
      <w:r>
        <w:rPr>
          <w:rFonts w:eastAsia="Arial" w:cs="Arial" w:ascii="Arial" w:hAnsi="Arial"/>
          <w:b/>
          <w:sz w:val="16"/>
        </w:rPr>
        <w:t>Rent Stabilization Board</w:t>
      </w:r>
    </w:p>
    <w:p>
      <w:pPr>
        <w:pStyle w:val="Normal"/>
        <w:spacing w:lineRule="exact" w:line="3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Arial" w:hAnsi="Arial" w:eastAsia="Arial" w:cs="Arial"/>
          <w:b/>
          <w:sz w:val="32"/>
        </w:rPr>
      </w:pPr>
      <w:r>
        <w:rPr>
          <w:rFonts w:eastAsia="Arial" w:cs="Arial" w:ascii="Arial" w:hAnsi="Arial"/>
          <w:b/>
          <w:sz w:val="32"/>
        </w:rPr>
        <w:t>TENANT PROTECTIONS RELATED TO BUYOUT AGREEMENTS</w:t>
      </w:r>
    </w:p>
    <w:p>
      <w:pPr>
        <w:pStyle w:val="Normal"/>
        <w:spacing w:lineRule="exact" w:line="3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3"/>
        <w:ind w:start="20" w:end="140"/>
        <w:rPr/>
      </w:pPr>
      <w:r>
        <w:rPr>
          <w:rFonts w:eastAsia="Times New Roman" w:cs="Times New Roman" w:ascii="Times New Roman" w:hAnsi="Times New Roman"/>
          <w:sz w:val="28"/>
        </w:rPr>
        <w:t>Under Berkeley Municipal Code Chapter 13.79, a tenant has the following rights when considering whether to accept a landlord’s buyout offer: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80" w:leader="none"/>
        </w:tabs>
        <w:spacing w:lineRule="auto" w:line="218"/>
        <w:ind w:hanging="362" w:start="380" w:end="460"/>
        <w:rPr>
          <w:rFonts w:ascii="Times New Roman" w:hAnsi="Times New Roman" w:eastAsia="Times New Roman" w:cs="Times New Roman"/>
          <w:b/>
          <w:sz w:val="26"/>
        </w:rPr>
      </w:pPr>
      <w:r>
        <w:rPr>
          <w:rFonts w:eastAsia="Arial" w:cs="Arial" w:ascii="Arial" w:hAnsi="Arial"/>
          <w:b/>
          <w:sz w:val="26"/>
          <w:u w:val="single"/>
        </w:rPr>
        <w:t>The right NOT to enter into a buyout agreement.</w:t>
      </w:r>
      <w:r>
        <w:rPr>
          <w:rFonts w:eastAsia="Times New Roman" w:cs="Times New Roman" w:ascii="Times New Roman" w:hAnsi="Times New Roman"/>
          <w:sz w:val="26"/>
        </w:rPr>
        <w:t xml:space="preserve"> The tenant may refuse any buyout offer and the landlord is prohibited from retaliating for refusing the offer.</w:t>
      </w:r>
    </w:p>
    <w:p>
      <w:pPr>
        <w:pStyle w:val="Normal"/>
        <w:spacing w:lineRule="exact" w:line="388"/>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numPr>
          <w:ilvl w:val="0"/>
          <w:numId w:val="1"/>
        </w:numPr>
        <w:tabs>
          <w:tab w:val="clear" w:pos="720"/>
          <w:tab w:val="left" w:pos="380" w:leader="none"/>
        </w:tabs>
        <w:spacing w:lineRule="auto" w:line="213"/>
        <w:ind w:hanging="362" w:start="380" w:end="0"/>
        <w:rPr>
          <w:rFonts w:ascii="Times New Roman" w:hAnsi="Times New Roman" w:eastAsia="Times New Roman" w:cs="Times New Roman"/>
          <w:b/>
          <w:sz w:val="28"/>
        </w:rPr>
      </w:pPr>
      <w:r>
        <w:rPr>
          <w:rFonts w:eastAsia="Arial" w:cs="Arial" w:ascii="Arial" w:hAnsi="Arial"/>
          <w:b/>
          <w:sz w:val="28"/>
          <w:u w:val="single"/>
        </w:rPr>
        <w:t>The right to consult an attorney.</w:t>
      </w:r>
      <w:r>
        <w:rPr>
          <w:rFonts w:eastAsia="Times New Roman" w:cs="Times New Roman" w:ascii="Times New Roman" w:hAnsi="Times New Roman"/>
          <w:sz w:val="28"/>
        </w:rPr>
        <w:t xml:space="preserve"> The tenant has the right to consult with an attorney before deciding whether to accept a buyout offer. This right includes having</w:t>
      </w:r>
    </w:p>
    <w:p>
      <w:pPr>
        <w:pStyle w:val="Normal"/>
        <w:spacing w:lineRule="exact" w:line="6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04"/>
        <w:ind w:start="380" w:end="680"/>
        <w:rPr>
          <w:rFonts w:ascii="Times New Roman" w:hAnsi="Times New Roman" w:eastAsia="Times New Roman" w:cs="Times New Roman"/>
          <w:sz w:val="28"/>
        </w:rPr>
      </w:pPr>
      <w:r>
        <w:rPr>
          <w:rFonts w:eastAsia="Times New Roman" w:cs="Times New Roman" w:ascii="Times New Roman" w:hAnsi="Times New Roman"/>
          <w:sz w:val="28"/>
        </w:rPr>
        <w:t>an attorney review the written buyout offer as well as proposing changes to the agreement before it has been finalized and signed by all the parties.</w:t>
      </w:r>
    </w:p>
    <w:p>
      <w:pPr>
        <w:pStyle w:val="Normal"/>
        <w:spacing w:lineRule="exact" w:line="39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
        </w:numPr>
        <w:tabs>
          <w:tab w:val="clear" w:pos="720"/>
          <w:tab w:val="left" w:pos="380" w:leader="none"/>
        </w:tabs>
        <w:spacing w:lineRule="auto" w:line="232"/>
        <w:ind w:hanging="362" w:start="380" w:end="20"/>
        <w:rPr>
          <w:rFonts w:ascii="Times New Roman" w:hAnsi="Times New Roman" w:eastAsia="Times New Roman" w:cs="Times New Roman"/>
          <w:b/>
          <w:sz w:val="27"/>
        </w:rPr>
      </w:pPr>
      <w:r>
        <w:rPr>
          <w:rFonts w:eastAsia="Arial" w:cs="Arial" w:ascii="Arial" w:hAnsi="Arial"/>
          <w:b/>
          <w:sz w:val="27"/>
          <w:u w:val="single"/>
        </w:rPr>
        <w:t>A thirty-day right to rescind.</w:t>
      </w:r>
      <w:r>
        <w:rPr>
          <w:rFonts w:eastAsia="Times New Roman" w:cs="Times New Roman" w:ascii="Times New Roman" w:hAnsi="Times New Roman"/>
          <w:sz w:val="27"/>
        </w:rPr>
        <w:t xml:space="preserve"> The tenant may rescind the buyout agreement within thirty days after it is fully executed. This means that even after agreeing to the terms of the buyout, a tenant has the right to change his/her mind and cancel the buyout agreement. A landlord can neither negate this right by asking the tenant to waive the</w:t>
      </w:r>
    </w:p>
    <w:p>
      <w:pPr>
        <w:pStyle w:val="Normal"/>
        <w:spacing w:lineRule="exact" w:line="72"/>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04"/>
        <w:ind w:start="380" w:end="220"/>
        <w:rPr/>
      </w:pPr>
      <w:r>
        <w:rPr>
          <w:rFonts w:eastAsia="Times New Roman" w:cs="Times New Roman" w:ascii="Times New Roman" w:hAnsi="Times New Roman"/>
          <w:sz w:val="28"/>
        </w:rPr>
        <w:t>right to rescind nor demand that the tenant give an irrevocable written notice of the tenant’s intent to vacate the unit.</w:t>
      </w:r>
    </w:p>
    <w:p>
      <w:pPr>
        <w:pStyle w:val="Normal"/>
        <w:spacing w:lineRule="exact" w:line="389"/>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
        </w:numPr>
        <w:tabs>
          <w:tab w:val="clear" w:pos="720"/>
          <w:tab w:val="left" w:pos="380" w:leader="none"/>
        </w:tabs>
        <w:spacing w:lineRule="auto" w:line="228"/>
        <w:ind w:hanging="362" w:start="380" w:end="160"/>
        <w:rPr>
          <w:rFonts w:ascii="Times New Roman" w:hAnsi="Times New Roman" w:eastAsia="Times New Roman" w:cs="Times New Roman"/>
          <w:b/>
          <w:sz w:val="26"/>
        </w:rPr>
      </w:pPr>
      <w:r>
        <w:rPr>
          <w:rFonts w:eastAsia="Arial" w:cs="Arial" w:ascii="Arial" w:hAnsi="Arial"/>
          <w:b/>
          <w:sz w:val="26"/>
          <w:u w:val="single"/>
        </w:rPr>
        <w:t>The right to contact the Rent Board.</w:t>
      </w:r>
      <w:r>
        <w:rPr>
          <w:rFonts w:eastAsia="Times New Roman" w:cs="Times New Roman" w:ascii="Times New Roman" w:hAnsi="Times New Roman"/>
          <w:sz w:val="26"/>
        </w:rPr>
        <w:t xml:space="preserve"> A tenant may consult the Rent Stabilization Board with respect to the buyout agreement and the tenant’s rights in general.</w:t>
      </w:r>
    </w:p>
    <w:p>
      <w:pPr>
        <w:pStyle w:val="Normal"/>
        <w:spacing w:lineRule="exact" w:line="70"/>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04"/>
        <w:ind w:start="380" w:end="140"/>
        <w:rPr>
          <w:rFonts w:ascii="Times New Roman" w:hAnsi="Times New Roman" w:eastAsia="Times New Roman" w:cs="Times New Roman"/>
          <w:sz w:val="28"/>
        </w:rPr>
      </w:pPr>
      <w:r>
        <w:rPr>
          <w:rFonts w:eastAsia="Times New Roman" w:cs="Times New Roman" w:ascii="Times New Roman" w:hAnsi="Times New Roman"/>
          <w:sz w:val="28"/>
        </w:rPr>
        <w:t>Moreover, the landlord must file a copy of the completed agreement with the Board between 31 and 60 days from the date the agreement is executed.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pPr>
      <w:r>
        <w:rPr>
          <w:rFonts w:eastAsia="Times New Roman" w:cs="Times New Roman" w:ascii="Times New Roman" w:hAnsi="Times New Roman"/>
          <w:sz w:val="28"/>
        </w:rPr>
        <w:t>The City of Berkeley requires that landlords make relocation payments to their tenants under certain circumstances in which the tenants are displaced or evicted through no fault of their own. These legally-mandated relocation payments are not buyout agreements and do not limit the scope or applicability of buyout agreements in any way.</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40" w:right="1300" w:gutter="0" w:header="0" w:top="942" w:footer="0" w:bottom="727"/>
          <w:pgNumType w:fmt="decimal"/>
          <w:formProt w:val="false"/>
          <w:textDirection w:val="lrTb"/>
          <w:docGrid w:type="default" w:linePitch="360" w:charSpace="0"/>
        </w:sectPr>
        <w:pStyle w:val="Normal"/>
        <w:spacing w:lineRule="auto" w:line="244"/>
        <w:ind w:end="120"/>
        <w:rPr/>
      </w:pPr>
      <w:r>
        <w:rPr>
          <w:rFonts w:eastAsia="Times New Roman" w:cs="Times New Roman" w:ascii="Times New Roman" w:hAnsi="Times New Roman"/>
          <w:sz w:val="28"/>
        </w:rPr>
        <w:t xml:space="preserve">Tenants and landlords with questions about whether a relocation payment might be required by law and what amount is mandatory may contact the Rent Board for more information. </w:t>
      </w:r>
      <w:r>
        <w:rPr>
          <w:rFonts w:eastAsia="Times New Roman" w:cs="Times New Roman" w:ascii="Times New Roman" w:hAnsi="Times New Roman"/>
          <w:b/>
          <w:sz w:val="28"/>
        </w:rPr>
        <w:t>** Tenants should be aware that a buyout payment may be taxable as income, and they should seek advice from someone qualified to answer questions about possible tax implications. Rent Board staff cannot provide guidance regarding taxes. **</w:t>
      </w:r>
    </w:p>
    <w:p>
      <w:pPr>
        <w:pStyle w:val="Normal"/>
        <w:spacing w:lineRule="atLeast" w:line="0"/>
        <w:rPr>
          <w:rFonts w:ascii="Times New Roman" w:hAnsi="Times New Roman" w:eastAsia="Times New Roman" w:cs="Times New Roman"/>
        </w:rPr>
      </w:pPr>
      <w:bookmarkStart w:id="1" w:name="page2"/>
      <w:bookmarkEnd w:id="1"/>
      <w:r>
        <w:rPr>
          <w:rFonts w:eastAsia="Times New Roman" w:cs="Times New Roman" w:ascii="Times New Roman" w:hAnsi="Times New Roman"/>
        </w:rPr>
        <w:t>Buyout Agreement Disclosure Form</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Page 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8"/>
          <w:u w:val="single"/>
        </w:rPr>
      </w:pPr>
      <w:r>
        <w:rPr>
          <w:rFonts w:eastAsia="Times New Roman" w:cs="Times New Roman" w:ascii="Times New Roman" w:hAnsi="Times New Roman"/>
          <w:sz w:val="28"/>
          <w:u w:val="single"/>
        </w:rPr>
        <w:t>DECLARATION OF LANDLORD</w:t>
      </w:r>
    </w:p>
    <w:p>
      <w:pPr>
        <w:pStyle w:val="Normal"/>
        <w:spacing w:lineRule="exact" w:line="392"/>
        <w:rPr>
          <w:rFonts w:ascii="Times New Roman" w:hAnsi="Times New Roman" w:eastAsia="Times New Roman" w:cs="Times New Roman"/>
          <w:sz w:val="28"/>
          <w:u w:val="single"/>
        </w:rPr>
      </w:pPr>
      <w:r>
        <w:rPr>
          <w:rFonts w:eastAsia="Times New Roman" w:cs="Times New Roman" w:ascii="Times New Roman" w:hAnsi="Times New Roman"/>
          <w:sz w:val="28"/>
          <w:u w:val="single"/>
        </w:rPr>
      </w:r>
    </w:p>
    <w:p>
      <w:pPr>
        <w:pStyle w:val="Normal"/>
        <w:spacing w:lineRule="auto" w:line="213"/>
        <w:ind w:end="720"/>
        <w:rPr>
          <w:rFonts w:ascii="Times New Roman" w:hAnsi="Times New Roman" w:eastAsia="Times New Roman" w:cs="Times New Roman"/>
          <w:sz w:val="28"/>
        </w:rPr>
      </w:pPr>
      <w:r>
        <w:rPr>
          <w:rFonts w:eastAsia="Times New Roman" w:cs="Times New Roman" w:ascii="Times New Roman" w:hAnsi="Times New Roman"/>
          <w:sz w:val="28"/>
        </w:rPr>
        <w:t>I verify that I have given a copy of this Buyout Agreement Disclosure Form to the tenant(s).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460" w:leader="none"/>
        </w:tabs>
        <w:spacing w:lineRule="atLeast" w:line="0"/>
        <w:rPr/>
      </w:pPr>
      <w:r>
        <w:rPr>
          <w:rFonts w:eastAsia="Times New Roman" w:cs="Times New Roman" w:ascii="Times New Roman" w:hAnsi="Times New Roman"/>
          <w:sz w:val="28"/>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8"/>
        </w:rPr>
        <w:t>_____________</w:t>
      </w:r>
    </w:p>
    <w:p>
      <w:pPr>
        <w:pStyle w:val="Normal"/>
        <w:tabs>
          <w:tab w:val="clear" w:pos="720"/>
          <w:tab w:val="left" w:pos="6460" w:leader="none"/>
        </w:tabs>
        <w:spacing w:lineRule="atLeast" w:line="0"/>
        <w:rPr/>
      </w:pPr>
      <w:r>
        <w:rPr>
          <w:rFonts w:eastAsia="Times New Roman" w:cs="Times New Roman" w:ascii="Times New Roman" w:hAnsi="Times New Roman"/>
          <w:sz w:val="28"/>
        </w:rPr>
        <w:t>Signature of Landlord</w:t>
      </w:r>
      <w:r>
        <w:rPr>
          <w:rFonts w:eastAsia="Times New Roman" w:cs="Times New Roman" w:ascii="Times New Roman" w:hAnsi="Times New Roman"/>
        </w:rPr>
        <w:tab/>
      </w:r>
      <w:r>
        <w:rPr>
          <w:rFonts w:eastAsia="Times New Roman" w:cs="Times New Roman" w:ascii="Times New Roman" w:hAnsi="Times New Roman"/>
          <w:sz w:val="28"/>
        </w:rPr>
        <w:t>Date signed</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uto" w:line="204"/>
        <w:ind w:hanging="164" w:start="1080" w:end="220"/>
        <w:rPr>
          <w:rFonts w:ascii="Times New Roman" w:hAnsi="Times New Roman" w:eastAsia="Times New Roman" w:cs="Times New Roman"/>
          <w:sz w:val="28"/>
        </w:rPr>
      </w:pPr>
      <w:r>
        <w:rPr>
          <w:rFonts w:eastAsia="Times New Roman" w:cs="Times New Roman" w:ascii="Times New Roman" w:hAnsi="Times New Roman"/>
          <w:sz w:val="28"/>
        </w:rPr>
        <w:t>Landlord must keep a copy of this Buyout Agreement Disclosure Form for at least five (5) years after it has been signed by all parties.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8"/>
          <w:u w:val="single"/>
        </w:rPr>
      </w:pPr>
      <w:r>
        <w:rPr>
          <w:rFonts w:eastAsia="Times New Roman" w:cs="Times New Roman" w:ascii="Times New Roman" w:hAnsi="Times New Roman"/>
          <w:sz w:val="28"/>
          <w:u w:val="single"/>
        </w:rPr>
        <w:t>ACKNOWLEDGMENT OF TENANT(S)</w:t>
      </w:r>
    </w:p>
    <w:p>
      <w:pPr>
        <w:pStyle w:val="Normal"/>
        <w:spacing w:lineRule="exact" w:line="324"/>
        <w:rPr>
          <w:rFonts w:ascii="Times New Roman" w:hAnsi="Times New Roman" w:eastAsia="Times New Roman" w:cs="Times New Roman"/>
          <w:sz w:val="28"/>
          <w:u w:val="single"/>
        </w:rPr>
      </w:pPr>
      <w:r>
        <w:rPr>
          <w:rFonts w:eastAsia="Times New Roman" w:cs="Times New Roman" w:ascii="Times New Roman" w:hAnsi="Times New Roman"/>
          <w:sz w:val="28"/>
          <w:u w:val="single"/>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I verify that I have received a written Buyout Agreement Disclosure Form.</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60" w:leader="none"/>
        </w:tabs>
        <w:spacing w:lineRule="atLeast" w:line="0"/>
        <w:rPr/>
      </w:pPr>
      <w:r>
        <w:rPr>
          <w:rFonts w:eastAsia="Times New Roman" w:cs="Times New Roman" w:ascii="Times New Roman" w:hAnsi="Times New Roman"/>
          <w:sz w:val="28"/>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8"/>
        </w:rPr>
        <w:t>________________________</w:t>
      </w:r>
    </w:p>
    <w:p>
      <w:pPr>
        <w:pStyle w:val="Normal"/>
        <w:tabs>
          <w:tab w:val="clear" w:pos="720"/>
          <w:tab w:val="left" w:pos="6520" w:leader="none"/>
        </w:tabs>
        <w:spacing w:lineRule="atLeast" w:line="0"/>
        <w:rPr/>
      </w:pPr>
      <w:r>
        <w:rPr>
          <w:rFonts w:eastAsia="Times New Roman" w:cs="Times New Roman" w:ascii="Times New Roman" w:hAnsi="Times New Roman"/>
          <w:sz w:val="28"/>
        </w:rPr>
        <w:t>Signature of Tenant</w:t>
      </w:r>
      <w:r>
        <w:rPr>
          <w:rFonts w:eastAsia="Times New Roman" w:cs="Times New Roman" w:ascii="Times New Roman" w:hAnsi="Times New Roman"/>
        </w:rPr>
        <w:tab/>
      </w:r>
      <w:r>
        <w:rPr>
          <w:rFonts w:eastAsia="Times New Roman" w:cs="Times New Roman" w:ascii="Times New Roman" w:hAnsi="Times New Roman"/>
          <w:sz w:val="28"/>
        </w:rPr>
        <w:t>Date this notice was received</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60" w:leader="none"/>
        </w:tabs>
        <w:spacing w:lineRule="atLeast" w:line="0"/>
        <w:rPr/>
      </w:pPr>
      <w:r>
        <w:rPr>
          <w:rFonts w:eastAsia="Times New Roman" w:cs="Times New Roman" w:ascii="Times New Roman" w:hAnsi="Times New Roman"/>
          <w:sz w:val="28"/>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8"/>
        </w:rPr>
        <w:t>________________________</w:t>
      </w:r>
    </w:p>
    <w:p>
      <w:pPr>
        <w:pStyle w:val="Normal"/>
        <w:tabs>
          <w:tab w:val="clear" w:pos="720"/>
          <w:tab w:val="left" w:pos="6520" w:leader="none"/>
        </w:tabs>
        <w:spacing w:lineRule="atLeast" w:line="0"/>
        <w:rPr/>
      </w:pPr>
      <w:r>
        <w:rPr>
          <w:rFonts w:eastAsia="Times New Roman" w:cs="Times New Roman" w:ascii="Times New Roman" w:hAnsi="Times New Roman"/>
          <w:sz w:val="28"/>
        </w:rPr>
        <w:t>Signature of Tenant</w:t>
      </w:r>
      <w:r>
        <w:rPr>
          <w:rFonts w:eastAsia="Times New Roman" w:cs="Times New Roman" w:ascii="Times New Roman" w:hAnsi="Times New Roman"/>
        </w:rPr>
        <w:tab/>
      </w:r>
      <w:r>
        <w:rPr>
          <w:rFonts w:eastAsia="Times New Roman" w:cs="Times New Roman" w:ascii="Times New Roman" w:hAnsi="Times New Roman"/>
          <w:sz w:val="28"/>
        </w:rPr>
        <w:t>Date this notice was received</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560" w:leader="none"/>
        </w:tabs>
        <w:spacing w:lineRule="atLeast" w:line="0"/>
        <w:rPr/>
      </w:pPr>
      <w:r>
        <w:rPr>
          <w:rFonts w:eastAsia="Times New Roman" w:cs="Times New Roman" w:ascii="Times New Roman" w:hAnsi="Times New Roman"/>
          <w:sz w:val="28"/>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8"/>
        </w:rPr>
        <w:t>________________________</w:t>
      </w:r>
    </w:p>
    <w:p>
      <w:pPr>
        <w:pStyle w:val="Normal"/>
        <w:tabs>
          <w:tab w:val="clear" w:pos="720"/>
          <w:tab w:val="left" w:pos="6520" w:leader="none"/>
        </w:tabs>
        <w:spacing w:lineRule="atLeast" w:line="0"/>
        <w:rPr/>
      </w:pPr>
      <w:r>
        <w:rPr>
          <w:rFonts w:eastAsia="Times New Roman" w:cs="Times New Roman" w:ascii="Times New Roman" w:hAnsi="Times New Roman"/>
          <w:sz w:val="28"/>
        </w:rPr>
        <w:t>Signature of Tenant</w:t>
      </w:r>
      <w:r>
        <w:rPr>
          <w:rFonts w:eastAsia="Times New Roman" w:cs="Times New Roman" w:ascii="Times New Roman" w:hAnsi="Times New Roman"/>
        </w:rPr>
        <w:tab/>
      </w:r>
      <w:r>
        <w:rPr>
          <w:rFonts w:eastAsia="Times New Roman" w:cs="Times New Roman" w:ascii="Times New Roman" w:hAnsi="Times New Roman"/>
          <w:sz w:val="28"/>
        </w:rPr>
        <w:t>Date this notice was received</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20" w:end="220"/>
        <w:rPr>
          <w:rFonts w:ascii="Times New Roman" w:hAnsi="Times New Roman" w:eastAsia="Times New Roman" w:cs="Times New Roman"/>
          <w:b/>
          <w:sz w:val="28"/>
        </w:rPr>
      </w:pPr>
      <w:r>
        <w:rPr>
          <w:rFonts w:eastAsia="Times New Roman" w:cs="Times New Roman" w:ascii="Times New Roman" w:hAnsi="Times New Roman"/>
          <w:b/>
          <w:sz w:val="28"/>
        </w:rPr>
        <w:t>Tenants seeking advice regarding a buyout agreement that is being offered them by their landlord may contact either the East Bay Community Law Center at (510) 548-4040 or the Eviction Defense Center at (510) 452-4541.</w:t>
      </w:r>
    </w:p>
    <w:p>
      <w:pPr>
        <w:sectPr>
          <w:type w:val="nextPage"/>
          <w:pgSz w:w="12240" w:h="15840"/>
          <w:pgMar w:left="1080" w:right="1220" w:gutter="0" w:header="0" w:top="712" w:footer="0" w:bottom="7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59"/>
        <w:jc w:val="center"/>
        <w:rPr>
          <w:rFonts w:ascii="Arial" w:hAnsi="Arial" w:eastAsia="Arial" w:cs="Arial"/>
          <w:b/>
          <w:sz w:val="19"/>
        </w:rPr>
      </w:pPr>
      <w:r>
        <w:rPr>
          <w:rFonts w:eastAsia="Arial" w:cs="Arial" w:ascii="Arial" w:hAnsi="Arial"/>
          <w:b/>
          <w:sz w:val="19"/>
        </w:rPr>
        <w:t>2125 Milvia Street, Berkeley, California 94704</w:t>
      </w:r>
    </w:p>
    <w:p>
      <w:pPr>
        <w:pStyle w:val="Normal"/>
        <w:tabs>
          <w:tab w:val="clear" w:pos="720"/>
          <w:tab w:val="left" w:pos="180" w:leader="none"/>
          <w:tab w:val="left" w:pos="220" w:leader="none"/>
        </w:tabs>
        <w:spacing w:lineRule="atLeast" w:line="0"/>
        <w:ind w:end="-859"/>
        <w:jc w:val="center"/>
        <w:rPr/>
      </w:pPr>
      <w:r>
        <w:rPr>
          <w:rFonts w:eastAsia="Arial" w:cs="Arial" w:ascii="Arial" w:hAnsi="Arial"/>
          <w:b/>
          <w:sz w:val="19"/>
        </w:rPr>
        <w:t>TEL: (510) 981-7368 (981-RENT)</w:t>
      </w:r>
      <w:r>
        <w:rPr>
          <w:rFonts w:eastAsia="Times New Roman" w:cs="Times New Roman" w:ascii="Times New Roman" w:hAnsi="Times New Roman"/>
        </w:rPr>
        <w:tab/>
      </w:r>
      <w:r>
        <w:rPr>
          <w:rFonts w:eastAsia="Arial" w:cs="Arial" w:ascii="Arial" w:hAnsi="Arial"/>
          <w:b/>
          <w:sz w:val="19"/>
        </w:rPr>
        <w:t>TDD: (510)981-6903</w:t>
      </w:r>
      <w:r>
        <w:rPr>
          <w:rFonts w:eastAsia="Times New Roman" w:cs="Times New Roman" w:ascii="Times New Roman" w:hAnsi="Times New Roman"/>
        </w:rPr>
        <w:tab/>
      </w:r>
      <w:r>
        <w:rPr>
          <w:rFonts w:eastAsia="Arial" w:cs="Arial" w:ascii="Arial" w:hAnsi="Arial"/>
          <w:b/>
          <w:sz w:val="17"/>
        </w:rPr>
        <w:t>FAX: (510)981-4910</w:t>
      </w:r>
    </w:p>
    <w:p>
      <w:pPr>
        <w:pStyle w:val="Normal"/>
        <w:tabs>
          <w:tab w:val="clear" w:pos="720"/>
          <w:tab w:val="left" w:pos="5220" w:leader="none"/>
        </w:tabs>
        <w:spacing w:lineRule="atLeast" w:line="0"/>
        <w:ind w:start="2100" w:end="0"/>
        <w:rPr/>
      </w:pPr>
      <w:r>
        <w:rPr>
          <w:rFonts w:eastAsia="Arial" w:cs="Arial" w:ascii="Arial" w:hAnsi="Arial"/>
          <w:b/>
          <w:sz w:val="19"/>
        </w:rPr>
        <w:t>E-MAIL: rent@cityofberkeley.info</w:t>
      </w:r>
      <w:r>
        <w:rPr>
          <w:rFonts w:eastAsia="Times New Roman" w:cs="Times New Roman" w:ascii="Times New Roman" w:hAnsi="Times New Roman"/>
        </w:rPr>
        <w:tab/>
      </w:r>
      <w:r>
        <w:rPr>
          <w:rFonts w:eastAsia="Arial" w:cs="Arial" w:ascii="Arial" w:hAnsi="Arial"/>
          <w:b/>
          <w:sz w:val="17"/>
        </w:rPr>
        <w:t>INTERNET: www.cityofberkeley.info/rent</w:t>
      </w:r>
    </w:p>
    <w:sectPr>
      <w:type w:val="continuous"/>
      <w:pgSz w:w="12240" w:h="15840"/>
      <w:pgMar w:left="1080" w:right="1220" w:gutter="0" w:header="0" w:top="712" w:footer="0" w:bottom="7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