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14.png" ContentType="image/png"/>
  <Override PartName="/word/media/image5.png" ContentType="image/png"/>
  <Override PartName="/word/media/image37.png" ContentType="image/png"/>
  <Override PartName="/word/media/image15.png" ContentType="image/png"/>
  <Override PartName="/word/media/image6.png" ContentType="image/png"/>
  <Override PartName="/word/media/image38.png" ContentType="image/png"/>
  <Override PartName="/word/media/image13.png" ContentType="image/png"/>
  <Override PartName="/word/media/image36.png" ContentType="image/png"/>
  <Override PartName="/word/media/image4.png" ContentType="image/png"/>
  <Override PartName="/word/media/image40.png" ContentType="image/png"/>
  <Override PartName="/word/media/image41.png" ContentType="image/png"/>
  <Override PartName="/word/media/image30.png" ContentType="image/png"/>
  <Override PartName="/word/media/image42.png" ContentType="image/png"/>
  <Override PartName="/word/media/image31.png" ContentType="image/png"/>
  <Override PartName="/word/media/image43.png" ContentType="image/png"/>
  <Override PartName="/word/media/image32.png" ContentType="image/png"/>
  <Override PartName="/word/media/image44.png" ContentType="image/png"/>
  <Override PartName="/word/media/image45.png" ContentType="image/png"/>
  <Override PartName="/word/media/image10.png" ContentType="image/png"/>
  <Override PartName="/word/media/image46.png" ContentType="image/png"/>
  <Override PartName="/word/media/image11.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35.png" ContentType="image/png"/>
  <Override PartName="/word/media/image8.png" ContentType="image/png"/>
  <Override PartName="/word/media/image17.png" ContentType="image/png"/>
  <Override PartName="/word/media/image2.png" ContentType="image/png"/>
  <Override PartName="/word/media/image34.png" ContentType="image/png"/>
  <Override PartName="/word/media/image39.png" ContentType="image/png"/>
  <Override PartName="/word/media/image7.png" ContentType="image/png"/>
  <Override PartName="/word/media/image16.png" ContentType="image/png"/>
  <Override PartName="/word/media/image1.png" ContentType="image/png"/>
  <Override PartName="/word/media/image3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1371600</wp:posOffset>
            </wp:positionH>
            <wp:positionV relativeFrom="page">
              <wp:posOffset>914400</wp:posOffset>
            </wp:positionV>
            <wp:extent cx="5718175" cy="786320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5718175" cy="786320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366"/>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atLeast" w:line="0"/>
        <w:ind w:start="4120" w:end="0"/>
        <w:rPr>
          <w:rFonts w:ascii="Times New Roman" w:hAnsi="Times New Roman" w:eastAsia="Times New Roman" w:cs="Times New Roman"/>
          <w:b/>
          <w:sz w:val="24"/>
          <w:u w:val="single"/>
        </w:rPr>
      </w:pPr>
      <w:bookmarkStart w:id="2" w:name="page2"/>
      <w:bookmarkEnd w:id="2"/>
      <w:r>
        <w:rPr>
          <w:rFonts w:eastAsia="Times New Roman" w:cs="Times New Roman" w:ascii="Times New Roman" w:hAnsi="Times New Roman"/>
          <w:b/>
          <w:sz w:val="24"/>
          <w:u w:val="single"/>
        </w:rPr>
        <w:t>Table of Contents</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3700" w:leader="none"/>
          <w:tab w:val="left" w:pos="8840" w:leader="none"/>
        </w:tabs>
        <w:spacing w:lineRule="atLeast" w:line="0"/>
        <w:ind w:start="1440" w:end="0"/>
        <w:rPr/>
      </w:pPr>
      <w:r>
        <w:rPr>
          <w:rFonts w:eastAsia="Times New Roman" w:cs="Times New Roman" w:ascii="Times New Roman" w:hAnsi="Times New Roman"/>
          <w:b/>
          <w:sz w:val="24"/>
          <w:u w:val="single"/>
        </w:rPr>
        <w:t>Section</w:t>
      </w:r>
      <w:r>
        <w:rPr>
          <w:rFonts w:eastAsia="Times New Roman" w:cs="Times New Roman" w:ascii="Times New Roman" w:hAnsi="Times New Roman"/>
        </w:rPr>
        <w:tab/>
      </w:r>
      <w:r>
        <w:rPr>
          <w:rFonts w:eastAsia="Times New Roman" w:cs="Times New Roman" w:ascii="Times New Roman" w:hAnsi="Times New Roman"/>
          <w:b/>
          <w:sz w:val="24"/>
          <w:u w:val="single"/>
        </w:rPr>
        <w:t>Title</w:t>
      </w:r>
      <w:r>
        <w:rPr>
          <w:rFonts w:eastAsia="Times New Roman" w:cs="Times New Roman" w:ascii="Times New Roman" w:hAnsi="Times New Roman"/>
        </w:rPr>
        <w:tab/>
      </w:r>
      <w:r>
        <w:rPr>
          <w:rFonts w:eastAsia="Times New Roman" w:cs="Times New Roman" w:ascii="Times New Roman" w:hAnsi="Times New Roman"/>
          <w:b/>
          <w:sz w:val="24"/>
          <w:u w:val="single"/>
        </w:rPr>
        <w:t>Page</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1"/>
        </w:numPr>
        <w:tabs>
          <w:tab w:val="clear" w:pos="720"/>
          <w:tab w:val="left" w:pos="2880" w:leader="none"/>
        </w:tabs>
        <w:spacing w:lineRule="atLeast" w:line="0"/>
        <w:ind w:hanging="1440" w:start="2880" w:end="0"/>
        <w:rPr>
          <w:rFonts w:ascii="Times New Roman" w:hAnsi="Times New Roman" w:eastAsia="Times New Roman" w:cs="Times New Roman"/>
          <w:b/>
          <w:sz w:val="24"/>
        </w:rPr>
      </w:pPr>
      <w:r>
        <w:rPr>
          <w:rFonts w:eastAsia="Times New Roman" w:cs="Times New Roman" w:ascii="Times New Roman" w:hAnsi="Times New Roman"/>
          <w:b/>
          <w:sz w:val="24"/>
        </w:rPr>
        <w:t>Offer to Purchase the Securities; Execution of Terms and</w:t>
      </w:r>
    </w:p>
    <w:tbl>
      <w:tblPr>
        <w:tblW w:w="8000" w:type="dxa"/>
        <w:jc w:val="start"/>
        <w:tblInd w:w="1360" w:type="dxa"/>
        <w:tblLayout w:type="fixed"/>
        <w:tblCellMar>
          <w:top w:w="0" w:type="dxa"/>
          <w:start w:w="0" w:type="dxa"/>
          <w:bottom w:w="0" w:type="dxa"/>
          <w:end w:w="0" w:type="dxa"/>
        </w:tblCellMar>
      </w:tblPr>
      <w:tblGrid>
        <w:gridCol w:w="1440"/>
        <w:gridCol w:w="5720"/>
        <w:gridCol w:w="840"/>
      </w:tblGrid>
      <w:tr>
        <w:trPr>
          <w:trHeight w:val="276" w:hRule="atLeast"/>
        </w:trPr>
        <w:tc>
          <w:tcPr>
            <w:tcW w:w="1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Acceptance</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3</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2.</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Documents Comprising the Agreement</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3</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3.</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Purchase of the Securities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4</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4.</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Purchase Price</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4</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5.</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Good Faith Deposit</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5</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6.</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Official Statement</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6</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7.</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Third-Party Credit Enhancement or Support</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8.</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Ratings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9.</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Closing Date</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8</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10.</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Issue Price Certificate</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8</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11.</w:t>
            </w:r>
          </w:p>
        </w:tc>
        <w:tc>
          <w:tcPr>
            <w:tcW w:w="5720" w:type="dxa"/>
            <w:tcBorders/>
          </w:tcPr>
          <w:p>
            <w:pPr>
              <w:pStyle w:val="Normal"/>
              <w:spacing w:lineRule="atLeast" w:line="0"/>
              <w:ind w:start="80" w:end="0"/>
              <w:rPr/>
            </w:pPr>
            <w:r>
              <w:rPr>
                <w:rFonts w:eastAsia="Times New Roman" w:cs="Times New Roman" w:ascii="Times New Roman" w:hAnsi="Times New Roman"/>
                <w:b/>
                <w:sz w:val="24"/>
              </w:rPr>
              <w:t>Accountants’ Letter</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8</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12.</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Indemnification and Contribution</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9</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13.</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Counterparts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10</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14.</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Signatures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10</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Schedule I</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Terms of Securities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I-1</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Schedule II</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Defined Terms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II-1</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Schedule III</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Modifications to the Agreement and</w:t>
            </w:r>
          </w:p>
        </w:tc>
        <w:tc>
          <w:tcPr>
            <w:tcW w:w="8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76" w:hRule="atLeast"/>
        </w:trPr>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Other Required State- or Issuer-Specific Provisions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III-1</w:t>
            </w:r>
          </w:p>
        </w:tc>
      </w:tr>
      <w:tr>
        <w:trPr>
          <w:trHeight w:val="276"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Schedule IV</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Representations and Warranties</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IV-1</w:t>
            </w:r>
          </w:p>
        </w:tc>
      </w:tr>
      <w:tr>
        <w:trPr>
          <w:trHeight w:val="318" w:hRule="atLeast"/>
        </w:trPr>
        <w:tc>
          <w:tcPr>
            <w:tcW w:w="144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Schedule V</w:t>
            </w:r>
          </w:p>
        </w:tc>
        <w:tc>
          <w:tcPr>
            <w:tcW w:w="572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Items to be Delivered at Closing</w:t>
            </w:r>
          </w:p>
        </w:tc>
        <w:tc>
          <w:tcPr>
            <w:tcW w:w="8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V-I</w:t>
            </w:r>
          </w:p>
        </w:tc>
      </w:tr>
      <w:tr>
        <w:trPr>
          <w:trHeight w:val="491" w:hRule="atLeast"/>
        </w:trPr>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796925</wp:posOffset>
            </wp:positionH>
            <wp:positionV relativeFrom="paragraph">
              <wp:posOffset>-155575</wp:posOffset>
            </wp:positionV>
            <wp:extent cx="5378450" cy="11112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6" r="-3" b="-16"/>
                    <a:stretch>
                      <a:fillRect/>
                    </a:stretch>
                  </pic:blipFill>
                  <pic:spPr bwMode="auto">
                    <a:xfrm>
                      <a:off x="0" y="0"/>
                      <a:ext cx="5378450" cy="11112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i/>
          <w:sz w:val="24"/>
        </w:rPr>
        <w:t>Issuer:</w:t>
      </w:r>
      <w:r>
        <w:rPr>
          <w:rFonts w:eastAsia="Times New Roman" w:cs="Times New Roman" w:ascii="Times New Roman" w:hAnsi="Times New Roman"/>
          <w:sz w:val="24"/>
        </w:rPr>
        <w:t xml:space="preserve"> _________________________________________________________________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680" w:leader="none"/>
        </w:tabs>
        <w:spacing w:lineRule="atLeast" w:line="0"/>
        <w:ind w:start="720" w:end="0"/>
        <w:rPr/>
      </w:pPr>
      <w:r>
        <w:rPr>
          <w:rFonts w:eastAsia="Times New Roman" w:cs="Times New Roman" w:ascii="Times New Roman" w:hAnsi="Times New Roman"/>
          <w:i/>
          <w:sz w:val="24"/>
        </w:rPr>
        <w:t>Senior Manager:</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_______________________________________________________,</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60"/>
        <w:jc w:val="both"/>
        <w:rPr>
          <w:rFonts w:ascii="Times New Roman" w:hAnsi="Times New Roman" w:eastAsia="Times New Roman" w:cs="Times New Roman"/>
          <w:sz w:val="24"/>
        </w:rPr>
      </w:pPr>
      <w:r>
        <w:rPr>
          <w:rFonts w:eastAsia="Times New Roman" w:cs="Times New Roman" w:ascii="Times New Roman" w:hAnsi="Times New Roman"/>
          <w:sz w:val="24"/>
        </w:rPr>
        <w:t>acting on behalf of itself and the other Underwriters (if any) listed on the signature page below.</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Securities:</w:t>
      </w:r>
      <w:r>
        <w:rPr>
          <w:rFonts w:eastAsia="Times New Roman" w:cs="Times New Roman" w:ascii="Times New Roman" w:hAnsi="Times New Roman"/>
          <w:sz w:val="24"/>
        </w:rPr>
        <w:t xml:space="preserve"> $_____________________________________________________________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Acceptance Deadline: ____________</w:t>
      </w:r>
      <w:r>
        <w:rPr>
          <w:rFonts w:eastAsia="Times New Roman" w:cs="Times New Roman" w:ascii="Times New Roman" w:hAnsi="Times New Roman"/>
          <w:sz w:val="24"/>
        </w:rPr>
        <w:t>__, 20__, __:__ a.m./p.m. (_____________ time).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Effective Date and Time:____________</w:t>
      </w:r>
      <w:r>
        <w:rPr>
          <w:rFonts w:eastAsia="Times New Roman" w:cs="Times New Roman" w:ascii="Times New Roman" w:hAnsi="Times New Roman"/>
          <w:sz w:val="24"/>
        </w:rPr>
        <w:t>__, 20__, __:__ a.m./p.m. (_____________ time).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Closing Date:</w:t>
      </w:r>
      <w:r>
        <w:rPr>
          <w:rFonts w:eastAsia="Times New Roman" w:cs="Times New Roman" w:ascii="Times New Roman" w:hAnsi="Times New Roman"/>
          <w:sz w:val="24"/>
        </w:rPr>
        <w:t xml:space="preserve"> ________________, 20__</w:t>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380" w:gutter="0" w:header="0" w:top="1417" w:footer="0" w:bottom="160"/>
          <w:pgNumType w:fmt="decimal"/>
          <w:formProt w:val="false"/>
          <w:textDirection w:val="lrTb"/>
          <w:docGrid w:type="default" w:linePitch="360" w:charSpace="0"/>
        </w:sectPr>
      </w:pP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380" w:gutter="0" w:header="0" w:top="1417" w:footer="0" w:bottom="160"/>
          <w:formProt w:val="false"/>
          <w:textDirection w:val="lrTb"/>
          <w:docGrid w:type="default" w:linePitch="360" w:charSpace="0"/>
        </w:sectPr>
      </w:pP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numPr>
          <w:ilvl w:val="0"/>
          <w:numId w:val="2"/>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Offer to Purchase the Securities; Execution of Terms and Acceptance</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720" w:start="720" w:end="60"/>
        <w:jc w:val="both"/>
        <w:rPr/>
      </w:pPr>
      <w:r>
        <w:rPr>
          <w:rFonts w:eastAsia="Times New Roman" w:cs="Times New Roman" w:ascii="Times New Roman" w:hAnsi="Times New Roman"/>
          <w:sz w:val="24"/>
        </w:rPr>
        <w:t>The Issuer and the Senior Manager, acting on behalf of itself and the Underwriters (if any) listed on the signature page below (together with the Senior Manager, the “</w:t>
      </w:r>
      <w:r>
        <w:rPr>
          <w:rFonts w:eastAsia="Times New Roman" w:cs="Times New Roman" w:ascii="Times New Roman" w:hAnsi="Times New Roman"/>
          <w:i/>
          <w:sz w:val="24"/>
        </w:rPr>
        <w:t>Underwriters</w:t>
      </w:r>
      <w:r>
        <w:rPr>
          <w:rFonts w:eastAsia="Times New Roman" w:cs="Times New Roman" w:ascii="Times New Roman" w:hAnsi="Times New Roman"/>
          <w:sz w:val="24"/>
        </w:rPr>
        <w:t>”), are entering into this Bond Purchase Agreement (the “</w:t>
      </w:r>
      <w:r>
        <w:rPr>
          <w:rFonts w:eastAsia="Times New Roman" w:cs="Times New Roman" w:ascii="Times New Roman" w:hAnsi="Times New Roman"/>
          <w:i/>
          <w:sz w:val="24"/>
        </w:rPr>
        <w:t>Agreement</w:t>
      </w:r>
      <w:r>
        <w:rPr>
          <w:rFonts w:eastAsia="Times New Roman" w:cs="Times New Roman" w:ascii="Times New Roman" w:hAnsi="Times New Roman"/>
          <w:sz w:val="24"/>
        </w:rPr>
        <w:t>”), to provide for the purchase and sale of the Securities identified above. The Securities are further described in Schedule I.</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start="720" w:end="0"/>
        <w:jc w:val="both"/>
        <w:rPr/>
      </w:pPr>
      <w:r>
        <w:rPr>
          <w:rFonts w:eastAsia="Times New Roman" w:cs="Times New Roman" w:ascii="Times New Roman" w:hAnsi="Times New Roman"/>
          <w:sz w:val="24"/>
        </w:rPr>
        <w:t>The Underwriters hereby offer to purchase all (but not less than all) of the Securities from, and to enter into this Agreement with, the Issuer. This offer is subject to acceptance by the Issuer by the Acceptance Deadline and, if not so accepted, will be subject to withdrawal by the Underwriters by written notice delivered to the Issuer at any time prior to acceptance. The Issuer shall accept this Agreement by its execution of this Bond Purchase Agreement Terms and Acceptance (“</w:t>
      </w:r>
      <w:r>
        <w:rPr>
          <w:rFonts w:eastAsia="Times New Roman" w:cs="Times New Roman" w:ascii="Times New Roman" w:hAnsi="Times New Roman"/>
          <w:i/>
          <w:sz w:val="24"/>
        </w:rPr>
        <w:t>BPA Terms and Acceptance</w:t>
      </w:r>
      <w:r>
        <w:rPr>
          <w:rFonts w:eastAsia="Times New Roman" w:cs="Times New Roman" w:ascii="Times New Roman" w:hAnsi="Times New Roman"/>
          <w:sz w:val="24"/>
        </w:rPr>
        <w:t>”). Upon such execution, the Agreement will be binding upon the Underwriters and the Issuer. The Senior Manager is acting on behalf of the Underwriters under this Agreement. This Agreement is effective as of the Effective Date and Time.</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Documents Comprising the Agreement</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firstLine="720" w:start="720" w:end="60"/>
        <w:jc w:val="both"/>
        <w:rPr>
          <w:rFonts w:ascii="Times New Roman" w:hAnsi="Times New Roman" w:eastAsia="Times New Roman" w:cs="Times New Roman"/>
          <w:sz w:val="24"/>
        </w:rPr>
      </w:pPr>
      <w:r>
        <w:rPr>
          <w:rFonts w:eastAsia="Times New Roman" w:cs="Times New Roman" w:ascii="Times New Roman" w:hAnsi="Times New Roman"/>
          <w:sz w:val="24"/>
        </w:rPr>
        <w:t>This Agreement consists of this BPA Terms and Acceptance, the following Schedules and the BPA General Provisions and Conditions, all of which are incorporated herein and constitute part of this Agreement as if fully restated herein. The Schedules are as follows: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Schedule I:</w:t>
        <w:tab/>
        <w:t>Terms of the Securities</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Schedule II:</w:t>
      </w:r>
      <w:r>
        <w:rPr>
          <w:rFonts w:eastAsia="Times New Roman" w:cs="Times New Roman" w:ascii="Times New Roman" w:hAnsi="Times New Roman"/>
        </w:rPr>
        <w:tab/>
      </w:r>
      <w:r>
        <w:rPr>
          <w:rFonts w:eastAsia="Times New Roman" w:cs="Times New Roman" w:ascii="Times New Roman" w:hAnsi="Times New Roman"/>
          <w:sz w:val="23"/>
        </w:rPr>
        <w:t>Defined Terms</w:t>
      </w:r>
    </w:p>
    <w:p>
      <w:pPr>
        <w:pStyle w:val="Normal"/>
        <w:spacing w:lineRule="atLeast" w:line="0"/>
        <w:ind w:hanging="299" w:start="1740" w:end="60"/>
        <w:rPr/>
      </w:pPr>
      <w:r>
        <w:rPr>
          <w:rFonts w:eastAsia="Times New Roman" w:cs="Times New Roman" w:ascii="Times New Roman" w:hAnsi="Times New Roman"/>
          <w:sz w:val="24"/>
        </w:rPr>
        <w:t>Schedule III:</w:t>
      </w:r>
      <w:r>
        <w:rPr>
          <w:rFonts w:eastAsia="Times New Roman" w:cs="Times New Roman" w:ascii="Times New Roman" w:hAnsi="Times New Roman"/>
        </w:rPr>
        <w:t xml:space="preserve"> </w:t>
      </w:r>
      <w:r>
        <w:rPr>
          <w:rFonts w:eastAsia="Times New Roman" w:cs="Times New Roman" w:ascii="Times New Roman" w:hAnsi="Times New Roman"/>
          <w:sz w:val="24"/>
        </w:rPr>
        <w:t>Modifications to the Agreement and Other Required State- or Issuer-Specific Provisions</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Schedule IV:  Issuer and Underwriter Representations</w:t>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Schedule V:</w:t>
        <w:tab/>
        <w:t>Items to be Delivered at Closing</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start="720" w:end="60"/>
        <w:jc w:val="both"/>
        <w:rPr/>
      </w:pPr>
      <w:r>
        <w:rPr>
          <w:rFonts w:eastAsia="Times New Roman" w:cs="Times New Roman" w:ascii="Times New Roman" w:hAnsi="Times New Roman"/>
          <w:i/>
          <w:sz w:val="24"/>
        </w:rPr>
        <w:t>This Agreement shall include all provisions contained in the BPA General Provisions and Conditions except as otherwise specified in this BPA Terms and Acceptance or as modified in Schedule III.</w:t>
      </w:r>
      <w:r>
        <w:rPr>
          <w:rFonts w:eastAsia="Times New Roman" w:cs="Times New Roman" w:ascii="Times New Roman" w:hAnsi="Times New Roman"/>
          <w:sz w:val="24"/>
        </w:rPr>
        <w:t xml:space="preserve"> All capitalized terms used in this BPA Terms and Acceptance and not otherwise defined are used as defined in Schedule II or in the BPA General Provisions and Conditions.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380" w:gutter="0" w:header="0" w:top="1440" w:footer="0" w:bottom="160"/>
          <w:pgNumType w:fmt="decimal"/>
          <w:formProt w:val="false"/>
          <w:textDirection w:val="lrTb"/>
          <w:docGrid w:type="default" w:linePitch="360" w:charSpace="0"/>
        </w:sect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3</w:t>
      </w:r>
    </w:p>
    <w:p>
      <w:pPr>
        <w:pStyle w:val="Normal"/>
        <w:numPr>
          <w:ilvl w:val="0"/>
          <w:numId w:val="4"/>
        </w:numPr>
        <w:tabs>
          <w:tab w:val="clear" w:pos="720"/>
          <w:tab w:val="left" w:pos="1440" w:leader="none"/>
        </w:tabs>
        <w:spacing w:lineRule="atLeast" w:line="0"/>
        <w:ind w:hanging="720" w:start="1440" w:end="0"/>
        <w:rPr>
          <w:rFonts w:ascii="Times New Roman" w:hAnsi="Times New Roman" w:eastAsia="Times New Roman" w:cs="Times New Roman"/>
          <w:b/>
          <w:sz w:val="24"/>
        </w:rPr>
      </w:pPr>
      <w:bookmarkStart w:id="5" w:name="page4"/>
      <w:bookmarkEnd w:id="5"/>
      <w:r>
        <w:rPr>
          <w:rFonts w:eastAsia="Times New Roman" w:cs="Times New Roman" w:ascii="Times New Roman" w:hAnsi="Times New Roman"/>
          <w:b/>
          <w:sz w:val="24"/>
        </w:rPr>
        <w:t>Purchase of the Securities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796925</wp:posOffset>
            </wp:positionH>
            <wp:positionV relativeFrom="paragraph">
              <wp:posOffset>167005</wp:posOffset>
            </wp:positionV>
            <wp:extent cx="5378450" cy="226758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8" r="-3" b="-8"/>
                    <a:stretch>
                      <a:fillRect/>
                    </a:stretch>
                  </pic:blipFill>
                  <pic:spPr bwMode="auto">
                    <a:xfrm>
                      <a:off x="0" y="0"/>
                      <a:ext cx="5378450" cy="22675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720" w:start="720" w:end="0"/>
        <w:jc w:val="both"/>
        <w:rPr/>
      </w:pPr>
      <w:r>
        <w:rPr>
          <w:rFonts w:eastAsia="Times New Roman" w:cs="Times New Roman" w:ascii="Times New Roman" w:hAnsi="Times New Roman"/>
          <w:sz w:val="24"/>
        </w:rPr>
        <w:t>The Underwriters, jointly and severally, shall purchase from the Issuer, and the Issuer shall sell to the Underwriters, all (but not less than all) of the Securities on the Closing Date at the aggregate Purchase Price set forth below, plus accrued interest (if any). The Securities shall bear interest at the rates per annum, mature on the dates, be sold to the public at the prices and be subject to optional and mandatory sinking fund redemption prior to maturity and to such other terms and provisions, all as set forth in Schedule I. The Securities otherwise shall be as described in the Official Statement, the Bond Legislation and the Issuer Documents. The Underwriters’ agreement to purchase the Securities from the Issuer is made in reliance upon the Issuer’s representations, covenants and warranties and on the terms and conditions set forth in this Agreement.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720" w:end="0"/>
        <w:jc w:val="both"/>
        <w:rPr/>
      </w:pPr>
      <w:r>
        <w:rPr>
          <w:rFonts w:eastAsia="Times New Roman" w:cs="Times New Roman" w:ascii="Times New Roman" w:hAnsi="Times New Roman"/>
          <w:sz w:val="24"/>
        </w:rPr>
        <w:t>The Issuer acknowledges and agrees that (i) the purchase and sale of the Securities pursuant to this Agreement is an arm’s-length commercial transaction between the Issuer and the Underwriters, (ii) in connection with such transaction, each Underwriter is acting solely as a principal and not as an agent or a fiduciary of the Issuer,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140"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Underwriters have not assumed (individually or collectively) a fiduciary responsibility in favor of the Issuer with respect to the offering of the Securities or the process leading thereto (whether or not any Underwriter, or any affiliate of an Underwriter, has advised or is currently advising the Issuer on other matters) or any other obligation to the Issuer except the obligations expressly set forth in this Agreement and</w:t>
      </w:r>
    </w:p>
    <w:p>
      <w:pPr>
        <w:pStyle w:val="Normal"/>
        <w:numPr>
          <w:ilvl w:val="0"/>
          <w:numId w:val="5"/>
        </w:numPr>
        <w:tabs>
          <w:tab w:val="clear" w:pos="720"/>
          <w:tab w:val="left" w:pos="1170" w:leader="none"/>
        </w:tabs>
        <w:spacing w:lineRule="auto" w:line="247"/>
        <w:ind w:start="720" w:end="0"/>
        <w:rPr>
          <w:rFonts w:ascii="Times New Roman" w:hAnsi="Times New Roman" w:eastAsia="Times New Roman" w:cs="Times New Roman"/>
          <w:sz w:val="24"/>
        </w:rPr>
      </w:pPr>
      <w:r>
        <w:rPr>
          <w:rFonts w:eastAsia="Times New Roman" w:cs="Times New Roman" w:ascii="Times New Roman" w:hAnsi="Times New Roman"/>
          <w:sz w:val="24"/>
        </w:rPr>
        <w:t>the Issuer has consulted with its own legal and financial advisors to the extent it deemed appropriate in connection with the offering of the Securities.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Purchase Price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
            <wp:simplePos x="0" y="0"/>
            <wp:positionH relativeFrom="column">
              <wp:posOffset>796925</wp:posOffset>
            </wp:positionH>
            <wp:positionV relativeFrom="paragraph">
              <wp:posOffset>167005</wp:posOffset>
            </wp:positionV>
            <wp:extent cx="5378450" cy="88836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20" r="-3" b="-20"/>
                    <a:stretch>
                      <a:fillRect/>
                    </a:stretch>
                  </pic:blipFill>
                  <pic:spPr bwMode="auto">
                    <a:xfrm>
                      <a:off x="0" y="0"/>
                      <a:ext cx="5378450" cy="8883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440" w:gutter="0" w:header="0" w:top="1417" w:footer="0" w:bottom="160"/>
          <w:pgNumType w:fmt="decimal"/>
          <w:formProt w:val="false"/>
          <w:textDirection w:val="lrTb"/>
          <w:docGrid w:type="default" w:linePitch="360" w:charSpace="0"/>
        </w:sectPr>
      </w:pP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1417" w:footer="0" w:bottom="16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6">
            <wp:simplePos x="0" y="0"/>
            <wp:positionH relativeFrom="page">
              <wp:posOffset>1711325</wp:posOffset>
            </wp:positionH>
            <wp:positionV relativeFrom="page">
              <wp:posOffset>914400</wp:posOffset>
            </wp:positionV>
            <wp:extent cx="5378450" cy="9652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9" r="-3" b="-19"/>
                    <a:stretch>
                      <a:fillRect/>
                    </a:stretch>
                  </pic:blipFill>
                  <pic:spPr bwMode="auto">
                    <a:xfrm>
                      <a:off x="0" y="0"/>
                      <a:ext cx="5378450" cy="965200"/>
                    </a:xfrm>
                    <a:prstGeom prst="rect">
                      <a:avLst/>
                    </a:prstGeom>
                  </pic:spPr>
                </pic:pic>
              </a:graphicData>
            </a:graphic>
          </wp:anchor>
        </w:drawing>
      </w:r>
      <w:bookmarkStart w:id="6" w:name="page5"/>
      <w:bookmarkStart w:id="7" w:name="page5"/>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A</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The  Purchase  Price  of  the  Securities  is  $_____________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(representing the principal amount of the Securities, less Underwriters’ discount of $________, and less/plus net original issue discount/premium of $_____________), plus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jc w:val="both"/>
        <w:rPr/>
      </w:pPr>
      <w:r>
        <w:rPr>
          <w:rFonts w:eastAsia="Times New Roman" w:cs="Times New Roman" w:ascii="Times New Roman" w:hAnsi="Times New Roman"/>
          <w:sz w:val="24"/>
        </w:rPr>
        <w:t xml:space="preserve">accrued interest, if any, to the Closing Date. The Purchase Price shall be payable on the Closing Date by the Underwriters to or as directed by the Issuer by [cashiers check] </w:t>
      </w:r>
      <w:r>
        <w:rPr>
          <w:rFonts w:eastAsia="Times New Roman" w:cs="Times New Roman" w:ascii="Times New Roman" w:hAnsi="Times New Roman"/>
          <w:i/>
          <w:sz w:val="24"/>
          <w:u w:val="single"/>
        </w:rPr>
        <w:t>or</w:t>
      </w:r>
      <w:r>
        <w:rPr>
          <w:rFonts w:eastAsia="Times New Roman" w:cs="Times New Roman" w:ascii="Times New Roman" w:hAnsi="Times New Roman"/>
          <w:sz w:val="24"/>
        </w:rPr>
        <w:t xml:space="preserve"> [wire transfer in immediately available funds] or as otherwise agreed by the Issuer and the Senior Manager as follows: ____________________________________________. [In accordance with Section 10 of the BPA General Provisions and Conditions, the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Underwriters  also  will  be  reimbursed  for  the  following  out-of-pocket  expenses: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B</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The Purchase Price of the Securities is $__________ (representing</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principal amount of the Securities, less/plus net original issue discount/premium of $___________), plus accrued interest, if any, to the Closing Date. The Purchase Price</w:t>
      </w:r>
    </w:p>
    <w:p>
      <w:pPr>
        <w:pStyle w:val="Normal"/>
        <w:spacing w:lineRule="atLeast" w:line="0"/>
        <w:ind w:start="720" w:end="0"/>
        <w:jc w:val="both"/>
        <w:rPr/>
      </w:pPr>
      <w:r>
        <w:rPr>
          <w:rFonts w:eastAsia="Times New Roman" w:cs="Times New Roman" w:ascii="Times New Roman" w:hAnsi="Times New Roman"/>
          <w:sz w:val="24"/>
        </w:rPr>
        <w:t xml:space="preserve">shall be payable on the Closing Date by the Underwriters to or as directed by the Issuer by [cashier’s check] </w:t>
      </w:r>
      <w:r>
        <w:rPr>
          <w:rFonts w:eastAsia="Times New Roman" w:cs="Times New Roman" w:ascii="Times New Roman" w:hAnsi="Times New Roman"/>
          <w:i/>
          <w:sz w:val="24"/>
        </w:rPr>
        <w:t>or</w:t>
      </w:r>
      <w:r>
        <w:rPr>
          <w:rFonts w:eastAsia="Times New Roman" w:cs="Times New Roman" w:ascii="Times New Roman" w:hAnsi="Times New Roman"/>
          <w:sz w:val="24"/>
        </w:rPr>
        <w:t xml:space="preserve"> [wire transfer in immediately available funds] or as otherwise agreed by the Issuer and the Senior Manager as follows: __________________________.</w:t>
      </w:r>
    </w:p>
    <w:p>
      <w:pPr>
        <w:pStyle w:val="Normal"/>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In consideration for their purchase of the Securities, the Issuer will pay the Underwriters an underwriting commission of $___________, payable on the Closing Date to the Senior</w:t>
      </w:r>
    </w:p>
    <w:p>
      <w:pPr>
        <w:pStyle w:val="Normal"/>
        <w:spacing w:lineRule="atLeast" w:line="0"/>
        <w:ind w:start="720" w:end="0"/>
        <w:jc w:val="both"/>
        <w:rPr/>
      </w:pPr>
      <w:r>
        <w:rPr>
          <w:rFonts w:eastAsia="Times New Roman" w:cs="Times New Roman" w:ascii="Times New Roman" w:hAnsi="Times New Roman"/>
          <w:sz w:val="24"/>
        </w:rPr>
        <w:t xml:space="preserve">Manager by [cashier’s check] </w:t>
      </w:r>
      <w:r>
        <w:rPr>
          <w:rFonts w:eastAsia="Times New Roman" w:cs="Times New Roman" w:ascii="Times New Roman" w:hAnsi="Times New Roman"/>
          <w:i/>
          <w:sz w:val="24"/>
        </w:rPr>
        <w:t>or</w:t>
      </w:r>
      <w:r>
        <w:rPr>
          <w:rFonts w:eastAsia="Times New Roman" w:cs="Times New Roman" w:ascii="Times New Roman" w:hAnsi="Times New Roman"/>
          <w:sz w:val="24"/>
        </w:rPr>
        <w:t xml:space="preserve"> [wire transfer in immediately available funds] or as otherwise agreed by the Issuer and the Senior Manager as follows:</w:t>
      </w:r>
    </w:p>
    <w:p>
      <w:pPr>
        <w:pStyle w:val="Normal"/>
        <w:tabs>
          <w:tab w:val="clear" w:pos="720"/>
          <w:tab w:val="left" w:pos="3700" w:leader="none"/>
        </w:tabs>
        <w:spacing w:lineRule="atLeast" w:line="0"/>
        <w:ind w:start="720" w:end="0"/>
        <w:rPr/>
      </w:pPr>
      <w:r>
        <w:rPr>
          <w:rFonts w:eastAsia="Times New Roman" w:cs="Times New Roman" w:ascii="Times New Roman" w:hAnsi="Times New Roman"/>
          <w:sz w:val="24"/>
        </w:rPr>
        <w:t>______________________.</w:t>
        <w:tab/>
        <w:t>[In accordance with Section 10 of the BPA General</w:t>
      </w:r>
    </w:p>
    <w:p>
      <w:pPr>
        <w:pStyle w:val="Normal"/>
        <w:spacing w:lineRule="auto" w:line="24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Provisions and Conditions, the Underwriters also will be reimbursed for the following out-of-pocket expenses:________________________.]</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Good Faith Deposit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
            <wp:simplePos x="0" y="0"/>
            <wp:positionH relativeFrom="column">
              <wp:posOffset>796925</wp:posOffset>
            </wp:positionH>
            <wp:positionV relativeFrom="paragraph">
              <wp:posOffset>167005</wp:posOffset>
            </wp:positionV>
            <wp:extent cx="5378450" cy="114046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16" r="-3" b="-16"/>
                    <a:stretch>
                      <a:fillRect/>
                    </a:stretch>
                  </pic:blipFill>
                  <pic:spPr bwMode="auto">
                    <a:xfrm>
                      <a:off x="0" y="0"/>
                      <a:ext cx="5378450" cy="11404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A</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No Good Faith Deposit will be delivered.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720" w:end="0"/>
        <w:jc w:val="both"/>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B</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The Senior Manager, on behalf of the Underwriters, will deliver to the Issuer, prior to the Effective Date and Time, a Good Faith Deposit in the amount of $_________. The Good Faith Deposit will be delivered to the Issuer in the form of a</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 The Good Faith Deposit will be [held uncashed by the Issuer]</w:t>
      </w: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5</w:t>
      </w:r>
    </w:p>
    <w:p>
      <w:pPr>
        <w:pStyle w:val="Normal"/>
        <w:spacing w:lineRule="auto" w:line="252"/>
        <w:ind w:start="720" w:end="0"/>
        <w:jc w:val="both"/>
        <w:rPr/>
      </w:pPr>
      <w:bookmarkStart w:id="8" w:name="page6"/>
      <w:bookmarkEnd w:id="8"/>
      <w:r>
        <w:rPr>
          <w:rFonts w:eastAsia="Times New Roman" w:cs="Times New Roman" w:ascii="Times New Roman" w:hAnsi="Times New Roman"/>
          <w:i/>
          <w:sz w:val="24"/>
          <w:u w:val="single"/>
        </w:rPr>
        <w:t>or</w:t>
      </w:r>
      <w:r>
        <w:rPr>
          <w:rFonts w:eastAsia="Times New Roman" w:cs="Times New Roman" w:ascii="Times New Roman" w:hAnsi="Times New Roman"/>
          <w:sz w:val="24"/>
        </w:rPr>
        <w:t xml:space="preserve"> [deposited by the Issuer and applied on the Closing Date as a credit against the payment of the Purchase Price by the Underwriters] </w:t>
      </w:r>
      <w:r>
        <w:rPr>
          <w:rFonts w:eastAsia="Times New Roman" w:cs="Times New Roman" w:ascii="Times New Roman" w:hAnsi="Times New Roman"/>
          <w:i/>
          <w:sz w:val="24"/>
          <w:u w:val="single"/>
        </w:rPr>
        <w:t>or</w:t>
      </w:r>
      <w:r>
        <w:rPr>
          <w:rFonts w:eastAsia="Times New Roman" w:cs="Times New Roman" w:ascii="Times New Roman" w:hAnsi="Times New Roman"/>
          <w:sz w:val="24"/>
        </w:rPr>
        <w:t xml:space="preserve"> [_________________________].</w:t>
      </w:r>
    </w:p>
    <w:p>
      <w:pPr>
        <w:pStyle w:val="Normal"/>
        <w:spacing w:lineRule="auto" w:line="240"/>
        <w:ind w:start="720" w:end="0"/>
        <w:jc w:val="both"/>
        <w:rPr/>
      </w:pPr>
      <w:r>
        <w:rPr>
          <w:rFonts w:eastAsia="Times New Roman" w:cs="Times New Roman" w:ascii="Times New Roman" w:hAnsi="Times New Roman"/>
          <w:sz w:val="24"/>
        </w:rPr>
        <w:t xml:space="preserve">If the Good Faith Deposit is deposited by the Issuer, investment earnings on such amount will be [retained by the Issuer] </w:t>
      </w:r>
      <w:r>
        <w:rPr>
          <w:rFonts w:eastAsia="Times New Roman" w:cs="Times New Roman" w:ascii="Times New Roman" w:hAnsi="Times New Roman"/>
          <w:i/>
          <w:sz w:val="24"/>
          <w:u w:val="single"/>
        </w:rPr>
        <w:t>or</w:t>
      </w:r>
      <w:r>
        <w:rPr>
          <w:rFonts w:eastAsia="Times New Roman" w:cs="Times New Roman" w:ascii="Times New Roman" w:hAnsi="Times New Roman"/>
          <w:sz w:val="24"/>
        </w:rPr>
        <w:t xml:space="preserve"> [applied on the Closing Date, along with the Good Faith Deposit, as a credit against the payment of the Purchase Price by the Underwriters]. The application of the Good Faith Deposit shall be subject to Section 3 of the BPA General Provisions and Conditions.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Official Statement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8">
            <wp:simplePos x="0" y="0"/>
            <wp:positionH relativeFrom="column">
              <wp:posOffset>796925</wp:posOffset>
            </wp:positionH>
            <wp:positionV relativeFrom="paragraph">
              <wp:posOffset>167005</wp:posOffset>
            </wp:positionV>
            <wp:extent cx="5378450" cy="402018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4" r="-3" b="-4"/>
                    <a:stretch>
                      <a:fillRect/>
                    </a:stretch>
                  </pic:blipFill>
                  <pic:spPr bwMode="auto">
                    <a:xfrm>
                      <a:off x="0" y="0"/>
                      <a:ext cx="5378450" cy="40201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720" w:start="720" w:end="0"/>
        <w:jc w:val="both"/>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A</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The Issuer hereby consents to and ratifies the use and distribution by the Underwriters of the Preliminary Official Statement in connection with the public offering of the Securities by the Underwriters, and further confirms the authority of the Underwriters to use, and consents to the use of, the final Official Statement with respect to the Securities in connection with the public offering and sale of the Securities. The Issuer hereby represents and warrants that the Preliminary Official Statement previously furnished to the Senior Manager was “deemed final” by the Issuer as of its date for purposes of Rule 15c2-12, except for permitted omissions. In accordance with Section 4(a) of the BPA General Provisions and Conditions, the Issuer agrees, at its cost, to provide to the Underwriters not more than ______ copies of the Official Statement. To</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extent required by applicable MSRB Rules, the Issuer hereby confirms that it does not object to distribution of the Official Statement in electronic form.</w:t>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440" w:gutter="0" w:header="0" w:top="1416" w:footer="0" w:bottom="160"/>
          <w:pgNumType w:fmt="decimal"/>
          <w:formProt w:val="false"/>
          <w:textDirection w:val="lrTb"/>
          <w:docGrid w:type="default" w:linePitch="360" w:charSpace="0"/>
        </w:sectPr>
      </w:pP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1416" w:footer="0" w:bottom="160"/>
          <w:formProt w:val="false"/>
          <w:textDirection w:val="lrTb"/>
          <w:docGrid w:type="default" w:linePitch="360" w:charSpace="0"/>
        </w:sectPr>
      </w:pPr>
    </w:p>
    <w:p>
      <w:pPr>
        <w:pStyle w:val="Normal"/>
        <w:spacing w:lineRule="auto" w:line="242"/>
        <w:ind w:firstLine="720" w:start="720" w:end="60"/>
        <w:jc w:val="both"/>
        <w:rPr/>
      </w:pPr>
      <w:bookmarkStart w:id="9" w:name="page7"/>
      <w:bookmarkEnd w:id="9"/>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B</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The Issuer hereby consents to and ratifies the use and distribution by the Underwriters of the Official Statement in connection with the public offering and sale of the Securities by the Underwriters. The Issuer hereby represents and warrants that the Official Statement previously furnished to the Senior Manager was “deemed final” by the Issuer as of its date for purposes of Rule 15c2-12. In accordance with Section 4(a) of the BPA General Provisions and Conditions, to the extent not previously provided, the Issuer agrees, at its cost, to provide to the Underwriters not more than _____ copies of the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Official Statement. To the extent required by applicable MSRB Rules, the Issuer hereby confirms that it does not object to distribution of the Official Statement in electronic form. All references in this Agreement to the Preliminary Official Statement shall be disregarded.</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Third-Party Credit Enhancement or Support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
            <wp:simplePos x="0" y="0"/>
            <wp:positionH relativeFrom="column">
              <wp:posOffset>796925</wp:posOffset>
            </wp:positionH>
            <wp:positionV relativeFrom="paragraph">
              <wp:posOffset>167005</wp:posOffset>
            </wp:positionV>
            <wp:extent cx="5378450" cy="131508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14" r="-3" b="-14"/>
                    <a:stretch>
                      <a:fillRect/>
                    </a:stretch>
                  </pic:blipFill>
                  <pic:spPr bwMode="auto">
                    <a:xfrm>
                      <a:off x="0" y="0"/>
                      <a:ext cx="5378450" cy="13150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start="720" w:end="60"/>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A</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No Policy or Support Facility will be provided with respect to the Securities.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B</w:t>
      </w:r>
      <w:r>
        <w:rPr>
          <w:rFonts w:eastAsia="Times New Roman" w:cs="Times New Roman" w:ascii="Times New Roman" w:hAnsi="Times New Roman"/>
          <w:sz w:val="24"/>
          <w:highlight w:val="white"/>
        </w:rPr>
        <w:t>]</w:t>
      </w:r>
    </w:p>
    <w:p>
      <w:pPr>
        <w:pStyle w:val="Normal"/>
        <w:spacing w:lineRule="exact" w:line="272"/>
        <w:rPr>
          <w:rFonts w:ascii="Times New Roman" w:hAnsi="Times New Roman" w:eastAsia="Times New Roman" w:cs="Times New Roman"/>
          <w:sz w:val="24"/>
          <w:highlight w:val="white"/>
        </w:rPr>
      </w:pPr>
      <w:r>
        <w:rPr>
          <w:rFonts w:eastAsia="Times New Roman" w:cs="Times New Roman" w:ascii="Times New Roman" w:hAnsi="Times New Roman"/>
          <w:sz w:val="24"/>
          <w:highlight w:val="white"/>
        </w:rPr>
      </w:r>
    </w:p>
    <w:p>
      <w:pPr>
        <w:pStyle w:val="Normal"/>
        <w:spacing w:lineRule="atLeast" w:line="0"/>
        <w:ind w:start="1440" w:end="0"/>
        <w:rPr/>
      </w:pPr>
      <w:r>
        <w:rPr>
          <w:rFonts w:eastAsia="Times New Roman" w:cs="Times New Roman" w:ascii="Times New Roman" w:hAnsi="Times New Roman"/>
          <w:i/>
          <w:sz w:val="24"/>
        </w:rPr>
        <w:t>Bond Insurer:</w:t>
      </w:r>
      <w:r>
        <w:rPr>
          <w:rFonts w:eastAsia="Times New Roman" w:cs="Times New Roman" w:ascii="Times New Roman" w:hAnsi="Times New Roman"/>
          <w:sz w:val="24"/>
        </w:rPr>
        <w:t xml:space="preserve"> _________________________________, as issuer of the Policy</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with respect to the Securities (or the specified series or maturities set forth in Schedule I).</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260" w:leader="none"/>
        </w:tabs>
        <w:spacing w:lineRule="atLeast" w:line="0"/>
        <w:ind w:start="1440" w:end="0"/>
        <w:rPr/>
      </w:pPr>
      <w:r>
        <w:rPr>
          <w:rFonts w:eastAsia="Times New Roman" w:cs="Times New Roman" w:ascii="Times New Roman" w:hAnsi="Times New Roman"/>
          <w:i/>
          <w:sz w:val="24"/>
        </w:rPr>
        <w:t>Support Facility Provider</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__________________________, as provider of the</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 with respect to the Securities (or the specified series set forth in</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Schedule I), constituting a Support Facility for purposes of this Agreement.</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Ratings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following ratings on the Securities shall be in effect on the Closing Date:</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40" w:end="0"/>
        <w:rPr/>
      </w:pPr>
      <w:r>
        <w:rPr>
          <w:rFonts w:eastAsia="Times New Roman" w:cs="Times New Roman" w:ascii="Times New Roman" w:hAnsi="Times New Roman"/>
          <w:sz w:val="24"/>
        </w:rPr>
        <w:t>Moody’s:</w:t>
      </w:r>
    </w:p>
    <w:p>
      <w:pPr>
        <w:pStyle w:val="Normal"/>
        <w:spacing w:lineRule="exact" w:line="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S&amp;P:</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Fitch: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
            <wp:simplePos x="0" y="0"/>
            <wp:positionH relativeFrom="column">
              <wp:posOffset>796925</wp:posOffset>
            </wp:positionH>
            <wp:positionV relativeFrom="paragraph">
              <wp:posOffset>-1670050</wp:posOffset>
            </wp:positionV>
            <wp:extent cx="5378450" cy="61468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29" r="-3" b="-29"/>
                    <a:stretch>
                      <a:fillRect/>
                    </a:stretch>
                  </pic:blipFill>
                  <pic:spPr bwMode="auto">
                    <a:xfrm>
                      <a:off x="0" y="0"/>
                      <a:ext cx="5378450" cy="614680"/>
                    </a:xfrm>
                    <a:prstGeom prst="rect">
                      <a:avLst/>
                    </a:prstGeom>
                  </pic:spPr>
                </pic:pic>
              </a:graphicData>
            </a:graphic>
          </wp:anchor>
        </w:drawing>
        <mc:AlternateContent>
          <mc:Choice Requires="wps">
            <w:drawing>
              <wp:anchor behindDoc="1" distT="0" distB="0" distL="114935" distR="114935" simplePos="0" locked="0" layoutInCell="1" allowOverlap="1" relativeHeight="11">
                <wp:simplePos x="0" y="0"/>
                <wp:positionH relativeFrom="column">
                  <wp:posOffset>1544955</wp:posOffset>
                </wp:positionH>
                <wp:positionV relativeFrom="paragraph">
                  <wp:posOffset>-368935</wp:posOffset>
                </wp:positionV>
                <wp:extent cx="2569845" cy="0"/>
                <wp:effectExtent l="0" t="3810" r="0" b="3810"/>
                <wp:wrapNone/>
                <wp:docPr id="10" name=""/>
                <a:graphic xmlns:a="http://schemas.openxmlformats.org/drawingml/2006/main">
                  <a:graphicData uri="http://schemas.microsoft.com/office/word/2010/wordprocessingShape">
                    <wps:wsp>
                      <wps:cNvSpPr/>
                      <wps:spPr>
                        <a:xfrm>
                          <a:off x="0" y="0"/>
                          <a:ext cx="2569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1.65pt,-29.05pt" to="323.95pt,-29.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1282700</wp:posOffset>
                </wp:positionH>
                <wp:positionV relativeFrom="paragraph">
                  <wp:posOffset>-193675</wp:posOffset>
                </wp:positionV>
                <wp:extent cx="2832100" cy="0"/>
                <wp:effectExtent l="0" t="3810" r="0" b="3810"/>
                <wp:wrapNone/>
                <wp:docPr id="11" name=""/>
                <a:graphic xmlns:a="http://schemas.openxmlformats.org/drawingml/2006/main">
                  <a:graphicData uri="http://schemas.microsoft.com/office/word/2010/wordprocessingShape">
                    <wps:wsp>
                      <wps:cNvSpPr/>
                      <wps:spPr>
                        <a:xfrm>
                          <a:off x="0" y="0"/>
                          <a:ext cx="2832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1pt,-15.25pt" to="323.95pt,-15.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1308100</wp:posOffset>
                </wp:positionH>
                <wp:positionV relativeFrom="paragraph">
                  <wp:posOffset>-18415</wp:posOffset>
                </wp:positionV>
                <wp:extent cx="2806700" cy="0"/>
                <wp:effectExtent l="0" t="3810" r="0" b="3810"/>
                <wp:wrapNone/>
                <wp:docPr id="12" name=""/>
                <a:graphic xmlns:a="http://schemas.openxmlformats.org/drawingml/2006/main">
                  <a:graphicData uri="http://schemas.microsoft.com/office/word/2010/wordprocessingShape">
                    <wps:wsp>
                      <wps:cNvSpPr/>
                      <wps:spPr>
                        <a:xfrm>
                          <a:off x="0" y="0"/>
                          <a:ext cx="28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3pt,-1.45pt" to="323.95pt,-1.45pt" stroked="t" o:allowincell="f" style="position:absolute">
                <v:stroke color="black" weight="7560" joinstyle="miter" endcap="flat"/>
                <v:fill o:detectmouseclick="t" on="false"/>
                <w10:wrap type="none"/>
              </v:line>
            </w:pict>
          </mc:Fallback>
        </mc:AlternateContent>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380" w:gutter="0" w:header="0" w:top="1420" w:footer="0" w:bottom="160"/>
          <w:pgNumType w:fmt="decimal"/>
          <w:formProt w:val="false"/>
          <w:textDirection w:val="lrTb"/>
          <w:docGrid w:type="default" w:linePitch="360" w:charSpace="0"/>
        </w:sectPr>
      </w:pP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380" w:gutter="0" w:header="0" w:top="1420" w:footer="0" w:bottom="160"/>
          <w:formProt w:val="false"/>
          <w:textDirection w:val="lrTb"/>
          <w:docGrid w:type="default" w:linePitch="360" w:charSpace="0"/>
        </w:sectPr>
      </w:pPr>
    </w:p>
    <w:p>
      <w:pPr>
        <w:pStyle w:val="Normal"/>
        <w:numPr>
          <w:ilvl w:val="0"/>
          <w:numId w:val="11"/>
        </w:numPr>
        <w:tabs>
          <w:tab w:val="clear" w:pos="720"/>
          <w:tab w:val="left" w:pos="1440" w:leader="none"/>
        </w:tabs>
        <w:spacing w:lineRule="atLeast" w:line="0"/>
        <w:ind w:hanging="720" w:start="1440" w:end="0"/>
        <w:rPr>
          <w:rFonts w:ascii="Times New Roman" w:hAnsi="Times New Roman" w:eastAsia="Times New Roman" w:cs="Times New Roman"/>
          <w:b/>
          <w:sz w:val="24"/>
        </w:rPr>
      </w:pPr>
      <w:bookmarkStart w:id="10" w:name="page8"/>
      <w:bookmarkEnd w:id="10"/>
      <w:r>
        <w:rPr>
          <w:rFonts w:eastAsia="Times New Roman" w:cs="Times New Roman" w:ascii="Times New Roman" w:hAnsi="Times New Roman"/>
          <w:b/>
          <w:sz w:val="24"/>
        </w:rPr>
        <w:t>Closing Date</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720" w:start="720" w:end="0"/>
        <w:jc w:val="both"/>
        <w:rPr/>
      </w:pPr>
      <w:r>
        <w:rPr>
          <w:rFonts w:eastAsia="Times New Roman" w:cs="Times New Roman" w:ascii="Times New Roman" w:hAnsi="Times New Roman"/>
          <w:sz w:val="24"/>
        </w:rPr>
        <w:t>The delivery of and payment for the Securities shall be the “Closing” for the Securities and shall occur at or prior to 1:00 p.m., New York City time, on the Closing Date, or at such other time or on such other date as may be mutually agreed by the Senior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860" w:leader="none"/>
          <w:tab w:val="left" w:pos="2520" w:leader="none"/>
          <w:tab w:val="left" w:pos="3140" w:leader="none"/>
          <w:tab w:val="left" w:pos="4400" w:leader="none"/>
          <w:tab w:val="left" w:pos="5080" w:leader="none"/>
          <w:tab w:val="left" w:pos="6160" w:leader="none"/>
          <w:tab w:val="left" w:pos="6680" w:leader="none"/>
          <w:tab w:val="left" w:pos="7280" w:leader="none"/>
          <w:tab w:val="left" w:pos="8340" w:leader="none"/>
          <w:tab w:val="left" w:pos="9120" w:leader="none"/>
        </w:tabs>
        <w:spacing w:lineRule="atLeast" w:line="0"/>
        <w:ind w:start="720" w:end="0"/>
        <w:rPr/>
      </w:pPr>
      <w:r>
        <w:rPr>
          <w:rFonts w:eastAsia="Times New Roman" w:cs="Times New Roman" w:ascii="Times New Roman" w:hAnsi="Times New Roman"/>
          <w:sz w:val="24"/>
        </w:rPr>
        <w:t>Manager</w:t>
        <w:tab/>
        <w:t>and</w:t>
        <w:tab/>
        <w:t>the</w:t>
        <w:tab/>
        <w:t>Issuer.</w:t>
      </w:r>
      <w:r>
        <w:rPr>
          <w:rFonts w:eastAsia="Times New Roman" w:cs="Times New Roman" w:ascii="Times New Roman" w:hAnsi="Times New Roman"/>
        </w:rPr>
        <w:tab/>
      </w:r>
      <w:r>
        <w:rPr>
          <w:rFonts w:eastAsia="Times New Roman" w:cs="Times New Roman" w:ascii="Times New Roman" w:hAnsi="Times New Roman"/>
          <w:sz w:val="24"/>
        </w:rPr>
        <w:t>The</w:t>
        <w:tab/>
        <w:t>location</w:t>
        <w:tab/>
        <w:t>of</w:t>
        <w:tab/>
        <w:t>the</w:t>
        <w:tab/>
        <w:t>Closing</w:t>
        <w:tab/>
        <w:t>shall</w:t>
      </w:r>
      <w:r>
        <w:rPr>
          <w:rFonts w:eastAsia="Times New Roman" w:cs="Times New Roman" w:ascii="Times New Roman" w:hAnsi="Times New Roman"/>
        </w:rPr>
        <w:tab/>
      </w:r>
      <w:r>
        <w:rPr>
          <w:rFonts w:eastAsia="Times New Roman" w:cs="Times New Roman" w:ascii="Times New Roman" w:hAnsi="Times New Roman"/>
          <w:sz w:val="23"/>
        </w:rPr>
        <w:t>be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 or at such other location as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may be mutually agreed by the Senior Manager and the Issuer.</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Issue Price Certificate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4">
            <wp:simplePos x="0" y="0"/>
            <wp:positionH relativeFrom="column">
              <wp:posOffset>796925</wp:posOffset>
            </wp:positionH>
            <wp:positionV relativeFrom="paragraph">
              <wp:posOffset>167005</wp:posOffset>
            </wp:positionV>
            <wp:extent cx="5378450" cy="1840865"/>
            <wp:effectExtent l="0" t="0" r="0" b="0"/>
            <wp:wrapNone/>
            <wp:docPr id="1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descr="" title=""/>
                    <pic:cNvPicPr>
                      <a:picLocks noChangeAspect="1" noChangeArrowheads="1"/>
                    </pic:cNvPicPr>
                  </pic:nvPicPr>
                  <pic:blipFill>
                    <a:blip r:embed="rId11"/>
                    <a:srcRect l="-3" t="-10" r="-3" b="-10"/>
                    <a:stretch>
                      <a:fillRect/>
                    </a:stretch>
                  </pic:blipFill>
                  <pic:spPr bwMode="auto">
                    <a:xfrm>
                      <a:off x="0" y="0"/>
                      <a:ext cx="5378450" cy="18408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Upon request of Bond Counsel, the Senior Manager shall execute and deliver on the Closing Date an issue price or similar certificate, in form and substance reasonably satisfactory to the Issuer, Bond Counsel and the Senior Manager [substantially in the form attached as an exhibit to Schedule V].</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Accountants’ Letter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5">
            <wp:simplePos x="0" y="0"/>
            <wp:positionH relativeFrom="column">
              <wp:posOffset>796925</wp:posOffset>
            </wp:positionH>
            <wp:positionV relativeFrom="paragraph">
              <wp:posOffset>167005</wp:posOffset>
            </wp:positionV>
            <wp:extent cx="5378450" cy="2892425"/>
            <wp:effectExtent l="0" t="0" r="0" b="0"/>
            <wp:wrapNone/>
            <wp:docPr id="1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descr="" title=""/>
                    <pic:cNvPicPr>
                      <a:picLocks noChangeAspect="1" noChangeArrowheads="1"/>
                    </pic:cNvPicPr>
                  </pic:nvPicPr>
                  <pic:blipFill>
                    <a:blip r:embed="rId12"/>
                    <a:srcRect l="-3" t="-6" r="-3" b="-6"/>
                    <a:stretch>
                      <a:fillRect/>
                    </a:stretch>
                  </pic:blipFill>
                  <pic:spPr bwMode="auto">
                    <a:xfrm>
                      <a:off x="0" y="0"/>
                      <a:ext cx="5378450" cy="28924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440" w:gutter="0" w:header="0" w:top="1417" w:footer="0" w:bottom="160"/>
          <w:pgNumType w:fmt="decimal"/>
          <w:formProt w:val="false"/>
          <w:textDirection w:val="lrTb"/>
          <w:docGrid w:type="default" w:linePitch="360" w:charSpace="0"/>
        </w:sectPr>
      </w:pP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440" w:right="1440" w:gutter="0" w:header="0" w:top="1417" w:footer="0" w:bottom="16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16">
            <wp:simplePos x="0" y="0"/>
            <wp:positionH relativeFrom="page">
              <wp:posOffset>1711325</wp:posOffset>
            </wp:positionH>
            <wp:positionV relativeFrom="page">
              <wp:posOffset>914400</wp:posOffset>
            </wp:positionV>
            <wp:extent cx="5378450" cy="1490980"/>
            <wp:effectExtent l="0" t="0" r="0" b="0"/>
            <wp:wrapNone/>
            <wp:docPr id="15"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 descr="" title=""/>
                    <pic:cNvPicPr>
                      <a:picLocks noChangeAspect="1" noChangeArrowheads="1"/>
                    </pic:cNvPicPr>
                  </pic:nvPicPr>
                  <pic:blipFill>
                    <a:blip r:embed="rId13"/>
                    <a:srcRect l="-3" t="-12" r="-3" b="-12"/>
                    <a:stretch>
                      <a:fillRect/>
                    </a:stretch>
                  </pic:blipFill>
                  <pic:spPr bwMode="auto">
                    <a:xfrm>
                      <a:off x="0" y="0"/>
                      <a:ext cx="5378450" cy="1490980"/>
                    </a:xfrm>
                    <a:prstGeom prst="rect">
                      <a:avLst/>
                    </a:prstGeom>
                  </pic:spPr>
                </pic:pic>
              </a:graphicData>
            </a:graphic>
          </wp:anchor>
        </w:drawing>
      </w:r>
      <w:bookmarkStart w:id="11" w:name="page9"/>
      <w:bookmarkStart w:id="12" w:name="page9"/>
      <w:bookmarkEnd w:id="1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start="720" w:end="0"/>
        <w:jc w:val="both"/>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A</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No Accountants’ letters will be delivered in connection with issuance of the Securities.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start="720" w:end="0"/>
        <w:jc w:val="both"/>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B</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At or prior to the execution of this Agreement, the Senior Manager shall receive a letter or letters with respect to each entity whose audited financial statements appear in the Preliminary Official Statement from such entity’s Accountants, addressed to the Issuer and the Underwriters, in form reasonably satisfactory to the Issuer, the Senior Manager and Underwriters’ Counsel, consenting to references to such firm in the Preliminary Official Statement, consenting to use in the Preliminary Official Statement of its report relating to the financial statements and setting forth the results of certain specified procedures (as of a date within five business days of the date of the letter or such other date or period as may be agreed to by the Senior Manager) undertaken by the Accountants with respect to the financial information contained in the Preliminary Official Statement.</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720" w:end="0"/>
        <w:jc w:val="both"/>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C</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On the Closing Date, the Senior Manager shall receive an Accountants’ letter as described in Schedule V.</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Indemnification and Contribution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7">
            <wp:simplePos x="0" y="0"/>
            <wp:positionH relativeFrom="column">
              <wp:posOffset>796925</wp:posOffset>
            </wp:positionH>
            <wp:positionV relativeFrom="paragraph">
              <wp:posOffset>167005</wp:posOffset>
            </wp:positionV>
            <wp:extent cx="5378450" cy="2442845"/>
            <wp:effectExtent l="0" t="0" r="0" b="0"/>
            <wp:wrapNone/>
            <wp:docPr id="16"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 descr="" title=""/>
                    <pic:cNvPicPr>
                      <a:picLocks noChangeAspect="1" noChangeArrowheads="1"/>
                    </pic:cNvPicPr>
                  </pic:nvPicPr>
                  <pic:blipFill>
                    <a:blip r:embed="rId14"/>
                    <a:srcRect l="-3" t="-7" r="-3" b="-7"/>
                    <a:stretch>
                      <a:fillRect/>
                    </a:stretch>
                  </pic:blipFill>
                  <pic:spPr bwMode="auto">
                    <a:xfrm>
                      <a:off x="0" y="0"/>
                      <a:ext cx="5378450" cy="24428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start="720" w:end="0"/>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A</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THE INDEMNIFICATION AND CONTRIBUTION PROVISIONS CONTAINED IN SECTION 11 OF THE BPA GENERAL PROVISIONS</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9</w:t>
      </w:r>
    </w:p>
    <w:p>
      <w:pPr>
        <w:pStyle w:val="Normal"/>
        <w:spacing w:lineRule="auto" w:line="254"/>
        <w:ind w:start="720" w:end="0"/>
        <w:jc w:val="both"/>
        <w:rPr/>
      </w:pPr>
      <w:bookmarkStart w:id="13" w:name="page10"/>
      <w:bookmarkEnd w:id="13"/>
      <w:r>
        <w:rPr>
          <w:rFonts w:eastAsia="Times New Roman" w:cs="Times New Roman" w:ascii="Times New Roman" w:hAnsi="Times New Roman"/>
          <w:sz w:val="24"/>
        </w:rPr>
        <w:t xml:space="preserve">AND CONDITIONS ARE </w:t>
      </w:r>
      <w:r>
        <w:rPr>
          <w:rFonts w:eastAsia="Times New Roman" w:cs="Times New Roman" w:ascii="Times New Roman" w:hAnsi="Times New Roman"/>
          <w:sz w:val="24"/>
          <w:u w:val="single"/>
        </w:rPr>
        <w:t>NOT</w:t>
      </w:r>
      <w:r>
        <w:rPr>
          <w:rFonts w:eastAsia="Times New Roman" w:cs="Times New Roman" w:ascii="Times New Roman" w:hAnsi="Times New Roman"/>
          <w:sz w:val="24"/>
        </w:rPr>
        <w:t xml:space="preserve"> APPLICABLE IN CONNECTION WITH THE ISSUANCE AND SALE OF THE SECURITIES AND SHALL </w:t>
      </w:r>
      <w:r>
        <w:rPr>
          <w:rFonts w:eastAsia="Times New Roman" w:cs="Times New Roman" w:ascii="Times New Roman" w:hAnsi="Times New Roman"/>
          <w:sz w:val="24"/>
          <w:u w:val="single"/>
        </w:rPr>
        <w:t>NOT</w:t>
      </w:r>
      <w:r>
        <w:rPr>
          <w:rFonts w:eastAsia="Times New Roman" w:cs="Times New Roman" w:ascii="Times New Roman" w:hAnsi="Times New Roman"/>
          <w:sz w:val="24"/>
        </w:rPr>
        <w:t xml:space="preserve"> BE PART OF THIS AGREEMENT.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720" w:end="0"/>
        <w:jc w:val="both"/>
        <w:rPr/>
      </w:pPr>
      <w:r>
        <w:rPr>
          <w:rFonts w:eastAsia="Times New Roman" w:cs="Times New Roman" w:ascii="Times New Roman" w:hAnsi="Times New Roman"/>
          <w:sz w:val="24"/>
          <w:highlight w:val="white"/>
        </w:rPr>
        <w:t>[</w:t>
      </w:r>
      <w:r>
        <w:rPr>
          <w:rFonts w:eastAsia="Times New Roman" w:cs="Times New Roman" w:ascii="Times New Roman" w:hAnsi="Times New Roman"/>
          <w:sz w:val="24"/>
          <w:highlight w:val="white"/>
          <w:u w:val="single"/>
        </w:rPr>
        <w:t>Alternative B</w:t>
      </w:r>
      <w:r>
        <w:rPr>
          <w:rFonts w:eastAsia="Times New Roman" w:cs="Times New Roman" w:ascii="Times New Roman" w:hAnsi="Times New Roman"/>
          <w:sz w:val="24"/>
          <w:highlight w:val="white"/>
        </w:rPr>
        <w:t>]</w:t>
      </w:r>
      <w:r>
        <w:rPr>
          <w:rFonts w:eastAsia="Times New Roman" w:cs="Times New Roman" w:ascii="Times New Roman" w:hAnsi="Times New Roman"/>
          <w:sz w:val="24"/>
        </w:rPr>
        <w:t xml:space="preserve"> THE INDEMNIFICATION AND CONTRIBUTION PROVISIONS CONTAINED IN SECTION 11 OF THE BPA GENERAL PROVISIONS AND CONDITIONS SHALL APPLY TO THE ISSUANCE AND SALE OF THE SECURITIES AND SHALL BE PART OF THIS AGREEMENT. [See below/Schedule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1098" w:leader="none"/>
        </w:tabs>
        <w:spacing w:lineRule="auto" w:line="247"/>
        <w:ind w:start="720" w:end="0"/>
        <w:rPr>
          <w:rFonts w:ascii="Times New Roman" w:hAnsi="Times New Roman" w:eastAsia="Times New Roman" w:cs="Times New Roman"/>
          <w:sz w:val="24"/>
        </w:rPr>
      </w:pPr>
      <w:r>
        <w:rPr>
          <w:rFonts w:eastAsia="Times New Roman" w:cs="Times New Roman" w:ascii="Times New Roman" w:hAnsi="Times New Roman"/>
          <w:sz w:val="24"/>
        </w:rPr>
        <w:t>for certain modifications to the provisions of Section 11 of the BPA General Provisions and Conditions.]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Counterparts</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This Agreement may be executed in one or more counterparts with the same force and effect as if all signatures appeared on a single instrument.</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rPr>
        <w:t>Signatures</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Upon execution by the Issuer and the Senior Manager, this Agreement shall be binding upon the Issuer and the Underwriters as of the Effective Date and 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440" w:gutter="0" w:header="0" w:top="1420" w:footer="0" w:bottom="160"/>
          <w:pgNumType w:fmt="decimal"/>
          <w:formProt w:val="false"/>
          <w:textDirection w:val="lrTb"/>
          <w:docGrid w:type="default" w:linePitch="360" w:charSpace="0"/>
        </w:sectPr>
      </w:pP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280" w:end="0"/>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440" w:right="1440" w:gutter="0" w:header="0" w:top="1420" w:footer="0" w:bottom="160"/>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sz w:val="24"/>
        </w:rPr>
      </w:pPr>
      <w:bookmarkStart w:id="14" w:name="page11"/>
      <w:bookmarkEnd w:id="14"/>
      <w:r>
        <w:rPr>
          <w:rFonts w:eastAsia="Times New Roman" w:cs="Times New Roman" w:ascii="Times New Roman" w:hAnsi="Times New Roman"/>
          <w:sz w:val="24"/>
        </w:rPr>
        <w:t>ACCEPTED AND AGREED: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ISSUER: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1101090</wp:posOffset>
                </wp:positionH>
                <wp:positionV relativeFrom="paragraph">
                  <wp:posOffset>-1905</wp:posOffset>
                </wp:positionV>
                <wp:extent cx="4842510" cy="0"/>
                <wp:effectExtent l="0" t="3810" r="0" b="3810"/>
                <wp:wrapNone/>
                <wp:docPr id="17" name=""/>
                <a:graphic xmlns:a="http://schemas.openxmlformats.org/drawingml/2006/main">
                  <a:graphicData uri="http://schemas.microsoft.com/office/word/2010/wordprocessingShape">
                    <wps:wsp>
                      <wps:cNvSpPr/>
                      <wps:spPr>
                        <a:xfrm>
                          <a:off x="0" y="0"/>
                          <a:ext cx="4842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6.7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1210310</wp:posOffset>
                </wp:positionH>
                <wp:positionV relativeFrom="paragraph">
                  <wp:posOffset>-1905</wp:posOffset>
                </wp:positionV>
                <wp:extent cx="4733290" cy="0"/>
                <wp:effectExtent l="0" t="3810" r="0" b="3810"/>
                <wp:wrapNone/>
                <wp:docPr id="18" name=""/>
                <a:graphic xmlns:a="http://schemas.openxmlformats.org/drawingml/2006/main">
                  <a:graphicData uri="http://schemas.microsoft.com/office/word/2010/wordprocessingShape">
                    <wps:wsp>
                      <wps:cNvSpPr/>
                      <wps:spPr>
                        <a:xfrm>
                          <a:off x="0" y="0"/>
                          <a:ext cx="4733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5.3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1815465</wp:posOffset>
                </wp:positionH>
                <wp:positionV relativeFrom="paragraph">
                  <wp:posOffset>-1905</wp:posOffset>
                </wp:positionV>
                <wp:extent cx="4128135" cy="0"/>
                <wp:effectExtent l="0" t="3810" r="0" b="3810"/>
                <wp:wrapNone/>
                <wp:docPr id="19" name=""/>
                <a:graphic xmlns:a="http://schemas.openxmlformats.org/drawingml/2006/main">
                  <a:graphicData uri="http://schemas.microsoft.com/office/word/2010/wordprocessingShape">
                    <wps:wsp>
                      <wps:cNvSpPr/>
                      <wps:spPr>
                        <a:xfrm>
                          <a:off x="0" y="0"/>
                          <a:ext cx="4128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2.95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1739265</wp:posOffset>
                </wp:positionH>
                <wp:positionV relativeFrom="paragraph">
                  <wp:posOffset>-1905</wp:posOffset>
                </wp:positionV>
                <wp:extent cx="4204335" cy="0"/>
                <wp:effectExtent l="0" t="3810" r="0" b="3810"/>
                <wp:wrapNone/>
                <wp:docPr id="20" name=""/>
                <a:graphic xmlns:a="http://schemas.openxmlformats.org/drawingml/2006/main">
                  <a:graphicData uri="http://schemas.microsoft.com/office/word/2010/wordprocessingShape">
                    <wps:wsp>
                      <wps:cNvSpPr/>
                      <wps:spPr>
                        <a:xfrm>
                          <a:off x="0" y="0"/>
                          <a:ext cx="4204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6.95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SENIOR MANAGER, on behalf of the Underwriters: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3736340</wp:posOffset>
                </wp:positionH>
                <wp:positionV relativeFrom="paragraph">
                  <wp:posOffset>-1905</wp:posOffset>
                </wp:positionV>
                <wp:extent cx="2207260" cy="0"/>
                <wp:effectExtent l="0" t="3810" r="0" b="3810"/>
                <wp:wrapNone/>
                <wp:docPr id="21" name=""/>
                <a:graphic xmlns:a="http://schemas.openxmlformats.org/drawingml/2006/main">
                  <a:graphicData uri="http://schemas.microsoft.com/office/word/2010/wordprocessingShape">
                    <wps:wsp>
                      <wps:cNvSpPr/>
                      <wps:spPr>
                        <a:xfrm>
                          <a:off x="0" y="0"/>
                          <a:ext cx="2207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4.2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
                <wp:simplePos x="0" y="0"/>
                <wp:positionH relativeFrom="column">
                  <wp:posOffset>1210310</wp:posOffset>
                </wp:positionH>
                <wp:positionV relativeFrom="paragraph">
                  <wp:posOffset>-1905</wp:posOffset>
                </wp:positionV>
                <wp:extent cx="4733290" cy="0"/>
                <wp:effectExtent l="0" t="3810" r="0" b="3810"/>
                <wp:wrapNone/>
                <wp:docPr id="22" name=""/>
                <a:graphic xmlns:a="http://schemas.openxmlformats.org/drawingml/2006/main">
                  <a:graphicData uri="http://schemas.microsoft.com/office/word/2010/wordprocessingShape">
                    <wps:wsp>
                      <wps:cNvSpPr/>
                      <wps:spPr>
                        <a:xfrm>
                          <a:off x="0" y="0"/>
                          <a:ext cx="4733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5.3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1815465</wp:posOffset>
                </wp:positionH>
                <wp:positionV relativeFrom="paragraph">
                  <wp:posOffset>-1905</wp:posOffset>
                </wp:positionV>
                <wp:extent cx="4128135" cy="0"/>
                <wp:effectExtent l="0" t="3810" r="0" b="3810"/>
                <wp:wrapNone/>
                <wp:docPr id="23" name=""/>
                <a:graphic xmlns:a="http://schemas.openxmlformats.org/drawingml/2006/main">
                  <a:graphicData uri="http://schemas.microsoft.com/office/word/2010/wordprocessingShape">
                    <wps:wsp>
                      <wps:cNvSpPr/>
                      <wps:spPr>
                        <a:xfrm>
                          <a:off x="0" y="0"/>
                          <a:ext cx="4128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2.95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1739265</wp:posOffset>
                </wp:positionH>
                <wp:positionV relativeFrom="paragraph">
                  <wp:posOffset>-1905</wp:posOffset>
                </wp:positionV>
                <wp:extent cx="4204335" cy="0"/>
                <wp:effectExtent l="0" t="3810" r="0" b="3810"/>
                <wp:wrapNone/>
                <wp:docPr id="24" name=""/>
                <a:graphic xmlns:a="http://schemas.openxmlformats.org/drawingml/2006/main">
                  <a:graphicData uri="http://schemas.microsoft.com/office/word/2010/wordprocessingShape">
                    <wps:wsp>
                      <wps:cNvSpPr/>
                      <wps:spPr>
                        <a:xfrm>
                          <a:off x="0" y="0"/>
                          <a:ext cx="4204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6.95pt,-0.15pt" to="467.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CO-MANAGING UNDERWRITERS: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2840355</wp:posOffset>
                </wp:positionH>
                <wp:positionV relativeFrom="paragraph">
                  <wp:posOffset>-1905</wp:posOffset>
                </wp:positionV>
                <wp:extent cx="3103245" cy="0"/>
                <wp:effectExtent l="0" t="3810" r="0" b="3810"/>
                <wp:wrapNone/>
                <wp:docPr id="25" name=""/>
                <a:graphic xmlns:a="http://schemas.openxmlformats.org/drawingml/2006/main">
                  <a:graphicData uri="http://schemas.microsoft.com/office/word/2010/wordprocessingShape">
                    <wps:wsp>
                      <wps:cNvSpPr/>
                      <wps:spPr>
                        <a:xfrm>
                          <a:off x="0" y="0"/>
                          <a:ext cx="3103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23.65pt,-0.15pt" to="467.95pt,-0.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1714500</wp:posOffset>
                </wp:positionH>
                <wp:positionV relativeFrom="paragraph">
                  <wp:posOffset>325120</wp:posOffset>
                </wp:positionV>
                <wp:extent cx="4229100" cy="0"/>
                <wp:effectExtent l="0" t="3810" r="0" b="3810"/>
                <wp:wrapNone/>
                <wp:docPr id="26" name=""/>
                <a:graphic xmlns:a="http://schemas.openxmlformats.org/drawingml/2006/main">
                  <a:graphicData uri="http://schemas.microsoft.com/office/word/2010/wordprocessingShape">
                    <wps:wsp>
                      <wps:cNvSpPr/>
                      <wps:spPr>
                        <a:xfrm>
                          <a:off x="0" y="0"/>
                          <a:ext cx="4229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5pt,25.6pt" to="467.95pt,25.6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ADDITIONAL UNDERWRITERS: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2717165</wp:posOffset>
                </wp:positionH>
                <wp:positionV relativeFrom="paragraph">
                  <wp:posOffset>-1905</wp:posOffset>
                </wp:positionV>
                <wp:extent cx="3226435" cy="0"/>
                <wp:effectExtent l="0" t="3810" r="0" b="3810"/>
                <wp:wrapNone/>
                <wp:docPr id="27" name=""/>
                <a:graphic xmlns:a="http://schemas.openxmlformats.org/drawingml/2006/main">
                  <a:graphicData uri="http://schemas.microsoft.com/office/word/2010/wordprocessingShape">
                    <wps:wsp>
                      <wps:cNvSpPr/>
                      <wps:spPr>
                        <a:xfrm>
                          <a:off x="0" y="0"/>
                          <a:ext cx="3226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3.95pt,-0.15pt" to="467.95pt,-0.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1714500</wp:posOffset>
                </wp:positionH>
                <wp:positionV relativeFrom="paragraph">
                  <wp:posOffset>325120</wp:posOffset>
                </wp:positionV>
                <wp:extent cx="4229100" cy="0"/>
                <wp:effectExtent l="0" t="3810" r="0" b="3810"/>
                <wp:wrapNone/>
                <wp:docPr id="28" name=""/>
                <a:graphic xmlns:a="http://schemas.openxmlformats.org/drawingml/2006/main">
                  <a:graphicData uri="http://schemas.microsoft.com/office/word/2010/wordprocessingShape">
                    <wps:wsp>
                      <wps:cNvSpPr/>
                      <wps:spPr>
                        <a:xfrm>
                          <a:off x="0" y="0"/>
                          <a:ext cx="4229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5pt,25.6pt" to="467.95pt,25.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1714500</wp:posOffset>
                </wp:positionH>
                <wp:positionV relativeFrom="paragraph">
                  <wp:posOffset>652780</wp:posOffset>
                </wp:positionV>
                <wp:extent cx="4229100" cy="0"/>
                <wp:effectExtent l="0" t="3810" r="0" b="3810"/>
                <wp:wrapNone/>
                <wp:docPr id="29" name=""/>
                <a:graphic xmlns:a="http://schemas.openxmlformats.org/drawingml/2006/main">
                  <a:graphicData uri="http://schemas.microsoft.com/office/word/2010/wordprocessingShape">
                    <wps:wsp>
                      <wps:cNvSpPr/>
                      <wps:spPr>
                        <a:xfrm>
                          <a:off x="0" y="0"/>
                          <a:ext cx="4229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5pt,51.4pt" to="467.95pt,51.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1714500</wp:posOffset>
                </wp:positionH>
                <wp:positionV relativeFrom="paragraph">
                  <wp:posOffset>980440</wp:posOffset>
                </wp:positionV>
                <wp:extent cx="4229100" cy="0"/>
                <wp:effectExtent l="0" t="3810" r="0" b="3810"/>
                <wp:wrapNone/>
                <wp:docPr id="30" name=""/>
                <a:graphic xmlns:a="http://schemas.openxmlformats.org/drawingml/2006/main">
                  <a:graphicData uri="http://schemas.microsoft.com/office/word/2010/wordprocessingShape">
                    <wps:wsp>
                      <wps:cNvSpPr/>
                      <wps:spPr>
                        <a:xfrm>
                          <a:off x="0" y="0"/>
                          <a:ext cx="4229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5pt,77.2pt" to="467.95pt,77.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sz w:val="24"/>
        </w:rPr>
      </w:pPr>
      <w:r>
        <w:rPr>
          <w:rFonts w:eastAsia="Times New Roman" w:cs="Times New Roman" w:ascii="Times New Roman" w:hAnsi="Times New Roman"/>
          <w:sz w:val="24"/>
        </w:rPr>
        <w:t>[signature page for BPA Terms and Acceptance relating to</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940" w:end="0"/>
        <w:rPr>
          <w:rFonts w:ascii="Times New Roman" w:hAnsi="Times New Roman" w:eastAsia="Times New Roman" w:cs="Times New Roman"/>
          <w:sz w:val="24"/>
        </w:rPr>
      </w:pPr>
      <w:r>
        <w:rPr>
          <w:rFonts w:eastAsia="Times New Roman" w:cs="Times New Roman" w:ascii="Times New Roman" w:hAnsi="Times New Roman"/>
          <w:sz w:val="24"/>
        </w:rPr>
        <w:t>__________________ [identify Securities]]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440" w:gutter="0" w:header="0" w:top="1420" w:footer="0" w:bottom="160"/>
          <w:pgNumType w:fmt="decimal"/>
          <w:formProt w:val="false"/>
          <w:textDirection w:val="lrTb"/>
          <w:docGrid w:type="default" w:linePitch="360" w:charSpace="0"/>
        </w:sectPr>
      </w:pP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280" w:end="0"/>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2240" w:h="15840"/>
          <w:pgMar w:left="1440" w:right="1440" w:gutter="0" w:header="0" w:top="1420" w:footer="0" w:bottom="160"/>
          <w:formProt w:val="false"/>
          <w:textDirection w:val="lrTb"/>
          <w:docGrid w:type="default" w:linePitch="360" w:charSpace="0"/>
        </w:sectPr>
      </w:pPr>
    </w:p>
    <w:p>
      <w:pPr>
        <w:pStyle w:val="Normal"/>
        <w:spacing w:lineRule="atLeast" w:line="0"/>
        <w:ind w:start="8280" w:end="0"/>
        <w:rPr>
          <w:rFonts w:ascii="Times New Roman" w:hAnsi="Times New Roman" w:eastAsia="Times New Roman" w:cs="Times New Roman"/>
          <w:b/>
          <w:sz w:val="24"/>
        </w:rPr>
      </w:pPr>
      <w:bookmarkStart w:id="15" w:name="page12"/>
      <w:bookmarkEnd w:id="15"/>
      <w:r>
        <w:rPr>
          <w:rFonts w:eastAsia="Times New Roman" w:cs="Times New Roman" w:ascii="Times New Roman" w:hAnsi="Times New Roman"/>
          <w:b/>
          <w:sz w:val="24"/>
        </w:rPr>
        <w:t>Schedule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2">
            <wp:simplePos x="0" y="0"/>
            <wp:positionH relativeFrom="column">
              <wp:posOffset>796925</wp:posOffset>
            </wp:positionH>
            <wp:positionV relativeFrom="paragraph">
              <wp:posOffset>189865</wp:posOffset>
            </wp:positionV>
            <wp:extent cx="5378450" cy="1315085"/>
            <wp:effectExtent l="0" t="0" r="0" b="0"/>
            <wp:wrapNone/>
            <wp:docPr id="31"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 descr="" title=""/>
                    <pic:cNvPicPr>
                      <a:picLocks noChangeAspect="1" noChangeArrowheads="1"/>
                    </pic:cNvPicPr>
                  </pic:nvPicPr>
                  <pic:blipFill>
                    <a:blip r:embed="rId15"/>
                    <a:srcRect l="-3" t="-14" r="-3" b="-14"/>
                    <a:stretch>
                      <a:fillRect/>
                    </a:stretch>
                  </pic:blipFill>
                  <pic:spPr bwMode="auto">
                    <a:xfrm>
                      <a:off x="0" y="0"/>
                      <a:ext cx="5378450" cy="13150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tbl>
      <w:tblPr>
        <w:tblW w:w="8120" w:type="dxa"/>
        <w:jc w:val="start"/>
        <w:tblInd w:w="1340" w:type="dxa"/>
        <w:tblLayout w:type="fixed"/>
        <w:tblCellMar>
          <w:top w:w="0" w:type="dxa"/>
          <w:start w:w="0" w:type="dxa"/>
          <w:bottom w:w="0" w:type="dxa"/>
          <w:end w:w="0" w:type="dxa"/>
        </w:tblCellMar>
      </w:tblPr>
      <w:tblGrid>
        <w:gridCol w:w="40"/>
        <w:gridCol w:w="840"/>
        <w:gridCol w:w="1480"/>
        <w:gridCol w:w="160"/>
        <w:gridCol w:w="840"/>
        <w:gridCol w:w="920"/>
        <w:gridCol w:w="600"/>
        <w:gridCol w:w="740"/>
        <w:gridCol w:w="520"/>
        <w:gridCol w:w="840"/>
        <w:gridCol w:w="820"/>
        <w:gridCol w:w="320"/>
      </w:tblGrid>
      <w:tr>
        <w:trPr>
          <w:trHeight w:val="276" w:hRule="atLeast"/>
        </w:trPr>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20" w:type="dxa"/>
            <w:gridSpan w:val="5"/>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Terms of the Securities</w:t>
            </w:r>
          </w:p>
        </w:tc>
        <w:tc>
          <w:tcPr>
            <w:tcW w:w="8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3" w:hRule="atLeast"/>
        </w:trPr>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773" w:hRule="atLeast"/>
        </w:trPr>
        <w:tc>
          <w:tcPr>
            <w:tcW w:w="2360" w:type="dxa"/>
            <w:gridSpan w:val="3"/>
            <w:tcBorders/>
          </w:tcPr>
          <w:p>
            <w:pPr>
              <w:pStyle w:val="Normal"/>
              <w:spacing w:lineRule="atLeast" w:line="0"/>
              <w:ind w:end="142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Principal</w:t>
            </w:r>
          </w:p>
        </w:tc>
        <w:tc>
          <w:tcPr>
            <w:tcW w:w="1000" w:type="dxa"/>
            <w:gridSpan w:val="2"/>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Maturity</w:t>
            </w:r>
          </w:p>
        </w:tc>
        <w:tc>
          <w:tcPr>
            <w:tcW w:w="9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gridSpan w:val="3"/>
            <w:tcBorders/>
          </w:tcPr>
          <w:p>
            <w:pPr>
              <w:pStyle w:val="Normal"/>
              <w:spacing w:lineRule="atLeast" w:line="0"/>
              <w:ind w:start="40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Offering Price</w:t>
            </w:r>
          </w:p>
        </w:tc>
      </w:tr>
      <w:tr>
        <w:trPr>
          <w:trHeight w:val="272" w:hRule="atLeast"/>
        </w:trPr>
        <w:tc>
          <w:tcPr>
            <w:tcW w:w="4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2320" w:type="dxa"/>
            <w:gridSpan w:val="2"/>
            <w:tcBorders/>
          </w:tcPr>
          <w:p>
            <w:pPr>
              <w:pStyle w:val="Normal"/>
              <w:spacing w:lineRule="exact" w:line="272"/>
              <w:ind w:end="148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Amount</w:t>
            </w:r>
          </w:p>
        </w:tc>
        <w:tc>
          <w:tcPr>
            <w:tcW w:w="1000" w:type="dxa"/>
            <w:gridSpan w:val="2"/>
            <w:tcBorders/>
          </w:tcPr>
          <w:p>
            <w:pPr>
              <w:pStyle w:val="Normal"/>
              <w:spacing w:lineRule="exact" w:line="272"/>
              <w:jc w:val="end"/>
              <w:rPr>
                <w:rFonts w:ascii="Times New Roman" w:hAnsi="Times New Roman" w:eastAsia="Times New Roman" w:cs="Times New Roman"/>
                <w:b/>
                <w:w w:val="97"/>
                <w:sz w:val="24"/>
              </w:rPr>
            </w:pPr>
            <w:r>
              <w:rPr>
                <w:rFonts w:eastAsia="Times New Roman" w:cs="Times New Roman" w:ascii="Times New Roman" w:hAnsi="Times New Roman"/>
                <w:b/>
                <w:w w:val="97"/>
                <w:sz w:val="24"/>
              </w:rPr>
              <w:t>(_______)</w:t>
            </w:r>
          </w:p>
        </w:tc>
        <w:tc>
          <w:tcPr>
            <w:tcW w:w="920" w:type="dxa"/>
            <w:tcBorders/>
          </w:tcPr>
          <w:p>
            <w:pPr>
              <w:pStyle w:val="Normal"/>
              <w:snapToGrid w:val="false"/>
              <w:spacing w:lineRule="atLeast" w:line="0"/>
              <w:rPr>
                <w:rFonts w:ascii="Times New Roman" w:hAnsi="Times New Roman" w:eastAsia="Times New Roman" w:cs="Times New Roman"/>
                <w:b/>
                <w:w w:val="97"/>
                <w:sz w:val="23"/>
              </w:rPr>
            </w:pPr>
            <w:r>
              <w:rPr>
                <w:rFonts w:eastAsia="Times New Roman" w:cs="Times New Roman" w:ascii="Times New Roman" w:hAnsi="Times New Roman"/>
                <w:b/>
                <w:w w:val="97"/>
                <w:sz w:val="23"/>
              </w:rPr>
            </w:r>
          </w:p>
        </w:tc>
        <w:tc>
          <w:tcPr>
            <w:tcW w:w="1860" w:type="dxa"/>
            <w:gridSpan w:val="3"/>
            <w:tcBorders/>
          </w:tcPr>
          <w:p>
            <w:pPr>
              <w:pStyle w:val="Normal"/>
              <w:spacing w:lineRule="exact" w:line="272"/>
              <w:rPr>
                <w:rFonts w:ascii="Times New Roman" w:hAnsi="Times New Roman" w:eastAsia="Times New Roman" w:cs="Times New Roman"/>
                <w:b/>
                <w:sz w:val="24"/>
              </w:rPr>
            </w:pPr>
            <w:r>
              <w:rPr>
                <w:rFonts w:eastAsia="Times New Roman" w:cs="Times New Roman" w:ascii="Times New Roman" w:hAnsi="Times New Roman"/>
                <w:b/>
                <w:sz w:val="24"/>
              </w:rPr>
              <w:t>Interest Rate</w:t>
            </w:r>
          </w:p>
        </w:tc>
        <w:tc>
          <w:tcPr>
            <w:tcW w:w="8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140" w:type="dxa"/>
            <w:gridSpan w:val="2"/>
            <w:tcBorders/>
          </w:tcPr>
          <w:p>
            <w:pPr>
              <w:pStyle w:val="Normal"/>
              <w:spacing w:lineRule="exact" w:line="272"/>
              <w:ind w:end="320"/>
              <w:jc w:val="center"/>
              <w:rPr>
                <w:rFonts w:ascii="Times New Roman" w:hAnsi="Times New Roman" w:eastAsia="Times New Roman" w:cs="Times New Roman"/>
                <w:b/>
                <w:w w:val="98"/>
                <w:sz w:val="24"/>
              </w:rPr>
            </w:pPr>
            <w:r>
              <w:rPr>
                <w:rFonts w:eastAsia="Times New Roman" w:cs="Times New Roman" w:ascii="Times New Roman" w:hAnsi="Times New Roman"/>
                <w:b/>
                <w:w w:val="98"/>
                <w:sz w:val="24"/>
              </w:rPr>
              <w:t>or Yield</w:t>
            </w:r>
          </w:p>
        </w:tc>
      </w:tr>
      <w:tr>
        <w:trPr>
          <w:trHeight w:val="23" w:hRule="atLeast"/>
        </w:trPr>
        <w:tc>
          <w:tcPr>
            <w:tcW w:w="40" w:type="dxa"/>
            <w:tcBorders/>
          </w:tcPr>
          <w:p>
            <w:pPr>
              <w:pStyle w:val="Normal"/>
              <w:snapToGrid w:val="false"/>
              <w:spacing w:lineRule="exact" w:line="20"/>
              <w:rPr>
                <w:rFonts w:ascii="Times New Roman" w:hAnsi="Times New Roman" w:eastAsia="Times New Roman" w:cs="Times New Roman"/>
                <w:b/>
                <w:w w:val="98"/>
                <w:sz w:val="1"/>
              </w:rPr>
            </w:pPr>
            <w:r>
              <w:rPr>
                <w:rFonts w:eastAsia="Times New Roman" w:cs="Times New Roman" w:ascii="Times New Roman" w:hAnsi="Times New Roman"/>
                <w:b/>
                <w:w w:val="98"/>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tbl>
      <w:tblPr>
        <w:tblW w:w="6360" w:type="dxa"/>
        <w:jc w:val="start"/>
        <w:tblInd w:w="720" w:type="dxa"/>
        <w:tblLayout w:type="fixed"/>
        <w:tblCellMar>
          <w:top w:w="0" w:type="dxa"/>
          <w:start w:w="0" w:type="dxa"/>
          <w:bottom w:w="0" w:type="dxa"/>
          <w:end w:w="0" w:type="dxa"/>
        </w:tblCellMar>
      </w:tblPr>
      <w:tblGrid>
        <w:gridCol w:w="2100"/>
        <w:gridCol w:w="140"/>
        <w:gridCol w:w="800"/>
        <w:gridCol w:w="1920"/>
        <w:gridCol w:w="520"/>
        <w:gridCol w:w="840"/>
        <w:gridCol w:w="40"/>
      </w:tblGrid>
      <w:tr>
        <w:trPr>
          <w:trHeight w:val="318" w:hRule="atLeast"/>
        </w:trPr>
        <w:tc>
          <w:tcPr>
            <w:tcW w:w="4960" w:type="dxa"/>
            <w:gridSpan w:val="4"/>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Mandatory Sinking Fund Schedule:</w:t>
            </w:r>
          </w:p>
        </w:tc>
        <w:tc>
          <w:tcPr>
            <w:tcW w:w="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0" w:hRule="atLeast"/>
        </w:trPr>
        <w:tc>
          <w:tcPr>
            <w:tcW w:w="4960" w:type="dxa"/>
            <w:gridSpan w:val="4"/>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Securities Maturing on ____________, _____:</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3" w:hRule="atLeast"/>
        </w:trPr>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gridSpan w:val="2"/>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Date</w:t>
            </w:r>
          </w:p>
        </w:tc>
        <w:tc>
          <w:tcPr>
            <w:tcW w:w="1400" w:type="dxa"/>
            <w:gridSpan w:val="3"/>
            <w:tcBorders/>
          </w:tcPr>
          <w:p>
            <w:pPr>
              <w:pStyle w:val="Normal"/>
              <w:spacing w:lineRule="atLeast" w:line="0"/>
              <w:ind w:start="34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Principal</w:t>
            </w:r>
          </w:p>
        </w:tc>
      </w:tr>
      <w:tr>
        <w:trPr>
          <w:trHeight w:val="272" w:hRule="atLeast"/>
        </w:trPr>
        <w:tc>
          <w:tcPr>
            <w:tcW w:w="2240" w:type="dxa"/>
            <w:gridSpan w:val="2"/>
            <w:tcBorders/>
          </w:tcPr>
          <w:p>
            <w:pPr>
              <w:pStyle w:val="Normal"/>
              <w:spacing w:lineRule="exact" w:line="272"/>
              <w:ind w:end="60"/>
              <w:jc w:val="end"/>
              <w:rPr>
                <w:rFonts w:ascii="Times New Roman" w:hAnsi="Times New Roman" w:eastAsia="Times New Roman" w:cs="Times New Roman"/>
                <w:b/>
                <w:sz w:val="24"/>
              </w:rPr>
            </w:pPr>
            <w:r>
              <w:rPr>
                <w:rFonts w:eastAsia="Times New Roman" w:cs="Times New Roman" w:ascii="Times New Roman" w:hAnsi="Times New Roman"/>
                <w:b/>
                <w:sz w:val="24"/>
              </w:rPr>
              <w:t>(</w:t>
            </w:r>
          </w:p>
        </w:tc>
        <w:tc>
          <w:tcPr>
            <w:tcW w:w="800" w:type="dxa"/>
            <w:tcBorders/>
          </w:tcPr>
          <w:p>
            <w:pPr>
              <w:pStyle w:val="Normal"/>
              <w:spacing w:lineRule="exact" w:line="272"/>
              <w:jc w:val="end"/>
              <w:rPr>
                <w:rFonts w:ascii="Times New Roman" w:hAnsi="Times New Roman" w:eastAsia="Times New Roman" w:cs="Times New Roman"/>
                <w:b/>
                <w:sz w:val="24"/>
              </w:rPr>
            </w:pPr>
            <w:r>
              <w:rPr>
                <w:rFonts w:eastAsia="Times New Roman" w:cs="Times New Roman" w:ascii="Times New Roman" w:hAnsi="Times New Roman"/>
                <w:b/>
                <w:sz w:val="24"/>
              </w:rPr>
              <w:t>)</w:t>
            </w:r>
          </w:p>
        </w:tc>
        <w:tc>
          <w:tcPr>
            <w:tcW w:w="19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gridSpan w:val="2"/>
            <w:tcBorders/>
          </w:tcPr>
          <w:p>
            <w:pPr>
              <w:pStyle w:val="Normal"/>
              <w:spacing w:lineRule="exact" w:line="272"/>
              <w:ind w:end="4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Amount</w:t>
            </w:r>
          </w:p>
        </w:tc>
      </w:tr>
      <w:tr>
        <w:trPr>
          <w:trHeight w:val="23" w:hRule="atLeast"/>
        </w:trPr>
        <w:tc>
          <w:tcPr>
            <w:tcW w:w="2100" w:type="dxa"/>
            <w:tcBorders/>
          </w:tcPr>
          <w:p>
            <w:pPr>
              <w:pStyle w:val="Normal"/>
              <w:snapToGrid w:val="false"/>
              <w:spacing w:lineRule="exact" w:line="20"/>
              <w:rPr>
                <w:rFonts w:ascii="Times New Roman" w:hAnsi="Times New Roman" w:eastAsia="Times New Roman" w:cs="Times New Roman"/>
                <w:b/>
                <w:w w:val="99"/>
                <w:sz w:val="1"/>
              </w:rPr>
            </w:pPr>
            <w:r>
              <w:rPr>
                <w:rFonts w:eastAsia="Times New Roman" w:cs="Times New Roman" w:ascii="Times New Roman" w:hAnsi="Times New Roman"/>
                <w:b/>
                <w:w w:val="99"/>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6360" w:type="dxa"/>
        <w:jc w:val="start"/>
        <w:tblInd w:w="720" w:type="dxa"/>
        <w:tblLayout w:type="fixed"/>
        <w:tblCellMar>
          <w:top w:w="0" w:type="dxa"/>
          <w:start w:w="0" w:type="dxa"/>
          <w:bottom w:w="0" w:type="dxa"/>
          <w:end w:w="0" w:type="dxa"/>
        </w:tblCellMar>
      </w:tblPr>
      <w:tblGrid>
        <w:gridCol w:w="2100"/>
        <w:gridCol w:w="140"/>
        <w:gridCol w:w="800"/>
        <w:gridCol w:w="1920"/>
        <w:gridCol w:w="520"/>
        <w:gridCol w:w="840"/>
        <w:gridCol w:w="40"/>
      </w:tblGrid>
      <w:tr>
        <w:trPr>
          <w:trHeight w:val="312" w:hRule="atLeast"/>
        </w:trPr>
        <w:tc>
          <w:tcPr>
            <w:tcW w:w="4960" w:type="dxa"/>
            <w:gridSpan w:val="4"/>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Securities Maturing on ____________, _____:</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3" w:hRule="atLeast"/>
        </w:trPr>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gridSpan w:val="2"/>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Date</w:t>
            </w:r>
          </w:p>
        </w:tc>
        <w:tc>
          <w:tcPr>
            <w:tcW w:w="1400" w:type="dxa"/>
            <w:gridSpan w:val="3"/>
            <w:tcBorders/>
          </w:tcPr>
          <w:p>
            <w:pPr>
              <w:pStyle w:val="Normal"/>
              <w:spacing w:lineRule="atLeast" w:line="0"/>
              <w:ind w:start="34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Principal</w:t>
            </w:r>
          </w:p>
        </w:tc>
      </w:tr>
      <w:tr>
        <w:trPr>
          <w:trHeight w:val="272" w:hRule="atLeast"/>
        </w:trPr>
        <w:tc>
          <w:tcPr>
            <w:tcW w:w="2240" w:type="dxa"/>
            <w:gridSpan w:val="2"/>
            <w:tcBorders/>
          </w:tcPr>
          <w:p>
            <w:pPr>
              <w:pStyle w:val="Normal"/>
              <w:spacing w:lineRule="exact" w:line="272"/>
              <w:ind w:end="60"/>
              <w:jc w:val="end"/>
              <w:rPr>
                <w:rFonts w:ascii="Times New Roman" w:hAnsi="Times New Roman" w:eastAsia="Times New Roman" w:cs="Times New Roman"/>
                <w:b/>
                <w:sz w:val="24"/>
              </w:rPr>
            </w:pPr>
            <w:r>
              <w:rPr>
                <w:rFonts w:eastAsia="Times New Roman" w:cs="Times New Roman" w:ascii="Times New Roman" w:hAnsi="Times New Roman"/>
                <w:b/>
                <w:sz w:val="24"/>
              </w:rPr>
              <w:t>(</w:t>
            </w:r>
          </w:p>
        </w:tc>
        <w:tc>
          <w:tcPr>
            <w:tcW w:w="800" w:type="dxa"/>
            <w:tcBorders/>
          </w:tcPr>
          <w:p>
            <w:pPr>
              <w:pStyle w:val="Normal"/>
              <w:spacing w:lineRule="exact" w:line="272"/>
              <w:jc w:val="end"/>
              <w:rPr>
                <w:rFonts w:ascii="Times New Roman" w:hAnsi="Times New Roman" w:eastAsia="Times New Roman" w:cs="Times New Roman"/>
                <w:b/>
                <w:sz w:val="24"/>
              </w:rPr>
            </w:pPr>
            <w:r>
              <w:rPr>
                <w:rFonts w:eastAsia="Times New Roman" w:cs="Times New Roman" w:ascii="Times New Roman" w:hAnsi="Times New Roman"/>
                <w:b/>
                <w:sz w:val="24"/>
              </w:rPr>
              <w:t>)</w:t>
            </w:r>
          </w:p>
        </w:tc>
        <w:tc>
          <w:tcPr>
            <w:tcW w:w="19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gridSpan w:val="2"/>
            <w:tcBorders/>
          </w:tcPr>
          <w:p>
            <w:pPr>
              <w:pStyle w:val="Normal"/>
              <w:spacing w:lineRule="exact" w:line="272"/>
              <w:ind w:end="4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Amount</w:t>
            </w:r>
          </w:p>
        </w:tc>
      </w:tr>
      <w:tr>
        <w:trPr>
          <w:trHeight w:val="23" w:hRule="atLeast"/>
        </w:trPr>
        <w:tc>
          <w:tcPr>
            <w:tcW w:w="2100" w:type="dxa"/>
            <w:tcBorders/>
          </w:tcPr>
          <w:p>
            <w:pPr>
              <w:pStyle w:val="Normal"/>
              <w:snapToGrid w:val="false"/>
              <w:spacing w:lineRule="exact" w:line="20"/>
              <w:rPr>
                <w:rFonts w:ascii="Times New Roman" w:hAnsi="Times New Roman" w:eastAsia="Times New Roman" w:cs="Times New Roman"/>
                <w:b/>
                <w:w w:val="99"/>
                <w:sz w:val="1"/>
              </w:rPr>
            </w:pPr>
            <w:r>
              <w:rPr>
                <w:rFonts w:eastAsia="Times New Roman" w:cs="Times New Roman" w:ascii="Times New Roman" w:hAnsi="Times New Roman"/>
                <w:b/>
                <w:w w:val="99"/>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Optional Redemption: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340" w:gutter="0" w:header="0" w:top="1417" w:footer="0" w:bottom="160"/>
          <w:pgNumType w:fmt="decimal"/>
          <w:formProt w:val="false"/>
          <w:textDirection w:val="lrTb"/>
          <w:docGrid w:type="default" w:linePitch="360" w:charSpace="0"/>
        </w:sectPr>
        <w:pStyle w:val="Normal"/>
        <w:spacing w:lineRule="atLeast" w:line="0"/>
        <w:ind w:start="5260" w:end="0"/>
        <w:rPr>
          <w:rFonts w:ascii="Times New Roman" w:hAnsi="Times New Roman" w:eastAsia="Times New Roman" w:cs="Times New Roman"/>
          <w:sz w:val="24"/>
        </w:rPr>
      </w:pPr>
      <w:r>
        <w:rPr>
          <w:rFonts w:eastAsia="Times New Roman" w:cs="Times New Roman" w:ascii="Times New Roman" w:hAnsi="Times New Roman"/>
          <w:sz w:val="24"/>
        </w:rPr>
        <w:t>I-1</w:t>
      </w:r>
    </w:p>
    <w:p>
      <w:pPr>
        <w:pStyle w:val="Normal"/>
        <w:spacing w:lineRule="atLeast" w:line="0"/>
        <w:ind w:start="8200" w:end="0"/>
        <w:rPr>
          <w:rFonts w:ascii="Times New Roman" w:hAnsi="Times New Roman" w:eastAsia="Times New Roman" w:cs="Times New Roman"/>
          <w:b/>
          <w:sz w:val="24"/>
          <w:u w:val="single"/>
        </w:rPr>
      </w:pPr>
      <w:bookmarkStart w:id="16" w:name="page13"/>
      <w:bookmarkEnd w:id="16"/>
      <w:r>
        <w:rPr>
          <w:rFonts w:eastAsia="Times New Roman" w:cs="Times New Roman" w:ascii="Times New Roman" w:hAnsi="Times New Roman"/>
          <w:b/>
          <w:sz w:val="24"/>
          <w:u w:val="single"/>
        </w:rPr>
        <w:t>Schedule II</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Defined Terms</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drawing>
          <wp:anchor behindDoc="1" distT="0" distB="0" distL="114935" distR="114935" simplePos="0" locked="0" layoutInCell="1" allowOverlap="1" relativeHeight="33">
            <wp:simplePos x="0" y="0"/>
            <wp:positionH relativeFrom="column">
              <wp:posOffset>796925</wp:posOffset>
            </wp:positionH>
            <wp:positionV relativeFrom="paragraph">
              <wp:posOffset>342265</wp:posOffset>
            </wp:positionV>
            <wp:extent cx="5378450" cy="614680"/>
            <wp:effectExtent l="0" t="0" r="0" b="0"/>
            <wp:wrapNone/>
            <wp:docPr id="32"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 descr="" title=""/>
                    <pic:cNvPicPr>
                      <a:picLocks noChangeAspect="1" noChangeArrowheads="1"/>
                    </pic:cNvPicPr>
                  </pic:nvPicPr>
                  <pic:blipFill>
                    <a:blip r:embed="rId16"/>
                    <a:srcRect l="-3" t="-29" r="-3" b="-29"/>
                    <a:stretch>
                      <a:fillRect/>
                    </a:stretch>
                  </pic:blipFill>
                  <pic:spPr bwMode="auto">
                    <a:xfrm>
                      <a:off x="0" y="0"/>
                      <a:ext cx="5378450" cy="614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720" w:start="720" w:end="720"/>
        <w:jc w:val="both"/>
        <w:rPr>
          <w:rFonts w:ascii="Times New Roman" w:hAnsi="Times New Roman" w:eastAsia="Times New Roman" w:cs="Times New Roman"/>
          <w:i/>
          <w:i/>
          <w:sz w:val="24"/>
        </w:rPr>
      </w:pPr>
      <w:r>
        <w:rPr>
          <w:rFonts w:eastAsia="Times New Roman" w:cs="Times New Roman" w:ascii="Times New Roman" w:hAnsi="Times New Roman"/>
          <w:i/>
          <w:sz w:val="24"/>
        </w:rPr>
        <w:t>All capitalized terms used in this Agreement and not otherwise defined are used as defined in Schedule II below or in the BPA General Provisions and Conditions:</w:t>
      </w:r>
    </w:p>
    <w:p>
      <w:pPr>
        <w:pStyle w:val="Normal"/>
        <w:spacing w:lineRule="exact" w:line="19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73"/>
        <w:ind w:start="720" w:end="720"/>
        <w:jc w:val="both"/>
        <w:rPr/>
      </w:pPr>
      <w:r>
        <w:rPr>
          <w:rFonts w:eastAsia="Times New Roman" w:cs="Times New Roman" w:ascii="Times New Roman" w:hAnsi="Times New Roman"/>
          <w:i/>
          <w:sz w:val="24"/>
        </w:rPr>
        <w:t>Acceptance Deadline</w:t>
      </w:r>
      <w:r>
        <w:rPr>
          <w:rFonts w:eastAsia="Times New Roman" w:cs="Times New Roman" w:ascii="Times New Roman" w:hAnsi="Times New Roman"/>
          <w:sz w:val="24"/>
        </w:rPr>
        <w:t>: The date set forth on the first page of the BPA Terms and Acceptance, being the date and time by which the Issuer must accept the Agreement.</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Accountants: ______________________,</w:t>
      </w:r>
      <w:r>
        <w:rPr>
          <w:rFonts w:eastAsia="Times New Roman" w:cs="Times New Roman" w:ascii="Times New Roman" w:hAnsi="Times New Roman"/>
          <w:sz w:val="24"/>
        </w:rPr>
        <w:t xml:space="preserve"> the public accountants of the Issuer and/or any</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720"/>
        <w:jc w:val="both"/>
        <w:rPr>
          <w:rFonts w:ascii="Times New Roman" w:hAnsi="Times New Roman" w:eastAsia="Times New Roman" w:cs="Times New Roman"/>
          <w:sz w:val="24"/>
        </w:rPr>
      </w:pPr>
      <w:r>
        <w:rPr>
          <w:rFonts w:eastAsia="Times New Roman" w:cs="Times New Roman" w:ascii="Times New Roman" w:hAnsi="Times New Roman"/>
          <w:sz w:val="24"/>
        </w:rPr>
        <w:t>entity whose audited financial statements are included in the Preliminary Official Statement and the Official Statement.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Act:</w:t>
      </w:r>
      <w:r>
        <w:rPr>
          <w:rFonts w:eastAsia="Times New Roman" w:cs="Times New Roman" w:ascii="Times New Roman" w:hAnsi="Times New Roman"/>
          <w:sz w:val="24"/>
        </w:rPr>
        <w:t xml:space="preserve"> 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720"/>
        <w:jc w:val="both"/>
        <w:rPr/>
      </w:pPr>
      <w:r>
        <w:rPr>
          <w:rFonts w:eastAsia="Times New Roman" w:cs="Times New Roman" w:ascii="Times New Roman" w:hAnsi="Times New Roman"/>
          <w:i/>
          <w:sz w:val="24"/>
        </w:rPr>
        <w:t>Agreement:</w:t>
      </w:r>
      <w:r>
        <w:rPr>
          <w:rFonts w:eastAsia="Times New Roman" w:cs="Times New Roman" w:ascii="Times New Roman" w:hAnsi="Times New Roman"/>
          <w:sz w:val="24"/>
        </w:rPr>
        <w:t xml:space="preserve"> This Bond Purchase Agreement, dated the Effective Date, including (i) the BPA Terms and Acceptance, (ii) Schedules I, II, III, IV and V attached hereto and (iii) the BPA General Provisions and Conditions.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000" w:leader="none"/>
        </w:tabs>
        <w:spacing w:lineRule="atLeast" w:line="0"/>
        <w:ind w:start="720" w:end="0"/>
        <w:rPr/>
      </w:pPr>
      <w:r>
        <w:rPr>
          <w:rFonts w:eastAsia="Times New Roman" w:cs="Times New Roman" w:ascii="Times New Roman" w:hAnsi="Times New Roman"/>
          <w:i/>
          <w:sz w:val="24"/>
        </w:rPr>
        <w:t>Bond Counsel:</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4">
            <wp:simplePos x="0" y="0"/>
            <wp:positionH relativeFrom="column">
              <wp:posOffset>1443355</wp:posOffset>
            </wp:positionH>
            <wp:positionV relativeFrom="paragraph">
              <wp:posOffset>-3175</wp:posOffset>
            </wp:positionV>
            <wp:extent cx="4919345" cy="7620"/>
            <wp:effectExtent l="0" t="0" r="0" b="0"/>
            <wp:wrapNone/>
            <wp:docPr id="33"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6" descr="" title=""/>
                    <pic:cNvPicPr>
                      <a:picLocks noChangeAspect="1" noChangeArrowheads="1"/>
                    </pic:cNvPicPr>
                  </pic:nvPicPr>
                  <pic:blipFill>
                    <a:blip r:embed="rId17"/>
                    <a:srcRect l="-4" t="-1887" r="-4" b="-1887"/>
                    <a:stretch>
                      <a:fillRect/>
                    </a:stretch>
                  </pic:blipFill>
                  <pic:spPr bwMode="auto">
                    <a:xfrm>
                      <a:off x="0" y="0"/>
                      <a:ext cx="4919345" cy="7620"/>
                    </a:xfrm>
                    <a:prstGeom prst="rect">
                      <a:avLst/>
                    </a:prstGeom>
                  </pic:spPr>
                </pic:pic>
              </a:graphicData>
            </a:graphic>
          </wp:anchor>
        </w:drawing>
        <w:drawing>
          <wp:anchor behindDoc="1" distT="0" distB="0" distL="114935" distR="114935" simplePos="0" locked="0" layoutInCell="1" allowOverlap="1" relativeHeight="35">
            <wp:simplePos x="0" y="0"/>
            <wp:positionH relativeFrom="column">
              <wp:posOffset>796925</wp:posOffset>
            </wp:positionH>
            <wp:positionV relativeFrom="paragraph">
              <wp:posOffset>189865</wp:posOffset>
            </wp:positionV>
            <wp:extent cx="5378450" cy="439420"/>
            <wp:effectExtent l="0" t="0" r="0" b="0"/>
            <wp:wrapNone/>
            <wp:docPr id="34"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 descr="" title=""/>
                    <pic:cNvPicPr>
                      <a:picLocks noChangeAspect="1" noChangeArrowheads="1"/>
                    </pic:cNvPicPr>
                  </pic:nvPicPr>
                  <pic:blipFill>
                    <a:blip r:embed="rId18"/>
                    <a:srcRect l="-3" t="-41" r="-3" b="-41"/>
                    <a:stretch>
                      <a:fillRect/>
                    </a:stretch>
                  </pic:blipFill>
                  <pic:spPr bwMode="auto">
                    <a:xfrm>
                      <a:off x="0" y="0"/>
                      <a:ext cx="5378450" cy="4394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720" w:end="720"/>
        <w:jc w:val="both"/>
        <w:rPr/>
      </w:pPr>
      <w:r>
        <w:rPr>
          <w:rFonts w:eastAsia="Times New Roman" w:cs="Times New Roman" w:ascii="Times New Roman" w:hAnsi="Times New Roman"/>
          <w:i/>
          <w:sz w:val="24"/>
        </w:rPr>
        <w:t>Bond Legislation:</w:t>
      </w:r>
      <w:r>
        <w:rPr>
          <w:rFonts w:eastAsia="Times New Roman" w:cs="Times New Roman" w:ascii="Times New Roman" w:hAnsi="Times New Roman"/>
          <w:sz w:val="24"/>
        </w:rPr>
        <w:t xml:space="preserve"> The Resolution(s), Ordinance(s) or Order(s) enacted by the Issuer’s legislative body on ________________, ____, authorizing the issuance of the Securities, as amended and supplemented to the Closing Date.</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720"/>
        <w:jc w:val="both"/>
        <w:rPr/>
      </w:pPr>
      <w:r>
        <w:rPr>
          <w:rFonts w:eastAsia="Times New Roman" w:cs="Times New Roman" w:ascii="Times New Roman" w:hAnsi="Times New Roman"/>
          <w:i/>
          <w:sz w:val="24"/>
        </w:rPr>
        <w:t>Bond Insurer</w:t>
      </w:r>
      <w:r>
        <w:rPr>
          <w:rFonts w:eastAsia="Times New Roman" w:cs="Times New Roman" w:ascii="Times New Roman" w:hAnsi="Times New Roman"/>
          <w:sz w:val="24"/>
        </w:rPr>
        <w:t>: The issuer of the Policy, if any, identified in the BPA Terms and Acceptance.</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720"/>
        <w:jc w:val="both"/>
        <w:rPr/>
      </w:pPr>
      <w:r>
        <w:rPr>
          <w:rFonts w:eastAsia="Times New Roman" w:cs="Times New Roman" w:ascii="Times New Roman" w:hAnsi="Times New Roman"/>
          <w:i/>
          <w:sz w:val="24"/>
        </w:rPr>
        <w:t>BPA General Provisions and Conditions</w:t>
      </w:r>
      <w:r>
        <w:rPr>
          <w:rFonts w:eastAsia="Times New Roman" w:cs="Times New Roman" w:ascii="Times New Roman" w:hAnsi="Times New Roman"/>
          <w:sz w:val="24"/>
        </w:rPr>
        <w:t>: The Bond Purchase Agreement General Provisions and Conditions 9/17/08 attached to, incorporated by reference into, and constituting part of this Agreement, except as otherwise specified or as modified in Schedule III.</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720"/>
        <w:jc w:val="both"/>
        <w:rPr/>
      </w:pPr>
      <w:r>
        <w:rPr>
          <w:rFonts w:eastAsia="Times New Roman" w:cs="Times New Roman" w:ascii="Times New Roman" w:hAnsi="Times New Roman"/>
          <w:i/>
          <w:sz w:val="24"/>
        </w:rPr>
        <w:t>BPA Terms and Acceptance:</w:t>
      </w:r>
      <w:r>
        <w:rPr>
          <w:rFonts w:eastAsia="Times New Roman" w:cs="Times New Roman" w:ascii="Times New Roman" w:hAnsi="Times New Roman"/>
          <w:sz w:val="24"/>
        </w:rPr>
        <w:t xml:space="preserve"> The Bond Purchase Agreement Terms and Acceptance 9/17/08 as modified and completed to apply to the issuance and sale of the Securities.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720" w:gutter="0" w:header="0" w:top="1417"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II-1</w:t>
      </w:r>
    </w:p>
    <w:p>
      <w:pPr>
        <w:pStyle w:val="Normal"/>
        <w:spacing w:lineRule="auto" w:line="273"/>
        <w:ind w:start="720" w:end="720"/>
        <w:jc w:val="both"/>
        <w:rPr/>
      </w:pPr>
      <w:bookmarkStart w:id="17" w:name="page14"/>
      <w:bookmarkEnd w:id="17"/>
      <w:r>
        <w:rPr>
          <w:rFonts w:eastAsia="Times New Roman" w:cs="Times New Roman" w:ascii="Times New Roman" w:hAnsi="Times New Roman"/>
          <w:i/>
          <w:sz w:val="24"/>
        </w:rPr>
        <w:t>Closing Date:</w:t>
      </w:r>
      <w:r>
        <w:rPr>
          <w:rFonts w:eastAsia="Times New Roman" w:cs="Times New Roman" w:ascii="Times New Roman" w:hAnsi="Times New Roman"/>
          <w:sz w:val="24"/>
        </w:rPr>
        <w:t xml:space="preserve"> The date set forth on the first page of the BPA Terms and Acceptance, being the date of the issuance and delivery of the Securities.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6">
            <wp:simplePos x="0" y="0"/>
            <wp:positionH relativeFrom="column">
              <wp:posOffset>796925</wp:posOffset>
            </wp:positionH>
            <wp:positionV relativeFrom="paragraph">
              <wp:posOffset>140335</wp:posOffset>
            </wp:positionV>
            <wp:extent cx="5378450" cy="614680"/>
            <wp:effectExtent l="0" t="0" r="0" b="0"/>
            <wp:wrapNone/>
            <wp:docPr id="35"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 descr="" title=""/>
                    <pic:cNvPicPr>
                      <a:picLocks noChangeAspect="1" noChangeArrowheads="1"/>
                    </pic:cNvPicPr>
                  </pic:nvPicPr>
                  <pic:blipFill>
                    <a:blip r:embed="rId19"/>
                    <a:srcRect l="-3" t="-29" r="-3" b="-29"/>
                    <a:stretch>
                      <a:fillRect/>
                    </a:stretch>
                  </pic:blipFill>
                  <pic:spPr bwMode="auto">
                    <a:xfrm>
                      <a:off x="0" y="0"/>
                      <a:ext cx="5378450" cy="614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720" w:end="720"/>
        <w:jc w:val="both"/>
        <w:rPr/>
      </w:pPr>
      <w:r>
        <w:rPr>
          <w:rFonts w:eastAsia="Times New Roman" w:cs="Times New Roman" w:ascii="Times New Roman" w:hAnsi="Times New Roman"/>
          <w:i/>
          <w:sz w:val="24"/>
        </w:rPr>
        <w:t>Continuing Disclosure Undertaking</w:t>
      </w:r>
      <w:r>
        <w:rPr>
          <w:rFonts w:eastAsia="Times New Roman" w:cs="Times New Roman" w:ascii="Times New Roman" w:hAnsi="Times New Roman"/>
          <w:sz w:val="24"/>
        </w:rPr>
        <w:t>: The continuing disclosure undertaking or agreement, if any, entered into by the Issuer with respect to the Securities in accordance with Rule 15c2-12 (which may be a separate document or may be included in the Bond Legislation or another Issuer Document).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7">
            <wp:simplePos x="0" y="0"/>
            <wp:positionH relativeFrom="column">
              <wp:posOffset>796925</wp:posOffset>
            </wp:positionH>
            <wp:positionV relativeFrom="paragraph">
              <wp:posOffset>156845</wp:posOffset>
            </wp:positionV>
            <wp:extent cx="5378450" cy="439420"/>
            <wp:effectExtent l="0" t="0" r="0" b="0"/>
            <wp:wrapNone/>
            <wp:docPr id="36"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 descr="" title=""/>
                    <pic:cNvPicPr>
                      <a:picLocks noChangeAspect="1" noChangeArrowheads="1"/>
                    </pic:cNvPicPr>
                  </pic:nvPicPr>
                  <pic:blipFill>
                    <a:blip r:embed="rId20"/>
                    <a:srcRect l="-3" t="-41" r="-3" b="-41"/>
                    <a:stretch>
                      <a:fillRect/>
                    </a:stretch>
                  </pic:blipFill>
                  <pic:spPr bwMode="auto">
                    <a:xfrm>
                      <a:off x="0" y="0"/>
                      <a:ext cx="5378450" cy="4394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720"/>
        <w:jc w:val="both"/>
        <w:rPr/>
      </w:pPr>
      <w:r>
        <w:rPr>
          <w:rFonts w:eastAsia="Times New Roman" w:cs="Times New Roman" w:ascii="Times New Roman" w:hAnsi="Times New Roman"/>
          <w:i/>
          <w:sz w:val="24"/>
        </w:rPr>
        <w:t>Creditors’ Rights Laws:</w:t>
      </w:r>
      <w:r>
        <w:rPr>
          <w:rFonts w:eastAsia="Times New Roman" w:cs="Times New Roman" w:ascii="Times New Roman" w:hAnsi="Times New Roman"/>
          <w:sz w:val="24"/>
        </w:rPr>
        <w:t xml:space="preserve"> Limitations on enforceability as may result from bankruptcy, insolvency, reorganization, moratorium and other similar laws affecting creditors’ rights generally from time to time in effect and from the application of general principles of equity and from public policy limitations on the exercise of any rights to indemnification and contribution.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000" w:leader="none"/>
        </w:tabs>
        <w:spacing w:lineRule="atLeast" w:line="0"/>
        <w:ind w:start="720" w:end="0"/>
        <w:rPr/>
      </w:pPr>
      <w:r>
        <w:rPr>
          <w:rFonts w:eastAsia="Times New Roman" w:cs="Times New Roman" w:ascii="Times New Roman" w:hAnsi="Times New Roman"/>
          <w:i/>
          <w:sz w:val="24"/>
        </w:rPr>
        <w:t>Disclosure Counsel:</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8">
            <wp:simplePos x="0" y="0"/>
            <wp:positionH relativeFrom="column">
              <wp:posOffset>1782445</wp:posOffset>
            </wp:positionH>
            <wp:positionV relativeFrom="paragraph">
              <wp:posOffset>-3175</wp:posOffset>
            </wp:positionV>
            <wp:extent cx="4580255" cy="7620"/>
            <wp:effectExtent l="0" t="0" r="0" b="0"/>
            <wp:wrapNone/>
            <wp:docPr id="37"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0" descr="" title=""/>
                    <pic:cNvPicPr>
                      <a:picLocks noChangeAspect="1" noChangeArrowheads="1"/>
                    </pic:cNvPicPr>
                  </pic:nvPicPr>
                  <pic:blipFill>
                    <a:blip r:embed="rId21"/>
                    <a:srcRect l="-4" t="-1887" r="-4" b="-1887"/>
                    <a:stretch>
                      <a:fillRect/>
                    </a:stretch>
                  </pic:blipFill>
                  <pic:spPr bwMode="auto">
                    <a:xfrm>
                      <a:off x="0" y="0"/>
                      <a:ext cx="4580255" cy="7620"/>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i/>
          <w:sz w:val="24"/>
        </w:rPr>
        <w:t>DTC:</w:t>
      </w:r>
      <w:r>
        <w:rPr>
          <w:rFonts w:eastAsia="Times New Roman" w:cs="Times New Roman" w:ascii="Times New Roman" w:hAnsi="Times New Roman"/>
          <w:sz w:val="24"/>
        </w:rPr>
        <w:t xml:space="preserve"> The Depository Trust Company.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720"/>
        <w:jc w:val="both"/>
        <w:rPr/>
      </w:pPr>
      <w:r>
        <w:rPr>
          <w:rFonts w:eastAsia="Times New Roman" w:cs="Times New Roman" w:ascii="Times New Roman" w:hAnsi="Times New Roman"/>
          <w:i/>
          <w:sz w:val="24"/>
        </w:rPr>
        <w:t>Effective Date and Time:</w:t>
      </w:r>
      <w:r>
        <w:rPr>
          <w:rFonts w:eastAsia="Times New Roman" w:cs="Times New Roman" w:ascii="Times New Roman" w:hAnsi="Times New Roman"/>
          <w:sz w:val="24"/>
        </w:rPr>
        <w:t xml:space="preserve"> The date and time that this Agreement is effective, as set forth on the first page of the BPA Terms and Acceptance.</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720"/>
        <w:jc w:val="both"/>
        <w:rPr/>
      </w:pPr>
      <w:r>
        <w:rPr>
          <w:rFonts w:eastAsia="Times New Roman" w:cs="Times New Roman" w:ascii="Times New Roman" w:hAnsi="Times New Roman"/>
          <w:i/>
          <w:sz w:val="24"/>
        </w:rPr>
        <w:t>End of the Underwriting Period:</w:t>
      </w:r>
      <w:r>
        <w:rPr>
          <w:rFonts w:eastAsia="Times New Roman" w:cs="Times New Roman" w:ascii="Times New Roman" w:hAnsi="Times New Roman"/>
          <w:sz w:val="24"/>
        </w:rPr>
        <w:t xml:space="preserve"> The later of (A) the Closing Date or (B) when the Underwriters no longer retain an unsold balance of the Securities. See Section 4(e) of the BPA General Provisions and Conditions.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Exchange Act:</w:t>
      </w:r>
      <w:r>
        <w:rPr>
          <w:rFonts w:eastAsia="Times New Roman" w:cs="Times New Roman" w:ascii="Times New Roman" w:hAnsi="Times New Roman"/>
          <w:sz w:val="24"/>
        </w:rPr>
        <w:t xml:space="preserve"> The Securities Exchange Act of 1934, as amended.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720"/>
        <w:jc w:val="both"/>
        <w:rPr/>
      </w:pPr>
      <w:r>
        <w:rPr>
          <w:rFonts w:eastAsia="Times New Roman" w:cs="Times New Roman" w:ascii="Times New Roman" w:hAnsi="Times New Roman"/>
          <w:i/>
          <w:sz w:val="24"/>
        </w:rPr>
        <w:t>Excluded Sections:</w:t>
      </w:r>
      <w:r>
        <w:rPr>
          <w:rFonts w:eastAsia="Times New Roman" w:cs="Times New Roman" w:ascii="Times New Roman" w:hAnsi="Times New Roman"/>
          <w:sz w:val="24"/>
        </w:rPr>
        <w:t xml:space="preserve"> For purposes of the representations and warranties of the Issuer set forth in Schedule IV, the indemnification provisions set forth in Section 11 of the BPA General Provisions and Conditions and the opinions of Issuer’s Counsel and Disclosure Counsel set forth in Schedule V, the “</w:t>
      </w:r>
      <w:r>
        <w:rPr>
          <w:rFonts w:eastAsia="Times New Roman" w:cs="Times New Roman" w:ascii="Times New Roman" w:hAnsi="Times New Roman"/>
          <w:i/>
          <w:sz w:val="24"/>
        </w:rPr>
        <w:t>Excluded Sections</w:t>
      </w:r>
      <w:r>
        <w:rPr>
          <w:rFonts w:eastAsia="Times New Roman" w:cs="Times New Roman" w:ascii="Times New Roman" w:hAnsi="Times New Roman"/>
          <w:sz w:val="24"/>
        </w:rPr>
        <w:t>” of the Preliminary Official Statement and the Official Statement shall be: (i) the section describing DTC and its book-entry-only procedures, (ii) any information provided by the Bond Insurer or Support Facility Provider expressly for use in the Official Statement, (iii) the section captioned “Underwriting” and (iv) the following additional sections (if any):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720" w:gutter="0" w:header="0" w:top="1416"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II-2</w:t>
      </w:r>
    </w:p>
    <w:p>
      <w:pPr>
        <w:pStyle w:val="Normal"/>
        <w:spacing w:lineRule="auto" w:line="256"/>
        <w:ind w:start="720" w:end="780"/>
        <w:jc w:val="both"/>
        <w:rPr/>
      </w:pPr>
      <w:bookmarkStart w:id="18" w:name="page15"/>
      <w:bookmarkEnd w:id="18"/>
      <w:r>
        <w:rPr>
          <w:rFonts w:eastAsia="Times New Roman" w:cs="Times New Roman" w:ascii="Times New Roman" w:hAnsi="Times New Roman"/>
          <w:i/>
          <w:sz w:val="24"/>
        </w:rPr>
        <w:t>Good Faith Deposit:</w:t>
      </w:r>
      <w:r>
        <w:rPr>
          <w:rFonts w:eastAsia="Times New Roman" w:cs="Times New Roman" w:ascii="Times New Roman" w:hAnsi="Times New Roman"/>
          <w:sz w:val="24"/>
        </w:rPr>
        <w:t xml:space="preserve"> The amount to be provided as a good faith deposit by the Underwriters to the Issuer, if and to the extent set forth in the BPA Terms and Acceptance.</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780"/>
        <w:jc w:val="both"/>
        <w:rPr/>
      </w:pPr>
      <w:r>
        <w:rPr>
          <w:rFonts w:eastAsia="Times New Roman" w:cs="Times New Roman" w:ascii="Times New Roman" w:hAnsi="Times New Roman"/>
          <w:i/>
          <w:sz w:val="24"/>
        </w:rPr>
        <w:t>Issuer:</w:t>
      </w:r>
      <w:r>
        <w:rPr>
          <w:rFonts w:eastAsia="Times New Roman" w:cs="Times New Roman" w:ascii="Times New Roman" w:hAnsi="Times New Roman"/>
          <w:sz w:val="24"/>
        </w:rPr>
        <w:t xml:space="preserve"> The Issuer of the Securities, identified on the first page of the BPA Terms and Acceptance.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9">
            <wp:simplePos x="0" y="0"/>
            <wp:positionH relativeFrom="column">
              <wp:posOffset>796925</wp:posOffset>
            </wp:positionH>
            <wp:positionV relativeFrom="paragraph">
              <wp:posOffset>140335</wp:posOffset>
            </wp:positionV>
            <wp:extent cx="5378450" cy="789305"/>
            <wp:effectExtent l="0" t="0" r="0" b="0"/>
            <wp:wrapNone/>
            <wp:docPr id="38"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 descr="" title=""/>
                    <pic:cNvPicPr>
                      <a:picLocks noChangeAspect="1" noChangeArrowheads="1"/>
                    </pic:cNvPicPr>
                  </pic:nvPicPr>
                  <pic:blipFill>
                    <a:blip r:embed="rId22"/>
                    <a:srcRect l="-3" t="-23" r="-3" b="-23"/>
                    <a:stretch>
                      <a:fillRect/>
                    </a:stretch>
                  </pic:blipFill>
                  <pic:spPr bwMode="auto">
                    <a:xfrm>
                      <a:off x="0" y="0"/>
                      <a:ext cx="5378450" cy="7893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720" w:end="780"/>
        <w:jc w:val="both"/>
        <w:rPr/>
      </w:pPr>
      <w:r>
        <w:rPr>
          <w:rFonts w:eastAsia="Times New Roman" w:cs="Times New Roman" w:ascii="Times New Roman" w:hAnsi="Times New Roman"/>
          <w:i/>
          <w:sz w:val="24"/>
        </w:rPr>
        <w:t>Issuer Documents:</w:t>
      </w:r>
      <w:r>
        <w:rPr>
          <w:rFonts w:eastAsia="Times New Roman" w:cs="Times New Roman" w:ascii="Times New Roman" w:hAnsi="Times New Roman"/>
          <w:sz w:val="24"/>
        </w:rPr>
        <w:t xml:space="preserve"> All financing documents to which the Issuer is a party relating to the issuance of and security for the Securities, as such documents are amended and supplemented to the Closing Date, including, but not limited to:</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600" w:leader="none"/>
        </w:tabs>
        <w:spacing w:lineRule="atLeast" w:line="0"/>
        <w:ind w:hanging="340" w:start="1600" w:end="0"/>
        <w:rPr>
          <w:rFonts w:ascii="Times New Roman" w:hAnsi="Times New Roman" w:eastAsia="Times New Roman" w:cs="Times New Roman"/>
          <w:sz w:val="24"/>
        </w:rPr>
      </w:pPr>
      <w:r>
        <w:rPr>
          <w:rFonts w:eastAsia="Times New Roman" w:cs="Times New Roman" w:ascii="Times New Roman" w:hAnsi="Times New Roman"/>
          <w:sz w:val="24"/>
        </w:rPr>
        <w:t>this Agreement,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680" w:leader="none"/>
        </w:tabs>
        <w:spacing w:lineRule="atLeast" w:line="0"/>
        <w:ind w:hanging="420" w:start="1680" w:end="0"/>
        <w:rPr>
          <w:rFonts w:ascii="Times New Roman" w:hAnsi="Times New Roman" w:eastAsia="Times New Roman" w:cs="Times New Roman"/>
          <w:sz w:val="24"/>
        </w:rPr>
      </w:pPr>
      <w:r>
        <w:rPr>
          <w:rFonts w:eastAsia="Times New Roman" w:cs="Times New Roman" w:ascii="Times New Roman" w:hAnsi="Times New Roman"/>
          <w:sz w:val="24"/>
        </w:rPr>
        <w:t>any Continuing Disclosure Undertaking,</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822" w:leader="none"/>
        </w:tabs>
        <w:spacing w:lineRule="auto" w:line="244"/>
        <w:ind w:firstLine="540" w:start="720" w:end="780"/>
        <w:jc w:val="both"/>
        <w:rPr>
          <w:rFonts w:ascii="Times New Roman" w:hAnsi="Times New Roman" w:eastAsia="Times New Roman" w:cs="Times New Roman"/>
          <w:sz w:val="24"/>
        </w:rPr>
      </w:pPr>
      <w:r>
        <w:rPr>
          <w:rFonts w:eastAsia="Times New Roman" w:cs="Times New Roman" w:ascii="Times New Roman" w:hAnsi="Times New Roman"/>
          <w:sz w:val="24"/>
        </w:rPr>
        <w:t>other applicable financing or operative documents to which the Issuer is a party, as such documents are amended and supplemented to the Closing Date, including any trust indenture, loan agreement, security instrument, auction agreement, remarketing agreement and any agreement with the Bond Insurer or Support Facility Provider, as set forth below: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0">
                <wp:simplePos x="0" y="0"/>
                <wp:positionH relativeFrom="column">
                  <wp:posOffset>457200</wp:posOffset>
                </wp:positionH>
                <wp:positionV relativeFrom="paragraph">
                  <wp:posOffset>322580</wp:posOffset>
                </wp:positionV>
                <wp:extent cx="5943600" cy="0"/>
                <wp:effectExtent l="0" t="3810" r="0" b="3810"/>
                <wp:wrapNone/>
                <wp:docPr id="39" name=""/>
                <a:graphic xmlns:a="http://schemas.openxmlformats.org/drawingml/2006/main">
                  <a:graphicData uri="http://schemas.microsoft.com/office/word/2010/wordprocessingShape">
                    <wps:wsp>
                      <wps:cNvSpPr/>
                      <wps:spPr>
                        <a:xfrm>
                          <a:off x="0" y="0"/>
                          <a:ext cx="594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25.4pt" to="503.95pt,25.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457200</wp:posOffset>
                </wp:positionH>
                <wp:positionV relativeFrom="paragraph">
                  <wp:posOffset>574040</wp:posOffset>
                </wp:positionV>
                <wp:extent cx="5943600" cy="0"/>
                <wp:effectExtent l="0" t="3810" r="0" b="3810"/>
                <wp:wrapNone/>
                <wp:docPr id="40" name=""/>
                <a:graphic xmlns:a="http://schemas.openxmlformats.org/drawingml/2006/main">
                  <a:graphicData uri="http://schemas.microsoft.com/office/word/2010/wordprocessingShape">
                    <wps:wsp>
                      <wps:cNvSpPr/>
                      <wps:spPr>
                        <a:xfrm>
                          <a:off x="0" y="0"/>
                          <a:ext cx="594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45.2pt" to="503.95pt,45.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060" w:leader="none"/>
        </w:tabs>
        <w:spacing w:lineRule="atLeast" w:line="0"/>
        <w:ind w:start="720" w:end="0"/>
        <w:rPr/>
      </w:pPr>
      <w:r>
        <w:rPr>
          <w:rFonts w:eastAsia="Times New Roman" w:cs="Times New Roman" w:ascii="Times New Roman" w:hAnsi="Times New Roman"/>
          <w:i/>
          <w:sz w:val="24"/>
        </w:rPr>
        <w:t>Issuer’s Counsel:</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2">
            <wp:simplePos x="0" y="0"/>
            <wp:positionH relativeFrom="column">
              <wp:posOffset>1566545</wp:posOffset>
            </wp:positionH>
            <wp:positionV relativeFrom="paragraph">
              <wp:posOffset>-3175</wp:posOffset>
            </wp:positionV>
            <wp:extent cx="4834255" cy="7620"/>
            <wp:effectExtent l="0" t="0" r="0" b="0"/>
            <wp:wrapNone/>
            <wp:docPr id="41"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2" descr="" title=""/>
                    <pic:cNvPicPr>
                      <a:picLocks noChangeAspect="1" noChangeArrowheads="1"/>
                    </pic:cNvPicPr>
                  </pic:nvPicPr>
                  <pic:blipFill>
                    <a:blip r:embed="rId23"/>
                    <a:srcRect l="-4" t="-1887" r="-4" b="-1887"/>
                    <a:stretch>
                      <a:fillRect/>
                    </a:stretch>
                  </pic:blipFill>
                  <pic:spPr bwMode="auto">
                    <a:xfrm>
                      <a:off x="0" y="0"/>
                      <a:ext cx="4834255" cy="7620"/>
                    </a:xfrm>
                    <a:prstGeom prst="rect">
                      <a:avLst/>
                    </a:prstGeom>
                  </pic:spPr>
                </pic:pic>
              </a:graphicData>
            </a:graphic>
          </wp:anchor>
        </w:drawing>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i/>
          <w:sz w:val="24"/>
        </w:rPr>
        <w:t>MSRB:</w:t>
      </w:r>
      <w:r>
        <w:rPr>
          <w:rFonts w:eastAsia="Times New Roman" w:cs="Times New Roman" w:ascii="Times New Roman" w:hAnsi="Times New Roman"/>
          <w:sz w:val="24"/>
        </w:rPr>
        <w:t xml:space="preserve"> Municipal Securities Rulemaking Board.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660" w:gutter="0" w:header="0" w:top="1416"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II-3</w:t>
      </w:r>
    </w:p>
    <w:p>
      <w:pPr>
        <w:pStyle w:val="Normal"/>
        <w:spacing w:lineRule="atLeast" w:line="0"/>
        <w:ind w:start="720" w:end="0"/>
        <w:rPr>
          <w:rFonts w:ascii="Times New Roman" w:hAnsi="Times New Roman" w:eastAsia="Times New Roman" w:cs="Times New Roman"/>
          <w:i/>
          <w:i/>
          <w:sz w:val="24"/>
        </w:rPr>
      </w:pPr>
      <w:bookmarkStart w:id="19" w:name="page16"/>
      <w:bookmarkEnd w:id="19"/>
      <w:r>
        <w:rPr>
          <w:rFonts w:eastAsia="Times New Roman" w:cs="Times New Roman" w:ascii="Times New Roman" w:hAnsi="Times New Roman"/>
          <w:i/>
          <w:sz w:val="24"/>
        </w:rPr>
        <w:t>Notice Address:</w:t>
      </w:r>
    </w:p>
    <w:p>
      <w:pPr>
        <w:pStyle w:val="Normal"/>
        <w:spacing w:lineRule="exact" w:line="25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ISSUER: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3">
            <wp:simplePos x="0" y="0"/>
            <wp:positionH relativeFrom="column">
              <wp:posOffset>1977390</wp:posOffset>
            </wp:positionH>
            <wp:positionV relativeFrom="paragraph">
              <wp:posOffset>-5715</wp:posOffset>
            </wp:positionV>
            <wp:extent cx="4423410" cy="7620"/>
            <wp:effectExtent l="0" t="0" r="0" b="0"/>
            <wp:wrapNone/>
            <wp:docPr id="42"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 descr="" title=""/>
                    <pic:cNvPicPr>
                      <a:picLocks noChangeAspect="1" noChangeArrowheads="1"/>
                    </pic:cNvPicPr>
                  </pic:nvPicPr>
                  <pic:blipFill>
                    <a:blip r:embed="rId24"/>
                    <a:srcRect l="-4" t="-1887" r="-4" b="-1887"/>
                    <a:stretch>
                      <a:fillRect/>
                    </a:stretch>
                  </pic:blipFill>
                  <pic:spPr bwMode="auto">
                    <a:xfrm>
                      <a:off x="0" y="0"/>
                      <a:ext cx="4423410" cy="7620"/>
                    </a:xfrm>
                    <a:prstGeom prst="rect">
                      <a:avLst/>
                    </a:prstGeom>
                  </pic:spPr>
                </pic:pic>
              </a:graphicData>
            </a:graphic>
          </wp:anchor>
        </w:drawing>
        <mc:AlternateContent>
          <mc:Choice Requires="wps">
            <w:drawing>
              <wp:anchor behindDoc="1" distT="0" distB="0" distL="114935" distR="114935" simplePos="0" locked="0" layoutInCell="1" allowOverlap="1" relativeHeight="44">
                <wp:simplePos x="0" y="0"/>
                <wp:positionH relativeFrom="column">
                  <wp:posOffset>1371600</wp:posOffset>
                </wp:positionH>
                <wp:positionV relativeFrom="paragraph">
                  <wp:posOffset>313055</wp:posOffset>
                </wp:positionV>
                <wp:extent cx="5029200" cy="0"/>
                <wp:effectExtent l="0" t="3810" r="0" b="3810"/>
                <wp:wrapNone/>
                <wp:docPr id="43" name=""/>
                <a:graphic xmlns:a="http://schemas.openxmlformats.org/drawingml/2006/main">
                  <a:graphicData uri="http://schemas.microsoft.com/office/word/2010/wordprocessingShape">
                    <wps:wsp>
                      <wps:cNvSpPr/>
                      <wps:spPr>
                        <a:xfrm>
                          <a:off x="0" y="0"/>
                          <a:ext cx="502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24.65pt" to="503.95pt,24.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1371600</wp:posOffset>
                </wp:positionH>
                <wp:positionV relativeFrom="paragraph">
                  <wp:posOffset>628015</wp:posOffset>
                </wp:positionV>
                <wp:extent cx="5029200" cy="0"/>
                <wp:effectExtent l="0" t="3810" r="0" b="3810"/>
                <wp:wrapNone/>
                <wp:docPr id="44" name=""/>
                <a:graphic xmlns:a="http://schemas.openxmlformats.org/drawingml/2006/main">
                  <a:graphicData uri="http://schemas.microsoft.com/office/word/2010/wordprocessingShape">
                    <wps:wsp>
                      <wps:cNvSpPr/>
                      <wps:spPr>
                        <a:xfrm>
                          <a:off x="0" y="0"/>
                          <a:ext cx="502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49.45pt" to="503.95pt,49.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SENIOR MANAGER: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2848610</wp:posOffset>
                </wp:positionH>
                <wp:positionV relativeFrom="paragraph">
                  <wp:posOffset>-1905</wp:posOffset>
                </wp:positionV>
                <wp:extent cx="3552190" cy="0"/>
                <wp:effectExtent l="0" t="3810" r="0" b="3810"/>
                <wp:wrapNone/>
                <wp:docPr id="45" name=""/>
                <a:graphic xmlns:a="http://schemas.openxmlformats.org/drawingml/2006/main">
                  <a:graphicData uri="http://schemas.microsoft.com/office/word/2010/wordprocessingShape">
                    <wps:wsp>
                      <wps:cNvSpPr/>
                      <wps:spPr>
                        <a:xfrm>
                          <a:off x="0" y="0"/>
                          <a:ext cx="3552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24.3pt,-0.15pt" to="503.95pt,-0.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1371600</wp:posOffset>
                </wp:positionH>
                <wp:positionV relativeFrom="paragraph">
                  <wp:posOffset>313055</wp:posOffset>
                </wp:positionV>
                <wp:extent cx="5029200" cy="0"/>
                <wp:effectExtent l="0" t="3810" r="0" b="3810"/>
                <wp:wrapNone/>
                <wp:docPr id="46" name=""/>
                <a:graphic xmlns:a="http://schemas.openxmlformats.org/drawingml/2006/main">
                  <a:graphicData uri="http://schemas.microsoft.com/office/word/2010/wordprocessingShape">
                    <wps:wsp>
                      <wps:cNvSpPr/>
                      <wps:spPr>
                        <a:xfrm>
                          <a:off x="0" y="0"/>
                          <a:ext cx="502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24.65pt" to="503.95pt,24.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1371600</wp:posOffset>
                </wp:positionH>
                <wp:positionV relativeFrom="paragraph">
                  <wp:posOffset>628015</wp:posOffset>
                </wp:positionV>
                <wp:extent cx="5029200" cy="0"/>
                <wp:effectExtent l="0" t="3810" r="0" b="3810"/>
                <wp:wrapNone/>
                <wp:docPr id="47" name=""/>
                <a:graphic xmlns:a="http://schemas.openxmlformats.org/drawingml/2006/main">
                  <a:graphicData uri="http://schemas.microsoft.com/office/word/2010/wordprocessingShape">
                    <wps:wsp>
                      <wps:cNvSpPr/>
                      <wps:spPr>
                        <a:xfrm>
                          <a:off x="0" y="0"/>
                          <a:ext cx="502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49.45pt" to="503.95pt,49.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All Notices required to be delivered under this Agreement shall be given as provided in Section 12 of the BPA General Provisions and Conditions.</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Official Statement:</w:t>
      </w:r>
      <w:r>
        <w:rPr>
          <w:rFonts w:eastAsia="Times New Roman" w:cs="Times New Roman" w:ascii="Times New Roman" w:hAnsi="Times New Roman"/>
          <w:sz w:val="24"/>
        </w:rPr>
        <w:t xml:space="preserve"> Official Statement dated [__________, ____] </w:t>
      </w:r>
      <w:r>
        <w:rPr>
          <w:rFonts w:eastAsia="Times New Roman" w:cs="Times New Roman" w:ascii="Times New Roman" w:hAnsi="Times New Roman"/>
          <w:i/>
          <w:sz w:val="24"/>
          <w:u w:val="single"/>
        </w:rPr>
        <w:t>or</w:t>
      </w:r>
      <w:r>
        <w:rPr>
          <w:rFonts w:eastAsia="Times New Roman" w:cs="Times New Roman" w:ascii="Times New Roman" w:hAnsi="Times New Roman"/>
          <w:sz w:val="24"/>
        </w:rPr>
        <w:t xml:space="preserve"> [the Effective Date],</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relating to the Securities, together with all appendices or exhibits, any materials incorporated by reference therein and any amendments or supplements thereto.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9">
            <wp:simplePos x="0" y="0"/>
            <wp:positionH relativeFrom="column">
              <wp:posOffset>796925</wp:posOffset>
            </wp:positionH>
            <wp:positionV relativeFrom="paragraph">
              <wp:posOffset>159385</wp:posOffset>
            </wp:positionV>
            <wp:extent cx="5378450" cy="438785"/>
            <wp:effectExtent l="0" t="0" r="0" b="0"/>
            <wp:wrapNone/>
            <wp:docPr id="48"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 descr="" title=""/>
                    <pic:cNvPicPr>
                      <a:picLocks noChangeAspect="1" noChangeArrowheads="1"/>
                    </pic:cNvPicPr>
                  </pic:nvPicPr>
                  <pic:blipFill>
                    <a:blip r:embed="rId25"/>
                    <a:srcRect l="-3" t="-41" r="-3" b="-41"/>
                    <a:stretch>
                      <a:fillRect/>
                    </a:stretch>
                  </pic:blipFill>
                  <pic:spPr bwMode="auto">
                    <a:xfrm>
                      <a:off x="0" y="0"/>
                      <a:ext cx="5378450" cy="4387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i/>
          <w:sz w:val="24"/>
        </w:rPr>
        <w:t>Paying Agent:</w:t>
      </w:r>
      <w:r>
        <w:rPr>
          <w:rFonts w:eastAsia="Times New Roman" w:cs="Times New Roman" w:ascii="Times New Roman" w:hAnsi="Times New Roman"/>
          <w:sz w:val="24"/>
        </w:rPr>
        <w:t xml:space="preserve"> ________________________, acting as paying agent for the Securities.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0"/>
        <w:jc w:val="both"/>
        <w:rPr/>
      </w:pPr>
      <w:r>
        <w:rPr>
          <w:rFonts w:eastAsia="Times New Roman" w:cs="Times New Roman" w:ascii="Times New Roman" w:hAnsi="Times New Roman"/>
          <w:i/>
          <w:sz w:val="24"/>
        </w:rPr>
        <w:t>Policy</w:t>
      </w:r>
      <w:r>
        <w:rPr>
          <w:rFonts w:eastAsia="Times New Roman" w:cs="Times New Roman" w:ascii="Times New Roman" w:hAnsi="Times New Roman"/>
          <w:sz w:val="24"/>
        </w:rPr>
        <w:t>: A municipal bond insurance policy, if any, issued by the Bond Insurer, insuring the payment when due of principal of and interest on the Securities (or certain specified series or maturities), as identified in the BPA Terms and Acceptance.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0">
            <wp:simplePos x="0" y="0"/>
            <wp:positionH relativeFrom="column">
              <wp:posOffset>796925</wp:posOffset>
            </wp:positionH>
            <wp:positionV relativeFrom="paragraph">
              <wp:posOffset>152400</wp:posOffset>
            </wp:positionV>
            <wp:extent cx="5378450" cy="1140460"/>
            <wp:effectExtent l="0" t="0" r="0" b="0"/>
            <wp:wrapNone/>
            <wp:docPr id="49"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 descr="" title=""/>
                    <pic:cNvPicPr>
                      <a:picLocks noChangeAspect="1" noChangeArrowheads="1"/>
                    </pic:cNvPicPr>
                  </pic:nvPicPr>
                  <pic:blipFill>
                    <a:blip r:embed="rId26"/>
                    <a:srcRect l="-3" t="-16" r="-3" b="-16"/>
                    <a:stretch>
                      <a:fillRect/>
                    </a:stretch>
                  </pic:blipFill>
                  <pic:spPr bwMode="auto">
                    <a:xfrm>
                      <a:off x="0" y="0"/>
                      <a:ext cx="5378450" cy="11404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i/>
          <w:sz w:val="24"/>
        </w:rPr>
        <w:t>Preliminary Official Statement</w:t>
      </w:r>
      <w:r>
        <w:rPr>
          <w:rFonts w:eastAsia="Times New Roman" w:cs="Times New Roman" w:ascii="Times New Roman" w:hAnsi="Times New Roman"/>
          <w:sz w:val="24"/>
        </w:rPr>
        <w:t>:</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shd w:fill="E6E6E6" w:val="clear"/>
        </w:rPr>
        <w:t>[</w:t>
      </w:r>
      <w:r>
        <w:rPr>
          <w:rFonts w:eastAsia="Times New Roman" w:cs="Times New Roman" w:ascii="Times New Roman" w:hAnsi="Times New Roman"/>
          <w:sz w:val="24"/>
          <w:u w:val="single"/>
          <w:shd w:fill="E6E6E6" w:val="clear"/>
        </w:rPr>
        <w:t>Alternative A</w:t>
      </w:r>
      <w:r>
        <w:rPr>
          <w:rFonts w:eastAsia="Times New Roman" w:cs="Times New Roman" w:ascii="Times New Roman" w:hAnsi="Times New Roman"/>
          <w:sz w:val="24"/>
          <w:shd w:fill="E6E6E6" w:val="clear"/>
        </w:rPr>
        <w:t>]</w:t>
      </w:r>
      <w:r>
        <w:rPr>
          <w:rFonts w:eastAsia="Times New Roman" w:cs="Times New Roman" w:ascii="Times New Roman" w:hAnsi="Times New Roman"/>
          <w:sz w:val="24"/>
        </w:rPr>
        <w:t xml:space="preserve"> Preliminary Official Statement dated ___________, ____, relating to the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Securities, together with all appendices or exhibits, any materials incorporated by reference therein and any amendments or supplements thereto.</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0"/>
        <w:jc w:val="both"/>
        <w:rPr/>
      </w:pPr>
      <w:r>
        <w:rPr>
          <w:rFonts w:eastAsia="Times New Roman" w:cs="Times New Roman" w:ascii="Times New Roman" w:hAnsi="Times New Roman"/>
          <w:sz w:val="24"/>
          <w:shd w:fill="E6E6E6" w:val="clear"/>
        </w:rPr>
        <w:t>[</w:t>
      </w:r>
      <w:r>
        <w:rPr>
          <w:rFonts w:eastAsia="Times New Roman" w:cs="Times New Roman" w:ascii="Times New Roman" w:hAnsi="Times New Roman"/>
          <w:sz w:val="24"/>
          <w:u w:val="single"/>
          <w:shd w:fill="E6E6E6" w:val="clear"/>
        </w:rPr>
        <w:t>Alternative B</w:t>
      </w:r>
      <w:r>
        <w:rPr>
          <w:rFonts w:eastAsia="Times New Roman" w:cs="Times New Roman" w:ascii="Times New Roman" w:hAnsi="Times New Roman"/>
          <w:sz w:val="24"/>
          <w:shd w:fill="E6E6E6" w:val="clear"/>
        </w:rPr>
        <w:t>]</w:t>
      </w:r>
      <w:r>
        <w:rPr>
          <w:rFonts w:eastAsia="Times New Roman" w:cs="Times New Roman" w:ascii="Times New Roman" w:hAnsi="Times New Roman"/>
          <w:sz w:val="24"/>
        </w:rPr>
        <w:t xml:space="preserve"> No Preliminary Official Statement has been prepared for use in connection with the sale of the Securities.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18"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II-4</w:t>
      </w:r>
    </w:p>
    <w:p>
      <w:pPr>
        <w:pStyle w:val="Normal"/>
        <w:spacing w:lineRule="auto" w:line="256"/>
        <w:ind w:start="720" w:end="0"/>
        <w:jc w:val="both"/>
        <w:rPr/>
      </w:pPr>
      <w:bookmarkStart w:id="20" w:name="page17"/>
      <w:bookmarkEnd w:id="20"/>
      <w:r>
        <w:rPr>
          <w:rFonts w:eastAsia="Times New Roman" w:cs="Times New Roman" w:ascii="Times New Roman" w:hAnsi="Times New Roman"/>
          <w:i/>
          <w:sz w:val="24"/>
        </w:rPr>
        <w:t>Purchase Price:</w:t>
      </w:r>
      <w:r>
        <w:rPr>
          <w:rFonts w:eastAsia="Times New Roman" w:cs="Times New Roman" w:ascii="Times New Roman" w:hAnsi="Times New Roman"/>
          <w:sz w:val="24"/>
        </w:rPr>
        <w:t xml:space="preserve"> The amount specified in the BPA Terms and Acceptance as the Purchase Price to be paid by the Underwriters at the Closing for the purchase of the Securities on the Closing Date.</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Rule 15c2-12</w:t>
      </w:r>
      <w:r>
        <w:rPr>
          <w:rFonts w:eastAsia="Times New Roman" w:cs="Times New Roman" w:ascii="Times New Roman" w:hAnsi="Times New Roman"/>
          <w:sz w:val="24"/>
        </w:rPr>
        <w:t>: Rule 15c2-12 promulgated by the SEC under the Exchange Act.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SEC</w:t>
      </w:r>
      <w:r>
        <w:rPr>
          <w:rFonts w:eastAsia="Times New Roman" w:cs="Times New Roman" w:ascii="Times New Roman" w:hAnsi="Times New Roman"/>
          <w:sz w:val="24"/>
        </w:rPr>
        <w:t>: Securities and Exchange Commission of the United States.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0"/>
        <w:jc w:val="both"/>
        <w:rPr/>
      </w:pPr>
      <w:r>
        <w:rPr>
          <w:rFonts w:eastAsia="Times New Roman" w:cs="Times New Roman" w:ascii="Times New Roman" w:hAnsi="Times New Roman"/>
          <w:i/>
          <w:sz w:val="24"/>
        </w:rPr>
        <w:t>Securities:</w:t>
      </w:r>
      <w:r>
        <w:rPr>
          <w:rFonts w:eastAsia="Times New Roman" w:cs="Times New Roman" w:ascii="Times New Roman" w:hAnsi="Times New Roman"/>
          <w:sz w:val="24"/>
        </w:rPr>
        <w:t xml:space="preserve"> The Securities identified on the first page of this BPA Terms and Acceptance, as more specifically described in Schedule I.</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Securities Act</w:t>
      </w:r>
      <w:r>
        <w:rPr>
          <w:rFonts w:eastAsia="Times New Roman" w:cs="Times New Roman" w:ascii="Times New Roman" w:hAnsi="Times New Roman"/>
          <w:sz w:val="24"/>
        </w:rPr>
        <w:t>: The Securities Act of 1933, as amended.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0"/>
        <w:jc w:val="both"/>
        <w:rPr/>
      </w:pPr>
      <w:r>
        <w:rPr>
          <w:rFonts w:eastAsia="Times New Roman" w:cs="Times New Roman" w:ascii="Times New Roman" w:hAnsi="Times New Roman"/>
          <w:i/>
          <w:sz w:val="24"/>
        </w:rPr>
        <w:t>Senior Manager:</w:t>
      </w:r>
      <w:r>
        <w:rPr>
          <w:rFonts w:eastAsia="Times New Roman" w:cs="Times New Roman" w:ascii="Times New Roman" w:hAnsi="Times New Roman"/>
          <w:sz w:val="24"/>
        </w:rPr>
        <w:t xml:space="preserve"> The firm identified as the Senior Manager on the first page of the BPA Terms and Acceptance, acting on behalf of itself and the other Underwriters (if any).</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State:</w:t>
      </w:r>
      <w:r>
        <w:rPr>
          <w:rFonts w:eastAsia="Times New Roman" w:cs="Times New Roman" w:ascii="Times New Roman" w:hAnsi="Times New Roman"/>
          <w:sz w:val="24"/>
        </w:rPr>
        <w:t xml:space="preserve">  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0"/>
        <w:jc w:val="both"/>
        <w:rPr/>
      </w:pPr>
      <w:r>
        <w:rPr>
          <w:rFonts w:eastAsia="Times New Roman" w:cs="Times New Roman" w:ascii="Times New Roman" w:hAnsi="Times New Roman"/>
          <w:i/>
          <w:sz w:val="24"/>
        </w:rPr>
        <w:t>Support Facility:</w:t>
      </w:r>
      <w:r>
        <w:rPr>
          <w:rFonts w:eastAsia="Times New Roman" w:cs="Times New Roman" w:ascii="Times New Roman" w:hAnsi="Times New Roman"/>
          <w:sz w:val="24"/>
        </w:rPr>
        <w:t xml:space="preserve"> A third-party credit enhancement or liquidity facility (other than a Policy), if any, provided by the Support Facility Provider, supporting payments with respect to the Securities (or certain specified series), as identified in the BPA Terms and Acceptance.</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0"/>
        <w:jc w:val="both"/>
        <w:rPr/>
      </w:pPr>
      <w:r>
        <w:rPr>
          <w:rFonts w:eastAsia="Times New Roman" w:cs="Times New Roman" w:ascii="Times New Roman" w:hAnsi="Times New Roman"/>
          <w:i/>
          <w:sz w:val="24"/>
        </w:rPr>
        <w:t>Support Facility Provider:</w:t>
      </w:r>
      <w:r>
        <w:rPr>
          <w:rFonts w:eastAsia="Times New Roman" w:cs="Times New Roman" w:ascii="Times New Roman" w:hAnsi="Times New Roman"/>
          <w:sz w:val="24"/>
        </w:rPr>
        <w:t xml:space="preserve"> The provider of the Support Facility, if any, identified in the BPA Terms and Acceptance.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1">
            <wp:simplePos x="0" y="0"/>
            <wp:positionH relativeFrom="column">
              <wp:posOffset>796925</wp:posOffset>
            </wp:positionH>
            <wp:positionV relativeFrom="paragraph">
              <wp:posOffset>139700</wp:posOffset>
            </wp:positionV>
            <wp:extent cx="5378450" cy="439420"/>
            <wp:effectExtent l="0" t="0" r="0" b="0"/>
            <wp:wrapNone/>
            <wp:docPr id="50"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 descr="" title=""/>
                    <pic:cNvPicPr>
                      <a:picLocks noChangeAspect="1" noChangeArrowheads="1"/>
                    </pic:cNvPicPr>
                  </pic:nvPicPr>
                  <pic:blipFill>
                    <a:blip r:embed="rId27"/>
                    <a:srcRect l="-3" t="-41" r="-3" b="-41"/>
                    <a:stretch>
                      <a:fillRect/>
                    </a:stretch>
                  </pic:blipFill>
                  <pic:spPr bwMode="auto">
                    <a:xfrm>
                      <a:off x="0" y="0"/>
                      <a:ext cx="5378450" cy="4394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720" w:type="dxa"/>
        <w:tblLayout w:type="fixed"/>
        <w:tblCellMar>
          <w:top w:w="0" w:type="dxa"/>
          <w:start w:w="0" w:type="dxa"/>
          <w:bottom w:w="0" w:type="dxa"/>
          <w:end w:w="0" w:type="dxa"/>
        </w:tblCellMar>
      </w:tblPr>
      <w:tblGrid>
        <w:gridCol w:w="560"/>
        <w:gridCol w:w="80"/>
        <w:gridCol w:w="280"/>
        <w:gridCol w:w="760"/>
        <w:gridCol w:w="180"/>
        <w:gridCol w:w="200"/>
        <w:gridCol w:w="5140"/>
        <w:gridCol w:w="1440"/>
      </w:tblGrid>
      <w:tr>
        <w:trPr>
          <w:trHeight w:val="276" w:hRule="atLeast"/>
        </w:trPr>
        <w:tc>
          <w:tcPr>
            <w:tcW w:w="920" w:type="dxa"/>
            <w:gridSpan w:val="3"/>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Trustee:</w:t>
            </w:r>
          </w:p>
        </w:tc>
        <w:tc>
          <w:tcPr>
            <w:tcW w:w="62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acting   as</w:t>
            </w:r>
          </w:p>
        </w:tc>
      </w:tr>
      <w:tr>
        <w:trPr>
          <w:trHeight w:val="304" w:hRule="atLeast"/>
        </w:trPr>
        <w:tc>
          <w:tcPr>
            <w:tcW w:w="7200" w:type="dxa"/>
            <w:gridSpan w:val="7"/>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trustee and/or paying agent for the Securities.</w:t>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7" w:hRule="atLeast"/>
        </w:trPr>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968" w:hRule="atLeast"/>
        </w:trPr>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2">
            <wp:simplePos x="0" y="0"/>
            <wp:positionH relativeFrom="column">
              <wp:posOffset>803275</wp:posOffset>
            </wp:positionH>
            <wp:positionV relativeFrom="paragraph">
              <wp:posOffset>-964565</wp:posOffset>
            </wp:positionV>
            <wp:extent cx="5372100" cy="965200"/>
            <wp:effectExtent l="0" t="0" r="0" b="0"/>
            <wp:wrapNone/>
            <wp:docPr id="51"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7" descr="" title=""/>
                    <pic:cNvPicPr>
                      <a:picLocks noChangeAspect="1" noChangeArrowheads="1"/>
                    </pic:cNvPicPr>
                  </pic:nvPicPr>
                  <pic:blipFill>
                    <a:blip r:embed="rId28"/>
                    <a:srcRect l="-3" t="-19" r="-3" b="-19"/>
                    <a:stretch>
                      <a:fillRect/>
                    </a:stretch>
                  </pic:blipFill>
                  <pic:spPr bwMode="auto">
                    <a:xfrm>
                      <a:off x="0" y="0"/>
                      <a:ext cx="5372100" cy="965200"/>
                    </a:xfrm>
                    <a:prstGeom prst="rect">
                      <a:avLst/>
                    </a:prstGeom>
                  </pic:spPr>
                </pic:pic>
              </a:graphicData>
            </a:graphic>
          </wp:anchor>
        </w:drawing>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720" w:end="0"/>
        <w:jc w:val="both"/>
        <w:rPr/>
      </w:pPr>
      <w:r>
        <w:rPr>
          <w:rFonts w:eastAsia="Times New Roman" w:cs="Times New Roman" w:ascii="Times New Roman" w:hAnsi="Times New Roman"/>
          <w:i/>
          <w:sz w:val="24"/>
        </w:rPr>
        <w:t>Trust Estate:</w:t>
      </w:r>
      <w:r>
        <w:rPr>
          <w:rFonts w:eastAsia="Times New Roman" w:cs="Times New Roman" w:ascii="Times New Roman" w:hAnsi="Times New Roman"/>
          <w:sz w:val="24"/>
        </w:rPr>
        <w:t xml:space="preserve"> The taxes, revenues and/or other funds pledged or otherwise identified by the Issuer as security or the source of payment for the Securities as set forth in the Issuer Documents </w:t>
      </w:r>
      <w:r>
        <w:rPr>
          <w:rFonts w:eastAsia="Times New Roman" w:cs="Times New Roman" w:ascii="Times New Roman" w:hAnsi="Times New Roman"/>
          <w:i/>
          <w:sz w:val="24"/>
          <w:u w:val="single"/>
        </w:rPr>
        <w:t>or</w:t>
      </w:r>
      <w:r>
        <w:rPr>
          <w:rFonts w:eastAsia="Times New Roman" w:cs="Times New Roman" w:ascii="Times New Roman" w:hAnsi="Times New Roman"/>
          <w:sz w:val="24"/>
        </w:rPr>
        <w:t xml:space="preserve"> ___________________________.</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Trust Indenture Act</w:t>
      </w:r>
      <w:r>
        <w:rPr>
          <w:rFonts w:eastAsia="Times New Roman" w:cs="Times New Roman" w:ascii="Times New Roman" w:hAnsi="Times New Roman"/>
          <w:sz w:val="24"/>
        </w:rPr>
        <w:t>: Trust Indenture Act of 1939, as amended.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16"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II-5</w:t>
      </w:r>
    </w:p>
    <w:p>
      <w:pPr>
        <w:pStyle w:val="Normal"/>
        <w:spacing w:lineRule="auto" w:line="256"/>
        <w:ind w:start="720" w:end="720"/>
        <w:jc w:val="both"/>
        <w:rPr/>
      </w:pPr>
      <w:bookmarkStart w:id="21" w:name="page18"/>
      <w:bookmarkEnd w:id="21"/>
      <w:r>
        <w:rPr>
          <w:rFonts w:eastAsia="Times New Roman" w:cs="Times New Roman" w:ascii="Times New Roman" w:hAnsi="Times New Roman"/>
          <w:i/>
          <w:sz w:val="24"/>
        </w:rPr>
        <w:t>Underwriters:</w:t>
      </w:r>
      <w:r>
        <w:rPr>
          <w:rFonts w:eastAsia="Times New Roman" w:cs="Times New Roman" w:ascii="Times New Roman" w:hAnsi="Times New Roman"/>
          <w:sz w:val="24"/>
        </w:rPr>
        <w:t xml:space="preserve"> The Underwriters (including the Senior Manager, the Co-Managing Underwriters and any additional Underwriters) identified on the signature page of the BPA Terms and Acceptance.</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000" w:leader="none"/>
        </w:tabs>
        <w:spacing w:lineRule="atLeast" w:line="0"/>
        <w:ind w:start="720" w:end="0"/>
        <w:rPr/>
      </w:pPr>
      <w:r>
        <w:rPr>
          <w:rFonts w:eastAsia="Times New Roman" w:cs="Times New Roman" w:ascii="Times New Roman" w:hAnsi="Times New Roman"/>
          <w:i/>
          <w:sz w:val="24"/>
        </w:rPr>
        <w:t>Underwriters’ Counsel:</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3">
            <wp:simplePos x="0" y="0"/>
            <wp:positionH relativeFrom="column">
              <wp:posOffset>1993900</wp:posOffset>
            </wp:positionH>
            <wp:positionV relativeFrom="paragraph">
              <wp:posOffset>-3175</wp:posOffset>
            </wp:positionV>
            <wp:extent cx="4368800" cy="7620"/>
            <wp:effectExtent l="0" t="0" r="0" b="0"/>
            <wp:wrapNone/>
            <wp:docPr id="52"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 descr="" title=""/>
                    <pic:cNvPicPr>
                      <a:picLocks noChangeAspect="1" noChangeArrowheads="1"/>
                    </pic:cNvPicPr>
                  </pic:nvPicPr>
                  <pic:blipFill>
                    <a:blip r:embed="rId29"/>
                    <a:srcRect l="-4" t="-1887" r="-4" b="-1887"/>
                    <a:stretch>
                      <a:fillRect/>
                    </a:stretch>
                  </pic:blipFill>
                  <pic:spPr bwMode="auto">
                    <a:xfrm>
                      <a:off x="0" y="0"/>
                      <a:ext cx="4368800" cy="76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720" w:gutter="0" w:header="0" w:top="1416"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II-6</w:t>
      </w:r>
    </w:p>
    <w:p>
      <w:pPr>
        <w:pStyle w:val="Normal"/>
        <w:spacing w:lineRule="atLeast" w:line="0"/>
        <w:ind w:start="8100" w:end="0"/>
        <w:rPr>
          <w:rFonts w:ascii="Times New Roman" w:hAnsi="Times New Roman" w:eastAsia="Times New Roman" w:cs="Times New Roman"/>
          <w:b/>
          <w:sz w:val="23"/>
          <w:u w:val="single"/>
        </w:rPr>
      </w:pPr>
      <w:bookmarkStart w:id="22" w:name="page19"/>
      <w:bookmarkEnd w:id="22"/>
      <w:r>
        <w:rPr>
          <w:rFonts w:eastAsia="Times New Roman" w:cs="Times New Roman" w:ascii="Times New Roman" w:hAnsi="Times New Roman"/>
          <w:b/>
          <w:sz w:val="23"/>
          <w:u w:val="single"/>
        </w:rPr>
        <w:t>Schedule III</w:t>
      </w:r>
    </w:p>
    <w:p>
      <w:pPr>
        <w:pStyle w:val="Normal"/>
        <w:spacing w:lineRule="exact" w:line="200"/>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19"/>
        <w:jc w:val="center"/>
        <w:rPr>
          <w:rFonts w:ascii="Times New Roman" w:hAnsi="Times New Roman" w:eastAsia="Times New Roman" w:cs="Times New Roman"/>
          <w:b/>
          <w:sz w:val="24"/>
        </w:rPr>
      </w:pPr>
      <w:r>
        <w:rPr>
          <w:rFonts w:eastAsia="Times New Roman" w:cs="Times New Roman" w:ascii="Times New Roman" w:hAnsi="Times New Roman"/>
          <w:b/>
          <w:sz w:val="24"/>
        </w:rPr>
        <w:t>Modifications to the Agreement and Other Required</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719"/>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State- or Issuer-Specific Provisions</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drawing>
          <wp:anchor behindDoc="1" distT="0" distB="0" distL="114935" distR="114935" simplePos="0" locked="0" layoutInCell="1" allowOverlap="1" relativeHeight="54">
            <wp:simplePos x="0" y="0"/>
            <wp:positionH relativeFrom="column">
              <wp:posOffset>796925</wp:posOffset>
            </wp:positionH>
            <wp:positionV relativeFrom="paragraph">
              <wp:posOffset>321945</wp:posOffset>
            </wp:positionV>
            <wp:extent cx="5378450" cy="1139825"/>
            <wp:effectExtent l="0" t="0" r="0" b="0"/>
            <wp:wrapNone/>
            <wp:docPr id="53"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9" descr="" title=""/>
                    <pic:cNvPicPr>
                      <a:picLocks noChangeAspect="1" noChangeArrowheads="1"/>
                    </pic:cNvPicPr>
                  </pic:nvPicPr>
                  <pic:blipFill>
                    <a:blip r:embed="rId30"/>
                    <a:srcRect l="-3" t="-16" r="-3" b="-16"/>
                    <a:stretch>
                      <a:fillRect/>
                    </a:stretch>
                  </pic:blipFill>
                  <pic:spPr bwMode="auto">
                    <a:xfrm>
                      <a:off x="0" y="0"/>
                      <a:ext cx="5378450" cy="11398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Each of the modifications and/or supplemental provisions set forth below or attached to this Schedule III shall be incorporated in and constitute part of this Agreement as if fully restated therein: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17" w:footer="0" w:bottom="160"/>
          <w:pgNumType w:fmt="decimal"/>
          <w:formProt w:val="false"/>
          <w:textDirection w:val="lrTb"/>
          <w:docGrid w:type="default" w:linePitch="360" w:charSpace="0"/>
        </w:sectPr>
        <w:pStyle w:val="Normal"/>
        <w:spacing w:lineRule="atLeast" w:line="0"/>
        <w:ind w:start="5180" w:end="0"/>
        <w:rPr>
          <w:rFonts w:ascii="Times New Roman" w:hAnsi="Times New Roman" w:eastAsia="Times New Roman" w:cs="Times New Roman"/>
          <w:sz w:val="24"/>
        </w:rPr>
      </w:pPr>
      <w:r>
        <w:rPr>
          <w:rFonts w:eastAsia="Times New Roman" w:cs="Times New Roman" w:ascii="Times New Roman" w:hAnsi="Times New Roman"/>
          <w:sz w:val="24"/>
        </w:rPr>
        <w:t>III-1</w:t>
      </w:r>
    </w:p>
    <w:p>
      <w:pPr>
        <w:pStyle w:val="Normal"/>
        <w:spacing w:lineRule="atLeast" w:line="0"/>
        <w:ind w:start="8120" w:end="0"/>
        <w:rPr>
          <w:rFonts w:ascii="Times New Roman" w:hAnsi="Times New Roman" w:eastAsia="Times New Roman" w:cs="Times New Roman"/>
          <w:b/>
          <w:sz w:val="23"/>
          <w:u w:val="single"/>
        </w:rPr>
      </w:pPr>
      <w:bookmarkStart w:id="23" w:name="page20"/>
      <w:bookmarkEnd w:id="23"/>
      <w:r>
        <w:rPr>
          <w:rFonts w:eastAsia="Times New Roman" w:cs="Times New Roman" w:ascii="Times New Roman" w:hAnsi="Times New Roman"/>
          <w:b/>
          <w:sz w:val="23"/>
          <w:u w:val="single"/>
        </w:rPr>
        <w:t>Schedule IV</w:t>
      </w:r>
    </w:p>
    <w:p>
      <w:pPr>
        <w:pStyle w:val="Normal"/>
        <w:spacing w:lineRule="exact" w:line="288"/>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tLeast" w:line="0"/>
        <w:ind w:start="338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Representations and Warranties</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drawing>
          <wp:anchor behindDoc="1" distT="0" distB="0" distL="114935" distR="114935" simplePos="0" locked="0" layoutInCell="1" allowOverlap="1" relativeHeight="55">
            <wp:simplePos x="0" y="0"/>
            <wp:positionH relativeFrom="column">
              <wp:posOffset>796925</wp:posOffset>
            </wp:positionH>
            <wp:positionV relativeFrom="paragraph">
              <wp:posOffset>189865</wp:posOffset>
            </wp:positionV>
            <wp:extent cx="5378450" cy="4523105"/>
            <wp:effectExtent l="0" t="0" r="0" b="0"/>
            <wp:wrapNone/>
            <wp:docPr id="54"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 descr="" title=""/>
                    <pic:cNvPicPr>
                      <a:picLocks noChangeAspect="1" noChangeArrowheads="1"/>
                    </pic:cNvPicPr>
                  </pic:nvPicPr>
                  <pic:blipFill>
                    <a:blip r:embed="rId31"/>
                    <a:srcRect l="-3" t="-4" r="-3" b="-4"/>
                    <a:stretch>
                      <a:fillRect/>
                    </a:stretch>
                  </pic:blipFill>
                  <pic:spPr bwMode="auto">
                    <a:xfrm>
                      <a:off x="0" y="0"/>
                      <a:ext cx="5378450" cy="45231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1440" w:leader="none"/>
        </w:tabs>
        <w:spacing w:lineRule="auto" w:line="252"/>
        <w:ind w:start="720"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Representations and Warranties of the Issuer</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Issuer hereby agrees with, and makes the following representations and warranties to, the Underwriters, as of the date hereof and as of the Closing Date, which representations and warranties shall survive the Closing:</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9"/>
        </w:numPr>
        <w:tabs>
          <w:tab w:val="clear" w:pos="720"/>
          <w:tab w:val="left" w:pos="2160" w:leader="none"/>
        </w:tabs>
        <w:spacing w:lineRule="auto" w:line="24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Issuer is duly created and existing under the constitution and laws of the State and has full legal right, power and authority under the constitution and laws of the State, including the Act, to adopt the Bond Legislation, to execute and deliver the Issuer Documents and the Official Statement, to issue, sell and deliver the Securities as provided herein, and to carry out and to consummate the transactions contemplated by the Bond Legislation, the Issuer Documents and the Official Statement.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17" w:footer="0" w:bottom="160"/>
          <w:pgNumType w:fmt="decimal"/>
          <w:formProt w:val="false"/>
          <w:textDirection w:val="lrTb"/>
          <w:docGrid w:type="default" w:linePitch="360" w:charSpace="0"/>
        </w:sectPr>
        <w:pStyle w:val="Normal"/>
        <w:spacing w:lineRule="atLeast" w:line="0"/>
        <w:ind w:start="5180" w:end="0"/>
        <w:rPr>
          <w:rFonts w:ascii="Times New Roman" w:hAnsi="Times New Roman" w:eastAsia="Times New Roman" w:cs="Times New Roman"/>
          <w:sz w:val="24"/>
        </w:rPr>
      </w:pPr>
      <w:r>
        <w:rPr>
          <w:rFonts w:eastAsia="Times New Roman" w:cs="Times New Roman" w:ascii="Times New Roman" w:hAnsi="Times New Roman"/>
          <w:sz w:val="24"/>
        </w:rPr>
        <w:t>IV-1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56">
            <wp:simplePos x="0" y="0"/>
            <wp:positionH relativeFrom="page">
              <wp:posOffset>1939925</wp:posOffset>
            </wp:positionH>
            <wp:positionV relativeFrom="page">
              <wp:posOffset>914400</wp:posOffset>
            </wp:positionV>
            <wp:extent cx="5264150" cy="614680"/>
            <wp:effectExtent l="0" t="0" r="0" b="0"/>
            <wp:wrapNone/>
            <wp:docPr id="55"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1" descr="" title=""/>
                    <pic:cNvPicPr>
                      <a:picLocks noChangeAspect="1" noChangeArrowheads="1"/>
                    </pic:cNvPicPr>
                  </pic:nvPicPr>
                  <pic:blipFill>
                    <a:blip r:embed="rId32"/>
                    <a:srcRect l="-3" t="-29" r="-3" b="-29"/>
                    <a:stretch>
                      <a:fillRect/>
                    </a:stretch>
                  </pic:blipFill>
                  <pic:spPr bwMode="auto">
                    <a:xfrm>
                      <a:off x="0" y="0"/>
                      <a:ext cx="5264150" cy="614680"/>
                    </a:xfrm>
                    <a:prstGeom prst="rect">
                      <a:avLst/>
                    </a:prstGeom>
                  </pic:spPr>
                </pic:pic>
              </a:graphicData>
            </a:graphic>
          </wp:anchor>
        </w:drawing>
      </w:r>
      <w:bookmarkStart w:id="24" w:name="page21"/>
      <w:bookmarkStart w:id="25" w:name="page21"/>
      <w:bookmarkEnd w:id="2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2160" w:leader="none"/>
        </w:tabs>
        <w:spacing w:lineRule="auto" w:line="242"/>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[Except for ________________,] By all necessary official action of the Issuer prior to or concurrently with the acceptance hereof, the Issuer has duly authorized and approved (i) the distribution of the Preliminary Official Statement and the execution, delivery and distribution of the Official Statement for use by the Underwriters in connection with the public offering of the Securities, (ii) the issuance and sale of the Securities upon the terms set forth herein and as contemplated by the Bond Legislation, the Issuer Documents and the Official Statement and (iii) the execution and delivery of, and the performance by the Issuer of the obligations on its part contained in, the Securities, the Bond Legislation and the Issuer Documents.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2160" w:leader="none"/>
        </w:tabs>
        <w:spacing w:lineRule="auto" w:line="25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Securities will be issued in conformity with and entitled to the benefit and security of the Bond Legislation and the Issuer Documents, including the pledge or application thereunder of the Trust Estate.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2160" w:leader="none"/>
        </w:tabs>
        <w:spacing w:lineRule="auto" w:line="242"/>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This Agreement constitutes a legal, valid and binding obligation of the Issuer enforceable in accordance with its terms; the other Issuer Documents, when duly executed and delivered, will constitute the legal, valid and binding obligations of the Issuer enforceable in accordance with their respective terms; and the Securities, when issued, authenticated and delivered in accordance with the Issuer Documents and sold to the Underwriters as provided herein, will be the legal, valid and binding obligations of the Issuer enforceable in accordance with their terms; in all cases, except as the enforceability of this Agreement, the other Issuer Documents and the Securities may be limited by application of Creditors’ Rights Laws.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2160" w:leader="none"/>
        </w:tabs>
        <w:spacing w:lineRule="auto" w:line="242"/>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Issuer is not in breach of or default in any material respect under (if applicable) its charter documents, its articles of incorporation or its bylaws or under any applicable constitutional provision, law or administrative regulation of the State or the United States or any applicable judgment or decree or any loan agreement, indenture, bond, note, resolution, agreement or other instrument to which the Issuer is a party or to which the Issuer is or any of its property or assets are otherwise subject, and no event has occurred and is continuing which constitutes or with the passage of time or the giving of notice, or both, would constitute a material default or event of default by the Issuer under any of the foregoing.</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2160" w:leader="none"/>
        </w:tabs>
        <w:spacing w:lineRule="auto" w:line="25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adoption, execution and delivery of the Securities, the Bond Legislation and the Issuer Documents, and compliance with the provisions on the Issuer’s part contained therein, will not conflict with or constitute a</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spacing w:lineRule="atLeast" w:line="0"/>
        <w:ind w:start="5180" w:end="0"/>
        <w:rPr>
          <w:rFonts w:ascii="Times New Roman" w:hAnsi="Times New Roman" w:eastAsia="Times New Roman" w:cs="Times New Roman"/>
          <w:sz w:val="24"/>
        </w:rPr>
      </w:pPr>
      <w:r>
        <w:rPr>
          <w:rFonts w:eastAsia="Times New Roman" w:cs="Times New Roman" w:ascii="Times New Roman" w:hAnsi="Times New Roman"/>
          <w:sz w:val="24"/>
        </w:rPr>
        <w:t>IV-2</w:t>
      </w:r>
    </w:p>
    <w:p>
      <w:pPr>
        <w:pStyle w:val="Normal"/>
        <w:spacing w:lineRule="auto" w:line="242"/>
        <w:ind w:start="2160" w:end="80"/>
        <w:jc w:val="both"/>
        <w:rPr>
          <w:rFonts w:ascii="Times New Roman" w:hAnsi="Times New Roman" w:eastAsia="Times New Roman" w:cs="Times New Roman"/>
          <w:sz w:val="24"/>
        </w:rPr>
      </w:pPr>
      <w:bookmarkStart w:id="26" w:name="page22"/>
      <w:bookmarkEnd w:id="26"/>
      <w:r>
        <w:rPr>
          <w:rFonts w:eastAsia="Times New Roman" w:cs="Times New Roman" w:ascii="Times New Roman" w:hAnsi="Times New Roman"/>
          <w:sz w:val="24"/>
        </w:rPr>
        <w:t>breach of or default under any constitutional provision, law, administrative regulation, judgment, decree, loan agreement, indenture, bond, note, resolution, agreement or other instrument to which the Issuer is a party or to which the Issuer or any of its property or assets are otherwise subject, and such adoption, execution, delivery or compliance will not result in the creation or imposition of any lien, charge or other security interest or encumbrance of any nature upon the Trust Estate or the property or assets, if any, of the Issuer to be pledged to secure the Securities or under the terms of any such law, regulation or instrument, except as provided by the Securities, the Bond Legislation and the Issuer Documents.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uto" w:line="24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All authorizations, approvals, consents and orders of any governmental authority, legislative body, board, agency or commission having jurisdiction which are required for the due authorization of, which would constitute a condition precedent to, or the absence of which would materially adversely affect, the issuance of the Securities or the due performance by the Issuer of its obligations under the Bond Legislation, the Issuer Documents and the Securities have been duly obtained or will be obtained prior to the Closing, except for: (i) ___________________, (ii) such authorizations, approvals, consents and orders (if any) as may be required under the Blue Sky or securities laws of any jurisdiction in connection with the offering and sale of the Securities and (iii) authorizations, approvals, consents and orders that are required to be obtained or renewed periodically, such as budgets, licenses and permits.</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uto" w:line="244"/>
        <w:ind w:hanging="720" w:start="2160" w:end="80"/>
        <w:jc w:val="both"/>
        <w:rPr>
          <w:rFonts w:ascii="Times New Roman" w:hAnsi="Times New Roman" w:eastAsia="Times New Roman" w:cs="Times New Roman"/>
          <w:sz w:val="24"/>
        </w:rPr>
      </w:pPr>
      <w:r>
        <w:rPr>
          <w:rFonts w:eastAsia="Times New Roman" w:cs="Times New Roman" w:ascii="Times New Roman" w:hAnsi="Times New Roman"/>
          <w:sz w:val="24"/>
        </w:rPr>
        <w:t>The Preliminary Official Statement as of its date did not, and the Official Statement as of its date does not and as of the Closing Date will not, contain any untrue statement of a material fact or omit to state a material fact necessary in order to make the statements therein, in the light of the circumstances under which they were made, not misleading; provided that, the Issuer makes no statement as to the Excluded Sections of the Preliminary Official Statement or the Official Statement.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uto" w:line="244"/>
        <w:ind w:hanging="720" w:start="2160" w:end="80"/>
        <w:jc w:val="both"/>
        <w:rPr>
          <w:rFonts w:ascii="Times New Roman" w:hAnsi="Times New Roman" w:eastAsia="Times New Roman" w:cs="Times New Roman"/>
          <w:sz w:val="24"/>
        </w:rPr>
      </w:pPr>
      <w:r>
        <w:rPr>
          <w:rFonts w:eastAsia="Times New Roman" w:cs="Times New Roman" w:ascii="Times New Roman" w:hAnsi="Times New Roman"/>
          <w:sz w:val="24"/>
        </w:rPr>
        <w:t>The financial statements of the Issuer contained in the Preliminary Official Statement and the Official Statement fairly present the financial position and results of operations of the Issuer as of the dates and for the periods therein set forth in accordance with [_______________] [generally accepted accounting principles] consistently applied, and, since the date thereof, there has been no material adverse change in the financial position or results of operations of the Issuer.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uto" w:line="268"/>
        <w:ind w:hanging="720" w:start="2160" w:end="80"/>
        <w:jc w:val="both"/>
        <w:rPr>
          <w:rFonts w:ascii="Times New Roman" w:hAnsi="Times New Roman" w:eastAsia="Times New Roman" w:cs="Times New Roman"/>
          <w:sz w:val="24"/>
        </w:rPr>
      </w:pPr>
      <w:r>
        <w:rPr>
          <w:rFonts w:eastAsia="Times New Roman" w:cs="Times New Roman" w:ascii="Times New Roman" w:hAnsi="Times New Roman"/>
          <w:sz w:val="24"/>
        </w:rPr>
        <w:t>There is no action, suit, proceeding, inquiry or investigation, at law or in equity, before or by any court, agency, public board or body, pending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7">
            <wp:simplePos x="0" y="0"/>
            <wp:positionH relativeFrom="column">
              <wp:posOffset>911225</wp:posOffset>
            </wp:positionH>
            <wp:positionV relativeFrom="paragraph">
              <wp:posOffset>-2400300</wp:posOffset>
            </wp:positionV>
            <wp:extent cx="5378450" cy="439420"/>
            <wp:effectExtent l="0" t="0" r="0" b="0"/>
            <wp:wrapNone/>
            <wp:docPr id="56"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2" descr="" title=""/>
                    <pic:cNvPicPr>
                      <a:picLocks noChangeAspect="1" noChangeArrowheads="1"/>
                    </pic:cNvPicPr>
                  </pic:nvPicPr>
                  <pic:blipFill>
                    <a:blip r:embed="rId33"/>
                    <a:srcRect l="-3" t="-41" r="-3" b="-41"/>
                    <a:stretch>
                      <a:fillRect/>
                    </a:stretch>
                  </pic:blipFill>
                  <pic:spPr bwMode="auto">
                    <a:xfrm>
                      <a:off x="0" y="0"/>
                      <a:ext cx="5378450" cy="439420"/>
                    </a:xfrm>
                    <a:prstGeom prst="rect">
                      <a:avLst/>
                    </a:prstGeom>
                  </pic:spPr>
                </pic:pic>
              </a:graphicData>
            </a:graphic>
          </wp:anchor>
        </w:drawing>
      </w:r>
    </w:p>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360" w:gutter="0" w:header="0" w:top="1420" w:footer="0" w:bottom="160"/>
          <w:pgNumType w:fmt="decimal"/>
          <w:formProt w:val="false"/>
          <w:textDirection w:val="lrTb"/>
          <w:docGrid w:type="default" w:linePitch="360" w:charSpace="0"/>
        </w:sectPr>
        <w:pStyle w:val="Normal"/>
        <w:spacing w:lineRule="atLeast" w:line="0"/>
        <w:ind w:start="5180" w:end="0"/>
        <w:rPr>
          <w:rFonts w:ascii="Times New Roman" w:hAnsi="Times New Roman" w:eastAsia="Times New Roman" w:cs="Times New Roman"/>
          <w:sz w:val="24"/>
        </w:rPr>
      </w:pPr>
      <w:r>
        <w:rPr>
          <w:rFonts w:eastAsia="Times New Roman" w:cs="Times New Roman" w:ascii="Times New Roman" w:hAnsi="Times New Roman"/>
          <w:sz w:val="24"/>
        </w:rPr>
        <w:t>IV-3</w:t>
      </w:r>
    </w:p>
    <w:p>
      <w:pPr>
        <w:pStyle w:val="Normal"/>
        <w:spacing w:lineRule="auto" w:line="240"/>
        <w:ind w:start="2160" w:end="80"/>
        <w:jc w:val="both"/>
        <w:rPr>
          <w:rFonts w:ascii="Times New Roman" w:hAnsi="Times New Roman" w:eastAsia="Times New Roman" w:cs="Times New Roman"/>
          <w:sz w:val="24"/>
        </w:rPr>
      </w:pPr>
      <w:bookmarkStart w:id="27" w:name="page23"/>
      <w:bookmarkEnd w:id="27"/>
      <w:r>
        <w:rPr>
          <w:rFonts w:eastAsia="Times New Roman" w:cs="Times New Roman" w:ascii="Times New Roman" w:hAnsi="Times New Roman"/>
          <w:sz w:val="24"/>
        </w:rPr>
        <w:t>to the knowledge of the Issuer, threatened against the Issuer: (i) affecting the existence of the Issuer or the titles of its officers to their respective offices, (ii) seeking to prohibit, restrain or enjoin the issuance, sale or delivery of the Securities or the pledge or collection by the Issuer of the Trust Estate or the making of any other required deposits with respect to the Securities, (iii) in any way contesting or affecting the validity or enforceability of, or the power or authority of the Issuer to issue, adopt or to enter into (as applicable), the Securities, the Bond Legislation or the Issuer Documents, (iv) contesting in any way the completeness or accuracy of the Preliminary Official Statement or the Official Statement, or any amendment or supplement thereto, (v) except as disclosed in the Official Statement, wherein an unfavorable decision, ruling or finding would materially adversely affect the financial position or condition of the Issuer or would result in any material adverse change in the ability of the Issuer to pledge or apply the Trust Estate or to pay debt service on the Securities, or (vi) contesting the status of the interest on the Securities as excludable from gross income for federal income tax purposes or as exempt from any applicable state tax, in each case as described in the Official Statement.</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2161" w:leader="none"/>
        </w:tabs>
        <w:spacing w:lineRule="auto" w:line="244"/>
        <w:ind w:hanging="720" w:start="2160" w:end="80"/>
        <w:jc w:val="both"/>
        <w:rPr>
          <w:rFonts w:ascii="Times New Roman" w:hAnsi="Times New Roman" w:eastAsia="Times New Roman" w:cs="Times New Roman"/>
          <w:sz w:val="24"/>
        </w:rPr>
      </w:pPr>
      <w:r>
        <w:rPr>
          <w:rFonts w:eastAsia="Times New Roman" w:cs="Times New Roman" w:ascii="Times New Roman" w:hAnsi="Times New Roman"/>
          <w:sz w:val="24"/>
        </w:rPr>
        <w:t>The Issuer has received all licenses, permits or other regulatory approvals required (if any) for the pledge, collection and/or application by the Issuer of the Trust Estate and the Issuer is not in material default, and no event has occurred which would constitute or result in a material default, under any such licenses, permits or approvals.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8">
            <wp:simplePos x="0" y="0"/>
            <wp:positionH relativeFrom="column">
              <wp:posOffset>796925</wp:posOffset>
            </wp:positionH>
            <wp:positionV relativeFrom="paragraph">
              <wp:posOffset>161290</wp:posOffset>
            </wp:positionV>
            <wp:extent cx="5378450" cy="1140460"/>
            <wp:effectExtent l="0" t="0" r="0" b="0"/>
            <wp:wrapNone/>
            <wp:docPr id="57"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3" descr="" title=""/>
                    <pic:cNvPicPr>
                      <a:picLocks noChangeAspect="1" noChangeArrowheads="1"/>
                    </pic:cNvPicPr>
                  </pic:nvPicPr>
                  <pic:blipFill>
                    <a:blip r:embed="rId34"/>
                    <a:srcRect l="-3" t="-16" r="-3" b="-16"/>
                    <a:stretch>
                      <a:fillRect/>
                    </a:stretch>
                  </pic:blipFill>
                  <pic:spPr bwMode="auto">
                    <a:xfrm>
                      <a:off x="0" y="0"/>
                      <a:ext cx="5378450" cy="11404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2160" w:leader="none"/>
        </w:tabs>
        <w:spacing w:lineRule="auto" w:line="244"/>
        <w:ind w:hanging="720" w:start="2160" w:end="80"/>
        <w:jc w:val="both"/>
        <w:rPr>
          <w:rFonts w:ascii="Times New Roman" w:hAnsi="Times New Roman" w:eastAsia="Times New Roman" w:cs="Times New Roman"/>
          <w:sz w:val="24"/>
        </w:rPr>
      </w:pPr>
      <w:r>
        <w:rPr>
          <w:rFonts w:eastAsia="Times New Roman" w:cs="Times New Roman" w:ascii="Times New Roman" w:hAnsi="Times New Roman"/>
          <w:sz w:val="24"/>
        </w:rPr>
        <w:t>If required in accordance with Rule 15c2-12, the Issuer has entered or will enter into the Continuing Disclosure Undertaking and, unless otherwise described in the Official Statement or set forth below, the Issuer has not failed during the previous five years to comply in all material respects with any previous undertakings in a written continuing disclosure contract or agreement under Rule 15c2-12.</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2160" w:end="0"/>
        <w:jc w:val="both"/>
        <w:rPr>
          <w:rFonts w:ascii="Times New Roman" w:hAnsi="Times New Roman" w:eastAsia="Times New Roman" w:cs="Times New Roman"/>
          <w:sz w:val="24"/>
        </w:rPr>
      </w:pPr>
      <w:r>
        <w:rPr>
          <w:rFonts w:eastAsia="Times New Roman" w:cs="Times New Roman" w:ascii="Times New Roman" w:hAnsi="Times New Roman"/>
          <w:sz w:val="24"/>
        </w:rPr>
        <w:t>[Unless otherwise described in the Official Statement, describe any failures during the previous five years to comply with any previous undertakings: ________________________________________________.]</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160" w:leader="none"/>
        </w:tabs>
        <w:spacing w:lineRule="auto" w:line="268"/>
        <w:ind w:hanging="720" w:start="2160" w:end="80"/>
        <w:rPr>
          <w:rFonts w:ascii="Times New Roman" w:hAnsi="Times New Roman" w:eastAsia="Times New Roman" w:cs="Times New Roman"/>
          <w:sz w:val="24"/>
        </w:rPr>
      </w:pPr>
      <w:r>
        <w:rPr>
          <w:rFonts w:eastAsia="Times New Roman" w:cs="Times New Roman" w:ascii="Times New Roman" w:hAnsi="Times New Roman"/>
          <w:sz w:val="24"/>
        </w:rPr>
        <w:t>The Bond Legislation, the Issuer Documents and the Securities conform to the description thereof contained in the Official Statement.</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360" w:gutter="0" w:header="0" w:top="1420" w:footer="0" w:bottom="160"/>
          <w:pgNumType w:fmt="decimal"/>
          <w:formProt w:val="false"/>
          <w:textDirection w:val="lrTb"/>
          <w:docGrid w:type="default" w:linePitch="360" w:charSpace="0"/>
        </w:sectPr>
        <w:pStyle w:val="Normal"/>
        <w:spacing w:lineRule="atLeast" w:line="0"/>
        <w:ind w:start="5180" w:end="0"/>
        <w:rPr>
          <w:rFonts w:ascii="Times New Roman" w:hAnsi="Times New Roman" w:eastAsia="Times New Roman" w:cs="Times New Roman"/>
          <w:sz w:val="24"/>
        </w:rPr>
      </w:pPr>
      <w:r>
        <w:rPr>
          <w:rFonts w:eastAsia="Times New Roman" w:cs="Times New Roman" w:ascii="Times New Roman" w:hAnsi="Times New Roman"/>
          <w:sz w:val="24"/>
        </w:rPr>
        <w:t>IV-4</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bookmarkStart w:id="28" w:name="page24"/>
      <w:bookmarkStart w:id="29" w:name="page24"/>
      <w:bookmarkEnd w:id="29"/>
    </w:p>
    <w:p>
      <w:pPr>
        <w:pStyle w:val="Normal"/>
        <w:numPr>
          <w:ilvl w:val="1"/>
          <w:numId w:val="24"/>
        </w:numPr>
        <w:tabs>
          <w:tab w:val="clear" w:pos="720"/>
          <w:tab w:val="left" w:pos="2161" w:leader="none"/>
        </w:tabs>
        <w:spacing w:lineRule="auto" w:line="24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Issuer has the legal authority to apply proceeds of the Securities for the purposes contemplated by the Bond Legislation and the Issuer Documents, including for the payment or reimbursement of incidental expenses in connection with the marketing, issuance and delivery of the Securities to the extent required by Section 10(a) of the BPA General Provisions and Conditions and in compliance with applicable law.</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4"/>
        </w:numPr>
        <w:tabs>
          <w:tab w:val="clear" w:pos="720"/>
          <w:tab w:val="left" w:pos="2160" w:leader="none"/>
        </w:tabs>
        <w:spacing w:lineRule="auto" w:line="25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Any certificate signed by an authorized officer of the Issuer and delivered to the Senior Manager shall be deemed a representation and warranty of the Issuer to the Underwriters as to the statements made therein.</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440" w:leader="none"/>
        </w:tabs>
        <w:spacing w:lineRule="auto" w:line="252"/>
        <w:ind w:start="720"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Representations and Warranties of the Underwriters</w:t>
      </w:r>
      <w:r>
        <w:rPr>
          <w:rFonts w:eastAsia="Times New Roman" w:cs="Times New Roman" w:ascii="Times New Roman" w:hAnsi="Times New Roman"/>
          <w:sz w:val="24"/>
        </w:rPr>
        <w:t>. The Underwriters hereby agree with, and make the following representations and warranties to, the Issuer, as of the date hereof and as of the Closing Date, which representations and warranties shall survive the Closing:</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2160" w:leader="none"/>
        </w:tabs>
        <w:spacing w:lineRule="auto" w:line="268"/>
        <w:ind w:hanging="720" w:start="2160" w:end="0"/>
        <w:rPr>
          <w:rFonts w:ascii="Times New Roman" w:hAnsi="Times New Roman" w:eastAsia="Times New Roman" w:cs="Times New Roman"/>
          <w:sz w:val="24"/>
        </w:rPr>
      </w:pPr>
      <w:r>
        <w:rPr>
          <w:rFonts w:eastAsia="Times New Roman" w:cs="Times New Roman" w:ascii="Times New Roman" w:hAnsi="Times New Roman"/>
          <w:sz w:val="24"/>
        </w:rPr>
        <w:t>Each Underwriter is an entity duly organized, validly existing and in good standing under the laws of the jurisdiction of its organization.</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2160" w:leader="none"/>
        </w:tabs>
        <w:spacing w:lineRule="auto" w:line="24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This Agreement has been duly authorized, executed and delivered by the Senior Manager on behalf of the Underwriters and, assuming the due authorization, execution and delivery by the Issuer, is the legal, valid and binding obligation of the Underwriters enforceable in accordance with its terms, except as the enforceability of this Agreement may be limited by application of Creditors’ Rights Laws.</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2160" w:leader="none"/>
        </w:tabs>
        <w:spacing w:lineRule="auto" w:line="25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Each Underwriter, on its own behalf, represents that it is licensed by and registered with the Financial Industry Regulatory Authority as a broker-dealer and the MSRB as a municipal securities dealer.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Issuer acknowledges that the Senior Manager makes the foregoing representations on behalf of the Underwriters in reliance upon representations made by the Underwriters to the Senior Manager in the Agreement Among Underwriters relating to the Securities.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spacing w:lineRule="atLeast" w:line="0"/>
        <w:ind w:start="5180" w:end="0"/>
        <w:rPr>
          <w:rFonts w:ascii="Times New Roman" w:hAnsi="Times New Roman" w:eastAsia="Times New Roman" w:cs="Times New Roman"/>
          <w:sz w:val="24"/>
        </w:rPr>
      </w:pPr>
      <w:r>
        <w:rPr>
          <w:rFonts w:eastAsia="Times New Roman" w:cs="Times New Roman" w:ascii="Times New Roman" w:hAnsi="Times New Roman"/>
          <w:sz w:val="24"/>
        </w:rPr>
        <w:t>IV-5</w:t>
      </w:r>
    </w:p>
    <w:p>
      <w:pPr>
        <w:pStyle w:val="Normal"/>
        <w:spacing w:lineRule="atLeast" w:line="0"/>
        <w:ind w:start="8200" w:end="0"/>
        <w:rPr>
          <w:rFonts w:ascii="Times New Roman" w:hAnsi="Times New Roman" w:eastAsia="Times New Roman" w:cs="Times New Roman"/>
          <w:b/>
          <w:sz w:val="24"/>
          <w:u w:val="single"/>
        </w:rPr>
      </w:pPr>
      <w:bookmarkStart w:id="30" w:name="page25"/>
      <w:bookmarkEnd w:id="30"/>
      <w:r>
        <w:rPr>
          <w:rFonts w:eastAsia="Times New Roman" w:cs="Times New Roman" w:ascii="Times New Roman" w:hAnsi="Times New Roman"/>
          <w:b/>
          <w:sz w:val="24"/>
          <w:u w:val="single"/>
        </w:rPr>
        <w:t>Schedule V</w:t>
      </w:r>
    </w:p>
    <w:p>
      <w:pPr>
        <w:pStyle w:val="Normal"/>
        <w:spacing w:lineRule="exact" w:line="3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340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Items to be Delivered at Closing</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drawing>
          <wp:anchor behindDoc="1" distT="0" distB="0" distL="114935" distR="114935" simplePos="0" locked="0" layoutInCell="1" allowOverlap="1" relativeHeight="59">
            <wp:simplePos x="0" y="0"/>
            <wp:positionH relativeFrom="column">
              <wp:posOffset>796925</wp:posOffset>
            </wp:positionH>
            <wp:positionV relativeFrom="paragraph">
              <wp:posOffset>169545</wp:posOffset>
            </wp:positionV>
            <wp:extent cx="5378450" cy="2618105"/>
            <wp:effectExtent l="0" t="0" r="0" b="0"/>
            <wp:wrapNone/>
            <wp:docPr id="58"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4" descr="" title=""/>
                    <pic:cNvPicPr>
                      <a:picLocks noChangeAspect="1" noChangeArrowheads="1"/>
                    </pic:cNvPicPr>
                  </pic:nvPicPr>
                  <pic:blipFill>
                    <a:blip r:embed="rId35"/>
                    <a:srcRect l="-3" t="-7" r="-3" b="-7"/>
                    <a:stretch>
                      <a:fillRect/>
                    </a:stretch>
                  </pic:blipFill>
                  <pic:spPr bwMode="auto">
                    <a:xfrm>
                      <a:off x="0" y="0"/>
                      <a:ext cx="5378450" cy="26181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Underwriters shall receive on the Closing Date, in form and substance satisfactory to Bond Counsel and to the Senior Manager, each item specified below, unless waived by the Senior Manager on behalf of the Underwriters: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0">
            <wp:simplePos x="0" y="0"/>
            <wp:positionH relativeFrom="column">
              <wp:posOffset>796925</wp:posOffset>
            </wp:positionH>
            <wp:positionV relativeFrom="paragraph">
              <wp:posOffset>154305</wp:posOffset>
            </wp:positionV>
            <wp:extent cx="5378450" cy="2542540"/>
            <wp:effectExtent l="0" t="0" r="0" b="0"/>
            <wp:wrapNone/>
            <wp:docPr id="59"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5" descr="" title=""/>
                    <pic:cNvPicPr>
                      <a:picLocks noChangeAspect="1" noChangeArrowheads="1"/>
                    </pic:cNvPicPr>
                  </pic:nvPicPr>
                  <pic:blipFill>
                    <a:blip r:embed="rId36"/>
                    <a:srcRect l="-3" t="-7" r="-3" b="-7"/>
                    <a:stretch>
                      <a:fillRect/>
                    </a:stretch>
                  </pic:blipFill>
                  <pic:spPr bwMode="auto">
                    <a:xfrm>
                      <a:off x="0" y="0"/>
                      <a:ext cx="5378450" cy="25425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2160"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approving opinion of Bond Counsel, addressed to the Underwriters (or addressed to the Issuer with a reliance letter addressed to the Underwriters), dated the Closing Date, and in substantially the form included as an appendix to the Official Statement, together with reliance letters addressed to: ___________________________.</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2160" w:leader="none"/>
        </w:tabs>
        <w:spacing w:lineRule="auto" w:line="268"/>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The supplemental opinion of Bond Counsel, addressed to the Underwriters and the Issuer, dated the Closing Date, to the effect that:</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sectPr>
          <w:type w:val="nextPage"/>
          <w:pgSz w:w="12240" w:h="15840"/>
          <w:pgMar w:left="1440" w:right="1440" w:gutter="0" w:header="0" w:top="1417" w:footer="0" w:bottom="134"/>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V-1</w:t>
      </w:r>
    </w:p>
    <w:p>
      <w:pPr>
        <w:pStyle w:val="Normal"/>
        <w:numPr>
          <w:ilvl w:val="0"/>
          <w:numId w:val="27"/>
        </w:numPr>
        <w:tabs>
          <w:tab w:val="clear" w:pos="720"/>
          <w:tab w:val="left" w:pos="2880" w:leader="none"/>
        </w:tabs>
        <w:spacing w:lineRule="auto" w:line="249"/>
        <w:ind w:firstLine="720" w:start="1440" w:end="0"/>
        <w:jc w:val="both"/>
        <w:rPr>
          <w:rFonts w:ascii="Times New Roman" w:hAnsi="Times New Roman" w:eastAsia="Times New Roman" w:cs="Times New Roman"/>
          <w:sz w:val="24"/>
        </w:rPr>
      </w:pPr>
      <w:bookmarkStart w:id="31" w:name="page26"/>
      <w:bookmarkEnd w:id="31"/>
      <w:r>
        <w:rPr>
          <w:rFonts w:eastAsia="Times New Roman" w:cs="Times New Roman" w:ascii="Times New Roman" w:hAnsi="Times New Roman"/>
          <w:sz w:val="24"/>
        </w:rPr>
        <w:t>this Agreement has been duly authorized, executed and delivered by the Issuer and constitutes the legal, valid and binding agreement of the Issuer, enforceable against the Issuer in accordance with its terms, except as such enforceability may be limited by Creditors’ Rights Laws;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1">
            <wp:simplePos x="0" y="0"/>
            <wp:positionH relativeFrom="column">
              <wp:posOffset>796925</wp:posOffset>
            </wp:positionH>
            <wp:positionV relativeFrom="paragraph">
              <wp:posOffset>135255</wp:posOffset>
            </wp:positionV>
            <wp:extent cx="5378450" cy="1315085"/>
            <wp:effectExtent l="0" t="0" r="0" b="0"/>
            <wp:wrapNone/>
            <wp:docPr id="60"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6" descr="" title=""/>
                    <pic:cNvPicPr>
                      <a:picLocks noChangeAspect="1" noChangeArrowheads="1"/>
                    </pic:cNvPicPr>
                  </pic:nvPicPr>
                  <pic:blipFill>
                    <a:blip r:embed="rId37"/>
                    <a:srcRect l="-3" t="-14" r="-3" b="-14"/>
                    <a:stretch>
                      <a:fillRect/>
                    </a:stretch>
                  </pic:blipFill>
                  <pic:spPr bwMode="auto">
                    <a:xfrm>
                      <a:off x="0" y="0"/>
                      <a:ext cx="5378450" cy="13150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2880" w:leader="none"/>
        </w:tabs>
        <w:spacing w:lineRule="auto" w:line="242"/>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statements and information contained in the Official Statement, as of its date and as of the date of such opinion, relating to the Securities, the security and sources of payment for the Securities and the tax status of the Securities fairly and accurately summarize the provisions of the documents or matters of law indicated therein, as of such dates, and the statements describing the Bond Legislation and the Issuer Documents contained in the Official Statement, as of its date and as of the date of such opinion, fairly and accurately summarize the provisions of such documents purported to be summarized as of such dates; and</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2880" w:leader="none"/>
        </w:tabs>
        <w:spacing w:lineRule="auto" w:line="254"/>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Securities are exempt from registration pursuant to the Securities Act and the Bond Legislation and any related trust indenture are exempt from qualification as an indenture pursuant to the Trust Indenture Act.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2">
            <wp:simplePos x="0" y="0"/>
            <wp:positionH relativeFrom="column">
              <wp:posOffset>796925</wp:posOffset>
            </wp:positionH>
            <wp:positionV relativeFrom="paragraph">
              <wp:posOffset>131445</wp:posOffset>
            </wp:positionV>
            <wp:extent cx="5378450" cy="2016760"/>
            <wp:effectExtent l="0" t="0" r="0" b="0"/>
            <wp:wrapNone/>
            <wp:docPr id="61"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7" descr="" title=""/>
                    <pic:cNvPicPr>
                      <a:picLocks noChangeAspect="1" noChangeArrowheads="1"/>
                    </pic:cNvPicPr>
                  </pic:nvPicPr>
                  <pic:blipFill>
                    <a:blip r:embed="rId38"/>
                    <a:srcRect l="-3" t="-9" r="-3" b="-9"/>
                    <a:stretch>
                      <a:fillRect/>
                    </a:stretch>
                  </pic:blipFill>
                  <pic:spPr bwMode="auto">
                    <a:xfrm>
                      <a:off x="0" y="0"/>
                      <a:ext cx="5378450" cy="20167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2160" w:leader="none"/>
        </w:tabs>
        <w:spacing w:lineRule="auto" w:line="268"/>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The opinion of Issuer’s Counsel (if any) addressed to the Underwriters and the Issuer, dated the Closing Date, to the effect that:</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9"/>
        </w:numPr>
        <w:tabs>
          <w:tab w:val="clear" w:pos="720"/>
          <w:tab w:val="left" w:pos="2880" w:leader="none"/>
        </w:tabs>
        <w:spacing w:lineRule="auto" w:line="249"/>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Issuer is duly created and existing under the constitution and laws of the State and has full legal right, power and authority under the constitution and laws of the State, including the Act, to adopt the Bond Legislation, to execute and deliver the Issuer Documents and the Official</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20"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V-2</w:t>
      </w:r>
    </w:p>
    <w:p>
      <w:pPr>
        <w:pStyle w:val="Normal"/>
        <w:spacing w:lineRule="auto" w:line="244"/>
        <w:ind w:start="1440" w:end="60"/>
        <w:jc w:val="both"/>
        <w:rPr>
          <w:rFonts w:ascii="Times New Roman" w:hAnsi="Times New Roman" w:eastAsia="Times New Roman" w:cs="Times New Roman"/>
          <w:sz w:val="24"/>
        </w:rPr>
      </w:pPr>
      <w:bookmarkStart w:id="32" w:name="page27"/>
      <w:bookmarkEnd w:id="32"/>
      <w:r>
        <w:rPr>
          <w:rFonts w:eastAsia="Times New Roman" w:cs="Times New Roman" w:ascii="Times New Roman" w:hAnsi="Times New Roman"/>
          <w:sz w:val="24"/>
        </w:rPr>
        <w:t>Statement, and to issue the Securities and apply the proceeds thereof pursuant to the Bond Legislation and the Issuer Documents, and compliance with the provisions of each thereof will not conflict with or constitute a violation or breach of or default under any existing law or administrative rule or regulation, or, to the best of the knowledge of such counsel, any court order or decree, or any agreement, contract or other instrument to which the Issuer is a party or is otherwise subject or bound;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2880" w:leader="none"/>
        </w:tabs>
        <w:spacing w:lineRule="auto" w:line="242"/>
        <w:ind w:firstLine="720" w:start="1440" w:end="60"/>
        <w:jc w:val="both"/>
        <w:rPr>
          <w:rFonts w:ascii="Times New Roman" w:hAnsi="Times New Roman" w:eastAsia="Times New Roman" w:cs="Times New Roman"/>
          <w:sz w:val="24"/>
        </w:rPr>
      </w:pPr>
      <w:r>
        <w:rPr>
          <w:rFonts w:eastAsia="Times New Roman" w:cs="Times New Roman" w:ascii="Times New Roman" w:hAnsi="Times New Roman"/>
          <w:sz w:val="24"/>
        </w:rPr>
        <w:t>by all necessary official action of the Issuer, the Issuer has duly authorized and approved (i) the distribution of the Preliminary Official Statement and the execution, delivery and distribution of the Official Statement, (ii) the issuance and sale of the Securities upon the terms set forth in the Bond Legislation, the Issuer Documents and the Official Statement and (iii) the execution and delivery of, and the performance by the Issuer of the obligations on its part contained in, the Securities, the Bond Legislation and the Issuer Documents;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2879" w:leader="none"/>
        </w:tabs>
        <w:spacing w:lineRule="auto" w:line="244"/>
        <w:ind w:firstLine="720" w:start="1440" w:end="60"/>
        <w:jc w:val="both"/>
        <w:rPr>
          <w:rFonts w:ascii="Times New Roman" w:hAnsi="Times New Roman" w:eastAsia="Times New Roman" w:cs="Times New Roman"/>
          <w:sz w:val="24"/>
        </w:rPr>
      </w:pPr>
      <w:r>
        <w:rPr>
          <w:rFonts w:eastAsia="Times New Roman" w:cs="Times New Roman" w:ascii="Times New Roman" w:hAnsi="Times New Roman"/>
          <w:sz w:val="24"/>
        </w:rPr>
        <w:t>the Bond Legislation and any other resolutions of the Issuer approving and authorizing the issuance and sale of the Securities, the distribution of the Preliminary Official Statement and the execution and delivery of the Issuer Documents and the Official Statement were duly adopted at one or more meetings of the Issuer that were called and held pursuant to all applicable laws and regulations, and with all public notice required by all applicable laws and regulations and at which a quorum was present and acting throughout;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2880" w:leader="none"/>
        </w:tabs>
        <w:spacing w:lineRule="auto" w:line="240"/>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there is no action, suit, proceeding, inquiry or investigation, at law or in equity, before or by any court, agency, public board or body pending, or, to the knowledge of such counsel, threatened against the Issuer: (i) affecting the existence of the Issuer or the titles of its officers to their respective offices, (ii) seeking to prohibit, restrain or enjoin the issuance, sale or delivery of the Securities or the pledge or collection by the Issuer of the Trust Estate or the making of any other required deposits with respect to the Securities, (iii) in any way contesting or affecting the validity or enforceability of, or the power or authority of the Issuer to issue, adopt or to enter into (as applicable), the Securities, the Bond Legislation or the Issuer Documents, (iv) contesting in any way the completeness or accuracy of the Preliminary Official Statement or the Official Statement, or any amendment or supplement thereto, (v) except as disclosed in the Official Statement, wherein an unfavorable decision, ruling or finding would materially adversely affect the financial position or condition of the Issuer or would result in any material adverse change in the ability of the Issuer to pledge the Trust Estate or to pay debt service on the Securities, or (vi) contesting the status of the interest on the Securities as excludable from gross income for federal income tax purposes or as exempt from any applicable state tax, in each case as described in the Official Statement;</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2881" w:leader="none"/>
        </w:tabs>
        <w:spacing w:lineRule="auto" w:line="268"/>
        <w:ind w:firstLine="720" w:start="1440" w:end="60"/>
        <w:jc w:val="both"/>
        <w:rPr>
          <w:rFonts w:ascii="Times New Roman" w:hAnsi="Times New Roman" w:eastAsia="Times New Roman" w:cs="Times New Roman"/>
          <w:sz w:val="24"/>
        </w:rPr>
      </w:pPr>
      <w:r>
        <w:rPr>
          <w:rFonts w:eastAsia="Times New Roman" w:cs="Times New Roman" w:ascii="Times New Roman" w:hAnsi="Times New Roman"/>
          <w:sz w:val="24"/>
        </w:rPr>
        <w:t>the distribution of the Preliminary Official Statement and the execution, delivery and distribution of the Official Statement have been duly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380" w:gutter="0" w:header="0" w:top="1420"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V-3</w:t>
      </w:r>
    </w:p>
    <w:p>
      <w:pPr>
        <w:pStyle w:val="Normal"/>
        <w:spacing w:lineRule="auto" w:line="242"/>
        <w:ind w:start="1440" w:end="0"/>
        <w:jc w:val="both"/>
        <w:rPr>
          <w:rFonts w:ascii="Times New Roman" w:hAnsi="Times New Roman" w:eastAsia="Times New Roman" w:cs="Times New Roman"/>
          <w:sz w:val="24"/>
        </w:rPr>
      </w:pPr>
      <w:bookmarkStart w:id="33" w:name="page28"/>
      <w:bookmarkEnd w:id="33"/>
      <w:r>
        <w:rPr>
          <w:rFonts w:eastAsia="Times New Roman" w:cs="Times New Roman" w:ascii="Times New Roman" w:hAnsi="Times New Roman"/>
          <w:sz w:val="24"/>
        </w:rPr>
        <w:t>authorized by the Issuer; nothing has come to the attention of such counsel that would lead them to believe that the information and statements in the Official Statement, as of its date and as of the date of such opinion, contained or contain any untrue statement of a material fact or omitted or omit to state a material fact necessary in order to make the statements therein, in the light of the circumstances under which they were made, not misleading; provided that, no view need be expressed as to the financial statements of the Issuer, any other financial, forecast, technical or statistical data or as to the Excluded Sections of the Official Statement; and</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1"/>
        </w:numPr>
        <w:tabs>
          <w:tab w:val="clear" w:pos="720"/>
          <w:tab w:val="left" w:pos="2881" w:leader="none"/>
        </w:tabs>
        <w:spacing w:lineRule="auto" w:line="242"/>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all authorizations, approvals, consents and orders of any governmental authority, legislative body, board, agency or commission having jurisdiction which are required for the due authorization of, which would constitute a condition precedent to, or the absence of which would materially adversely affect, the due performance by the Issuer of its obligations under the Bond Legislation, the Issuer Documents and the Securities have been duly obtained, except for: (i) such approvals, consents and orders as may be required under the Blue Sky or securities laws of any jurisdiction in connection with the offering and sale of the Securities and (ii) authorizations, approvals, consents and orders that are required to be obtained or renewed periodically, such as budgets, licenses and permits.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3">
            <wp:simplePos x="0" y="0"/>
            <wp:positionH relativeFrom="column">
              <wp:posOffset>796925</wp:posOffset>
            </wp:positionH>
            <wp:positionV relativeFrom="paragraph">
              <wp:posOffset>140335</wp:posOffset>
            </wp:positionV>
            <wp:extent cx="5378450" cy="1139825"/>
            <wp:effectExtent l="0" t="0" r="0" b="0"/>
            <wp:wrapNone/>
            <wp:docPr id="62"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8" descr="" title=""/>
                    <pic:cNvPicPr>
                      <a:picLocks noChangeAspect="1" noChangeArrowheads="1"/>
                    </pic:cNvPicPr>
                  </pic:nvPicPr>
                  <pic:blipFill>
                    <a:blip r:embed="rId39"/>
                    <a:srcRect l="-3" t="-16" r="-3" b="-16"/>
                    <a:stretch>
                      <a:fillRect/>
                    </a:stretch>
                  </pic:blipFill>
                  <pic:spPr bwMode="auto">
                    <a:xfrm>
                      <a:off x="0" y="0"/>
                      <a:ext cx="5378450" cy="11398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opinion of counsel to the Trustee (if any), addressed to the Underwriters and the Issuer, dated the Closing Date, addressing such matters as reasonably may be requested by the Senior Manager and Bond Counsel.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4">
            <wp:simplePos x="0" y="0"/>
            <wp:positionH relativeFrom="column">
              <wp:posOffset>796925</wp:posOffset>
            </wp:positionH>
            <wp:positionV relativeFrom="paragraph">
              <wp:posOffset>131445</wp:posOffset>
            </wp:positionV>
            <wp:extent cx="5378450" cy="2366645"/>
            <wp:effectExtent l="0" t="0" r="0" b="0"/>
            <wp:wrapNone/>
            <wp:docPr id="63"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9" descr="" title=""/>
                    <pic:cNvPicPr>
                      <a:picLocks noChangeAspect="1" noChangeArrowheads="1"/>
                    </pic:cNvPicPr>
                  </pic:nvPicPr>
                  <pic:blipFill>
                    <a:blip r:embed="rId40"/>
                    <a:srcRect l="-3" t="-8" r="-3" b="-8"/>
                    <a:stretch>
                      <a:fillRect/>
                    </a:stretch>
                  </pic:blipFill>
                  <pic:spPr bwMode="auto">
                    <a:xfrm>
                      <a:off x="0" y="0"/>
                      <a:ext cx="5378450" cy="23666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20"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V-4</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bookmarkStart w:id="34" w:name="page29"/>
      <w:bookmarkStart w:id="35" w:name="page29"/>
      <w:bookmarkEnd w:id="35"/>
    </w:p>
    <w:p>
      <w:pPr>
        <w:pStyle w:val="Normal"/>
        <w:numPr>
          <w:ilvl w:val="0"/>
          <w:numId w:val="33"/>
        </w:numPr>
        <w:tabs>
          <w:tab w:val="clear" w:pos="720"/>
          <w:tab w:val="left" w:pos="2160" w:leader="none"/>
        </w:tabs>
        <w:spacing w:lineRule="auto" w:line="240"/>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opinion of Underwriters’ Counsel, addressed to the Underwriters, dated the Closing Date, to the effect that: (A) the Securities are exempt from registration under the Securities Act and the Bond Legislation and any related trust indenture are exempt from qualification under the Trust Indenture Act and (B) the Continuing Disclosure Undertaking meets the requirements of Rule 15c2-12. In addition, such counsel shall state in its letter containing the foregoing opinion or in a separate letter addressed to the Underwriters that, without having undertaken to determine independently, or to assume responsibility for, the accuracy, completeness or fairness thereof, and based solely on their participation in meetings and telephone conferences at which representatives of the Issuer, Bond Counsel and the Senior Manager were at various times present, nothing has come to the attention of such counsel that would lead them to believe that the information and statements in the Official Statement, as of its date and as of the date of such letter, contained or contain any untrue statement of a material fact or omitted or omit to state a material fact necessary in order to make the statements therein, in the light of the circumstances under which they were made, not misleading; provided that, no view need be expressed as to the financial statements of the Issuer, any other financial, forecast, technical or statistical data, and any information in the Official Statement respecting the Bond Insurer, the Support Facility Provider or DTC.</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The opinion of Disclosure Counsel, if any, addressed to the Underwriters and the Issuer, dated the Closing Date, to the effect that nothing has come to the attention of such counsel that would lead them to believe that the information and statements in the Official Statement, as of its date and as of the date of such opinion, contained or contain any untrue statement of a material fact or omitted or omit to state a material fact necessary in order to make the statements therein, in the light of the circumstances under which they were made, not misleading; provided that no view need be expressed as to the financial statements of the Issuer, any other financial, forecast, technical or statistical data or as to the Excluded Sections of the Official Statement.</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2161" w:leader="none"/>
        </w:tabs>
        <w:spacing w:lineRule="auto" w:line="268"/>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A certificate dated the Closing Date of an authorized officer of the Issuer to the effect that:</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3"/>
        </w:numPr>
        <w:tabs>
          <w:tab w:val="clear" w:pos="720"/>
          <w:tab w:val="left" w:pos="2880" w:leader="none"/>
        </w:tabs>
        <w:spacing w:lineRule="auto" w:line="254"/>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representations and warranties of the Issuer contained in this Agreement are true and correct in all material respects on and as of the Closing Date with the same effect as if made on the Closing Date;</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3"/>
        </w:numPr>
        <w:tabs>
          <w:tab w:val="clear" w:pos="720"/>
          <w:tab w:val="left" w:pos="2880" w:leader="none"/>
        </w:tabs>
        <w:spacing w:lineRule="auto" w:line="268"/>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Issuer has complied with all of the agreements and satisfied all of the conditions on its part to be performed or satisfied at or prior to the Closing;</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3"/>
        </w:numPr>
        <w:tabs>
          <w:tab w:val="clear" w:pos="720"/>
          <w:tab w:val="left" w:pos="2880" w:leader="none"/>
        </w:tabs>
        <w:spacing w:lineRule="auto" w:line="244"/>
        <w:ind w:firstLine="720" w:start="1440" w:end="0"/>
        <w:jc w:val="both"/>
        <w:rPr>
          <w:rFonts w:ascii="Times New Roman" w:hAnsi="Times New Roman" w:eastAsia="Times New Roman" w:cs="Times New Roman"/>
          <w:sz w:val="24"/>
        </w:rPr>
      </w:pPr>
      <w:r>
        <w:rPr>
          <w:rFonts w:eastAsia="Times New Roman" w:cs="Times New Roman" w:ascii="Times New Roman" w:hAnsi="Times New Roman"/>
          <w:sz w:val="24"/>
        </w:rPr>
        <w:t>no event affecting the Issuer has occurred since the date of the Official Statement which either makes untrue or incorrect in any material respect as of the Closing Date any statement or information contained in the Official Statement or is not reflected in the Official Statement but should be reflected therein in order to make the statements and information therein not misleading in any material respect; 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V-5</w:t>
      </w:r>
    </w:p>
    <w:p>
      <w:pPr>
        <w:pStyle w:val="Normal"/>
        <w:numPr>
          <w:ilvl w:val="1"/>
          <w:numId w:val="34"/>
        </w:numPr>
        <w:tabs>
          <w:tab w:val="clear" w:pos="720"/>
          <w:tab w:val="left" w:pos="2880" w:leader="none"/>
        </w:tabs>
        <w:spacing w:lineRule="auto" w:line="244"/>
        <w:ind w:firstLine="720" w:start="1440" w:end="0"/>
        <w:jc w:val="both"/>
        <w:rPr>
          <w:rFonts w:ascii="Times New Roman" w:hAnsi="Times New Roman" w:eastAsia="Times New Roman" w:cs="Times New Roman"/>
          <w:sz w:val="24"/>
        </w:rPr>
      </w:pPr>
      <w:bookmarkStart w:id="36" w:name="page30"/>
      <w:bookmarkEnd w:id="36"/>
      <w:r>
        <w:rPr>
          <w:rFonts w:eastAsia="Times New Roman" w:cs="Times New Roman" w:ascii="Times New Roman" w:hAnsi="Times New Roman"/>
          <w:sz w:val="24"/>
        </w:rPr>
        <w:t>there is no action, suit, proceeding or investigation before or by any court or public board or body pending or threatened against the Issuer to restrain or enjoin the issuance, execution or delivery of the Securities or in any manner questioning the proceedings or authority for the issuance of the Securities or affecting directly or indirectly the validity of the Securities or of any provisions made or authorized for their payment or contesting the existence of the Issuer or the title of any of its officers to their respective offices.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Written evidence that the rating(s) on the Securities by the applicable rating services, as set forth in the BPA Terms and Acceptance, are in effect as of the Closing 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2099" w:leader="none"/>
        </w:tabs>
        <w:spacing w:lineRule="auto" w:line="240"/>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A certificate of an officer of the Trustee, acceptable to the Senior Manager, dated the Closing Date, to the effect that the Issuer Documents and other financing or operative documents relating to the Securities to which the Trustee is a party have been duly authorized, executed and delivered by the Trustee and, assuming due authorization, execution and delivery thereof by the Issuer and the other parties thereto, constitute valid and binding agreements of the Trustee enforceable against the Trustee in accordance with their terms, and the Securities have been authenticated in accordance with the Bond Legislation and the Issuer Documents by a duly authorized officer or signatory of the Trustee; and an incumbency certificate of the Trustee, in form and content acceptable to the Senior Manager and Bond Counsel, dated the Closing Date, with respect to the officers or other signatories of the Trustee who have executed, authenticated and delivered the Securities, the Issuer Documents to which the Trustee is a party, and all other financing or operative documents relating to the Securities to be signed by the Trustee.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A tax certificate or tax regulatory agreement, executed by a duly authorized officer of the Issuer, in form and substance satisfactory to Bond Counsel, setting forth, among other things, in the manner permitted by the Internal Revenue Code of 1986, as amended, and the regulations promulgated thereunder, the reasonable expectations of the Issuer as of the Closing Date as to the use of proceeds of the Securities and of any other funds of the Issuer expected to be used to pay debt service on the Securities and the facts and estimates on which such expectations are based, and stating that, to the best of knowledge and belief of such certifying officer, the expectations set forth therein are reasonable.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5">
            <wp:simplePos x="0" y="0"/>
            <wp:positionH relativeFrom="column">
              <wp:posOffset>796925</wp:posOffset>
            </wp:positionH>
            <wp:positionV relativeFrom="paragraph">
              <wp:posOffset>-5944870</wp:posOffset>
            </wp:positionV>
            <wp:extent cx="5378450" cy="438785"/>
            <wp:effectExtent l="0" t="0" r="0" b="0"/>
            <wp:wrapNone/>
            <wp:docPr id="64"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0" descr="" title=""/>
                    <pic:cNvPicPr>
                      <a:picLocks noChangeAspect="1" noChangeArrowheads="1"/>
                    </pic:cNvPicPr>
                  </pic:nvPicPr>
                  <pic:blipFill>
                    <a:blip r:embed="rId41"/>
                    <a:srcRect l="-3" t="-41" r="-3" b="-41"/>
                    <a:stretch>
                      <a:fillRect/>
                    </a:stretch>
                  </pic:blipFill>
                  <pic:spPr bwMode="auto">
                    <a:xfrm>
                      <a:off x="0" y="0"/>
                      <a:ext cx="5378450" cy="438785"/>
                    </a:xfrm>
                    <a:prstGeom prst="rect">
                      <a:avLst/>
                    </a:prstGeom>
                  </pic:spPr>
                </pic:pic>
              </a:graphicData>
            </a:graphic>
          </wp:anchor>
        </w:drawing>
        <w:drawing>
          <wp:anchor behindDoc="1" distT="0" distB="0" distL="114935" distR="114935" simplePos="0" locked="0" layoutInCell="1" allowOverlap="1" relativeHeight="66">
            <wp:simplePos x="0" y="0"/>
            <wp:positionH relativeFrom="column">
              <wp:posOffset>796925</wp:posOffset>
            </wp:positionH>
            <wp:positionV relativeFrom="paragraph">
              <wp:posOffset>-2724785</wp:posOffset>
            </wp:positionV>
            <wp:extent cx="5378450" cy="965200"/>
            <wp:effectExtent l="0" t="0" r="0" b="0"/>
            <wp:wrapNone/>
            <wp:docPr id="65"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1" descr="" title=""/>
                    <pic:cNvPicPr>
                      <a:picLocks noChangeAspect="1" noChangeArrowheads="1"/>
                    </pic:cNvPicPr>
                  </pic:nvPicPr>
                  <pic:blipFill>
                    <a:blip r:embed="rId42"/>
                    <a:srcRect l="-3" t="-19" r="-3" b="-19"/>
                    <a:stretch>
                      <a:fillRect/>
                    </a:stretch>
                  </pic:blipFill>
                  <pic:spPr bwMode="auto">
                    <a:xfrm>
                      <a:off x="0" y="0"/>
                      <a:ext cx="5378450" cy="965200"/>
                    </a:xfrm>
                    <a:prstGeom prst="rect">
                      <a:avLst/>
                    </a:prstGeom>
                  </pic:spPr>
                </pic:pic>
              </a:graphicData>
            </a:graphic>
          </wp:anchor>
        </w:drawing>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20"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67">
            <wp:simplePos x="0" y="0"/>
            <wp:positionH relativeFrom="page">
              <wp:posOffset>1711325</wp:posOffset>
            </wp:positionH>
            <wp:positionV relativeFrom="page">
              <wp:posOffset>914400</wp:posOffset>
            </wp:positionV>
            <wp:extent cx="5378450" cy="1315720"/>
            <wp:effectExtent l="0" t="0" r="0" b="0"/>
            <wp:wrapNone/>
            <wp:docPr id="66"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2" descr="" title=""/>
                    <pic:cNvPicPr>
                      <a:picLocks noChangeAspect="1" noChangeArrowheads="1"/>
                    </pic:cNvPicPr>
                  </pic:nvPicPr>
                  <pic:blipFill>
                    <a:blip r:embed="rId43"/>
                    <a:srcRect l="-3" t="-14" r="-3" b="-14"/>
                    <a:stretch>
                      <a:fillRect/>
                    </a:stretch>
                  </pic:blipFill>
                  <pic:spPr bwMode="auto">
                    <a:xfrm>
                      <a:off x="0" y="0"/>
                      <a:ext cx="5378450" cy="1315720"/>
                    </a:xfrm>
                    <a:prstGeom prst="rect">
                      <a:avLst/>
                    </a:prstGeom>
                  </pic:spPr>
                </pic:pic>
              </a:graphicData>
            </a:graphic>
          </wp:anchor>
        </w:drawing>
      </w:r>
      <w:bookmarkStart w:id="37" w:name="page31"/>
      <w:bookmarkStart w:id="38" w:name="page31"/>
      <w:bookmarkEnd w:id="3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A certificate, dated as of the Closing Date, of an authorized representative of each consultant (if any) to the Issuer, consenting to the references to the consultant in the Preliminary Official Statement and the Official Statement and, if applicable, consenting to the inclusion of any report of that consultant as an appendix to the Preliminary Official Statement and the Official Statement; and, to the effect that the information contained in the Official Statement with respect to the consultant and its report under the applicable specified caption(s) and appendix is accurate and did not as of its date and does not as of the Closing Date contain any untrue statement of a material fact or omit to state a material fact necessary in order to make the statements made therein, in light of the circumstances under which they were made, not misleading.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8">
            <wp:simplePos x="0" y="0"/>
            <wp:positionH relativeFrom="column">
              <wp:posOffset>796925</wp:posOffset>
            </wp:positionH>
            <wp:positionV relativeFrom="paragraph">
              <wp:posOffset>142240</wp:posOffset>
            </wp:positionV>
            <wp:extent cx="5378450" cy="1315720"/>
            <wp:effectExtent l="0" t="0" r="0" b="0"/>
            <wp:wrapNone/>
            <wp:docPr id="67"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3" descr="" title=""/>
                    <pic:cNvPicPr>
                      <a:picLocks noChangeAspect="1" noChangeArrowheads="1"/>
                    </pic:cNvPicPr>
                  </pic:nvPicPr>
                  <pic:blipFill>
                    <a:blip r:embed="rId44"/>
                    <a:srcRect l="-3" t="-14" r="-3" b="-14"/>
                    <a:stretch>
                      <a:fillRect/>
                    </a:stretch>
                  </pic:blipFill>
                  <pic:spPr bwMode="auto">
                    <a:xfrm>
                      <a:off x="0" y="0"/>
                      <a:ext cx="5378450" cy="13157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2161" w:leader="none"/>
        </w:tabs>
        <w:spacing w:lineRule="auto" w:line="240"/>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An Accountants’ letter or letters, dated as of the Closing Date, (A) substantially in the form of the Accountants’ letter or letters delivered pursuant to the BPA Terms and Acceptance (if an Accountants’ letter was delivered in connection with the execution of this Agreement), consenting to references to such firm in the Official Statement, consenting to use in the Official Statement of its report relating to the financial statements and with procedures brought down to a date within five business days (or such other date or period as may be agreed to by the Senior Manager) of the Closing Date or (B) if no Accountants’ letter previously has been delivered, a letter or letters with respect to each entity whose audited financial statements appear in the Official Statement from such entity’s Accountants, addressed to the Issuer and the Underwriters, in form reasonably satisfactory to the Issuer, the Senior Manager and Underwriters’ Counsel, consenting to references to such firm in the Official Statement, consenting to use in the Official Statement of its report relating to the financial statements and setting forth the results of certain specified procedures (as of a date within five business days of the date of the letter or such other date or period as may be agreed to by the Senior Manager) undertaken by the Accountants with respect to the financial information contained in the Official Statement.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40"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V-7</w:t>
      </w:r>
    </w:p>
    <w:p>
      <w:pPr>
        <w:pStyle w:val="Normal"/>
        <w:numPr>
          <w:ilvl w:val="0"/>
          <w:numId w:val="38"/>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bookmarkStart w:id="39" w:name="page32"/>
      <w:bookmarkEnd w:id="39"/>
      <w:r>
        <w:rPr>
          <w:rFonts w:eastAsia="Times New Roman" w:cs="Times New Roman" w:ascii="Times New Roman" w:hAnsi="Times New Roman"/>
          <w:sz w:val="24"/>
        </w:rPr>
        <w:t>An Information Return for Tax-Exempt Bond Issues (Internal Revenue Service Form 8038-G), in a form satisfactory to Bond Counsel for filing, executed by a duly authorized officer of the Issuer.</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clear" w:pos="720"/>
          <w:tab w:val="left" w:pos="2160" w:leader="none"/>
        </w:tabs>
        <w:spacing w:lineRule="auto" w:line="268"/>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A copy of the Blanket Letter of Representations to DTC relating to the Securities signed by the Issuer.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9">
            <wp:simplePos x="0" y="0"/>
            <wp:positionH relativeFrom="column">
              <wp:posOffset>796925</wp:posOffset>
            </wp:positionH>
            <wp:positionV relativeFrom="paragraph">
              <wp:posOffset>119380</wp:posOffset>
            </wp:positionV>
            <wp:extent cx="5378450" cy="1840865"/>
            <wp:effectExtent l="0" t="0" r="0" b="0"/>
            <wp:wrapNone/>
            <wp:docPr id="68"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4" descr="" title=""/>
                    <pic:cNvPicPr>
                      <a:picLocks noChangeAspect="1" noChangeArrowheads="1"/>
                    </pic:cNvPicPr>
                  </pic:nvPicPr>
                  <pic:blipFill>
                    <a:blip r:embed="rId45"/>
                    <a:srcRect l="-3" t="-10" r="-3" b="-10"/>
                    <a:stretch>
                      <a:fillRect/>
                    </a:stretch>
                  </pic:blipFill>
                  <pic:spPr bwMode="auto">
                    <a:xfrm>
                      <a:off x="0" y="0"/>
                      <a:ext cx="5378450" cy="18408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2161" w:leader="none"/>
        </w:tabs>
        <w:spacing w:lineRule="auto" w:line="24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If the Securities (or any portion thereof) are insured by a Policy: a certified copy of the Policy issued by the Bond Insurer and any other documents executed in connection therewith; an opinion of counsel to, and/or a certificate signed by an authorized officer of, the Bond Insurer, dated the Closing Date, each in customary form, addressed to the Underwriters and the Issuer, addressing, among other matters, the enforceability of the Policy and the accuracy of the information provided by the Bond Insurer for inclusion in the Official Statement.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If the Securities (or any portion thereof) are supported by a Support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Facility: an executed copy of the Support Facility and any other documents executed in connection therewith; a certificate of the Support Facility Provider, dated the Closing Date, in customary form, signed by an authorized officer of the Support Facility Provider, to the effect that the information provided by the Support Facility Provider for inclusion in the Official Statement is accurate; and an opinion of counsel to the Support Facility Provider, dated the Closing Date, in customary form, addressed to the Underwriters and the Issuer, addressing, among other matters, the enforceability of the Support Facility.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2161" w:leader="none"/>
        </w:tabs>
        <w:spacing w:lineRule="auto" w:line="24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If the Securities (or any portion thereof) are being issued to advance refund other outstanding obligations: a letter from a firm of certified public accountants, verifying the mathematical accuracy of the related schedules and computations with respect to the yield on the Securities and the availability of sufficient funds (including investment income) for payment of the obligations to be refunded; the executed escrow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0">
            <wp:simplePos x="0" y="0"/>
            <wp:positionH relativeFrom="column">
              <wp:posOffset>796925</wp:posOffset>
            </wp:positionH>
            <wp:positionV relativeFrom="paragraph">
              <wp:posOffset>-2029460</wp:posOffset>
            </wp:positionV>
            <wp:extent cx="5378450" cy="965200"/>
            <wp:effectExtent l="0" t="0" r="0" b="0"/>
            <wp:wrapNone/>
            <wp:docPr id="69"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5" descr="" title=""/>
                    <pic:cNvPicPr>
                      <a:picLocks noChangeAspect="1" noChangeArrowheads="1"/>
                    </pic:cNvPicPr>
                  </pic:nvPicPr>
                  <pic:blipFill>
                    <a:blip r:embed="rId46"/>
                    <a:srcRect l="-3" t="-19" r="-3" b="-19"/>
                    <a:stretch>
                      <a:fillRect/>
                    </a:stretch>
                  </pic:blipFill>
                  <pic:spPr bwMode="auto">
                    <a:xfrm>
                      <a:off x="0" y="0"/>
                      <a:ext cx="5378450" cy="965200"/>
                    </a:xfrm>
                    <a:prstGeom prst="rect">
                      <a:avLst/>
                    </a:prstGeom>
                  </pic:spPr>
                </pic:pic>
              </a:graphicData>
            </a:graphic>
          </wp:anchor>
        </w:drawing>
      </w: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sectPr>
          <w:type w:val="nextPage"/>
          <w:pgSz w:w="12240" w:h="15840"/>
          <w:pgMar w:left="1440" w:right="1440" w:gutter="0" w:header="0" w:top="1420" w:footer="0" w:bottom="160"/>
          <w:pgNumType w:fmt="decimal"/>
          <w:formProt w:val="false"/>
          <w:textDirection w:val="lrTb"/>
          <w:docGrid w:type="default" w:linePitch="360" w:charSpace="0"/>
        </w:sect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V-8</w:t>
      </w:r>
    </w:p>
    <w:p>
      <w:pPr>
        <w:pStyle w:val="Normal"/>
        <w:spacing w:lineRule="auto" w:line="254"/>
        <w:ind w:start="720" w:end="0"/>
        <w:jc w:val="both"/>
        <w:rPr>
          <w:rFonts w:ascii="Times New Roman" w:hAnsi="Times New Roman" w:eastAsia="Times New Roman" w:cs="Times New Roman"/>
          <w:sz w:val="24"/>
        </w:rPr>
      </w:pPr>
      <w:bookmarkStart w:id="40" w:name="page33"/>
      <w:bookmarkEnd w:id="40"/>
      <w:r>
        <w:rPr>
          <w:rFonts w:eastAsia="Times New Roman" w:cs="Times New Roman" w:ascii="Times New Roman" w:hAnsi="Times New Roman"/>
          <w:sz w:val="24"/>
        </w:rPr>
        <w:t>agreement, if any; and an opinion or opinions of Bond Counsel, dated the Closing Date, in form and substance satisfactory to the Senior Manager, relating to the defeasance of the obligations to be refunded.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1">
            <wp:simplePos x="0" y="0"/>
            <wp:positionH relativeFrom="column">
              <wp:posOffset>796925</wp:posOffset>
            </wp:positionH>
            <wp:positionV relativeFrom="paragraph">
              <wp:posOffset>131445</wp:posOffset>
            </wp:positionV>
            <wp:extent cx="5378450" cy="614680"/>
            <wp:effectExtent l="0" t="0" r="0" b="0"/>
            <wp:wrapNone/>
            <wp:docPr id="70"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6" descr="" title=""/>
                    <pic:cNvPicPr>
                      <a:picLocks noChangeAspect="1" noChangeArrowheads="1"/>
                    </pic:cNvPicPr>
                  </pic:nvPicPr>
                  <pic:blipFill>
                    <a:blip r:embed="rId47"/>
                    <a:srcRect l="-3" t="-29" r="-3" b="-29"/>
                    <a:stretch>
                      <a:fillRect/>
                    </a:stretch>
                  </pic:blipFill>
                  <pic:spPr bwMode="auto">
                    <a:xfrm>
                      <a:off x="0" y="0"/>
                      <a:ext cx="5378450" cy="614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clear" w:pos="720"/>
          <w:tab w:val="left" w:pos="2161"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If the Securities (or any portion thereof) are being issued as variable rate or auction rate securities: true and complete copies of any related agreements, including, without limitation, any remarketing agreement, auction agency agreement, broker-dealer agreement or similar agreement, together with any required opinions and certificates.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2">
            <wp:simplePos x="0" y="0"/>
            <wp:positionH relativeFrom="column">
              <wp:posOffset>796925</wp:posOffset>
            </wp:positionH>
            <wp:positionV relativeFrom="paragraph">
              <wp:posOffset>134620</wp:posOffset>
            </wp:positionV>
            <wp:extent cx="5378450" cy="1140460"/>
            <wp:effectExtent l="0" t="0" r="0" b="0"/>
            <wp:wrapNone/>
            <wp:docPr id="71"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7" descr="" title=""/>
                    <pic:cNvPicPr>
                      <a:picLocks noChangeAspect="1" noChangeArrowheads="1"/>
                    </pic:cNvPicPr>
                  </pic:nvPicPr>
                  <pic:blipFill>
                    <a:blip r:embed="rId48"/>
                    <a:srcRect l="-3" t="-16" r="-3" b="-16"/>
                    <a:stretch>
                      <a:fillRect/>
                    </a:stretch>
                  </pic:blipFill>
                  <pic:spPr bwMode="auto">
                    <a:xfrm>
                      <a:off x="0" y="0"/>
                      <a:ext cx="5378450" cy="11404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2160" w:leader="none"/>
        </w:tabs>
        <w:spacing w:lineRule="auto" w:line="24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If, in connection with the issuance of the Securities, (A) the Issuer is entering into any interest rate exchange or similar agreement pertaining to any of the Securities, a true and complete copy thereof, together with any related required guarantees, opinions and certificates and/or (B) the Issuer is terminating any interest rate exchange or similar agreement pertaining to any obligations to be defeased or refunded from proceeds of the Securities, any related required opinions and certificates, and matters related to payment of any termination payment.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2161" w:leader="none"/>
        </w:tabs>
        <w:spacing w:lineRule="auto" w:line="240"/>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True and complete copies of all opinions, certificates and other documents delivered to the Trustee under the Bond Legislation and the Issuer Documents; and such additional legal opinions, certificates, instruments and other documents as the Senior Manager or Bond Counsel reasonably may request, in form and substance satisfactory to the Senior Manager or Bond Counsel, as the case may be, to evidence (A) compliance by the Issuer with legal requirements reasonably relating to the transactions contemplated by the Official Statement and this Agreement, (B) the truth and completeness, as of the date thereof and as of the time of the Closing, of the statements and information contained in the Official Statement, (C) the truth and completeness, as of the time of the Closing, of the representations and warranties of the Issuer contained in this Agreement and the certificates and other documents referred to in this Agreement, and (D) the due performance or satisfaction by the Issuer at or prior to the Closing of all agreements then to be satisfied.</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[identify additional items, if any, attached as exhibits to Schedule V.]</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rPr>
      </w:pPr>
      <w:r>
        <w:rPr>
          <w:rFonts w:eastAsia="Times New Roman" w:cs="Times New Roman" w:ascii="Times New Roman" w:hAnsi="Times New Roman"/>
          <w:i/>
          <w:sz w:val="22"/>
        </w:rPr>
        <w:t>BPA Terms and Acceptance 9/17/08</w:t>
      </w:r>
    </w:p>
    <w:p>
      <w:pPr>
        <w:pStyle w:val="Normal"/>
        <w:spacing w:lineRule="exact" w:line="13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5220" w:end="0"/>
        <w:rPr>
          <w:rFonts w:ascii="Times New Roman" w:hAnsi="Times New Roman" w:eastAsia="Times New Roman" w:cs="Times New Roman"/>
          <w:sz w:val="24"/>
        </w:rPr>
      </w:pPr>
      <w:r>
        <w:rPr>
          <w:rFonts w:eastAsia="Times New Roman" w:cs="Times New Roman" w:ascii="Times New Roman" w:hAnsi="Times New Roman"/>
          <w:sz w:val="24"/>
        </w:rPr>
        <w:t>V-9</w:t>
      </w:r>
    </w:p>
    <w:sectPr>
      <w:type w:val="nextPage"/>
      <w:pgSz w:w="12240" w:h="15840"/>
      <w:pgMar w:left="1440" w:right="1440" w:gutter="0" w:header="0" w:top="1420" w:footer="0" w:bottom="1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3"/>
      <w:numFmt w:val="lowerRoman"/>
      <w:lvlText w:val="(%1)"/>
      <w:lvlJc w:val="start"/>
      <w:pPr>
        <w:tabs>
          <w:tab w:val="num" w:pos="0"/>
        </w:tabs>
        <w:ind w:start="0" w:hanging="0"/>
      </w:pPr>
    </w:lvl>
  </w:abstractNum>
  <w:abstractNum w:abstractNumId="6">
    <w:lvl w:ilvl="0">
      <w:start w:val="4"/>
      <w:numFmt w:val="decimal"/>
      <w:lvlText w:val="%1."/>
      <w:lvlJc w:val="start"/>
      <w:pPr>
        <w:tabs>
          <w:tab w:val="num" w:pos="0"/>
        </w:tabs>
        <w:ind w:start="0" w:hanging="0"/>
      </w:pPr>
    </w:lvl>
  </w:abstractNum>
  <w:abstractNum w:abstractNumId="7">
    <w:lvl w:ilvl="0">
      <w:start w:val="5"/>
      <w:numFmt w:val="decimal"/>
      <w:lvlText w:val="%1."/>
      <w:lvlJc w:val="start"/>
      <w:pPr>
        <w:tabs>
          <w:tab w:val="num" w:pos="0"/>
        </w:tabs>
        <w:ind w:start="0" w:hanging="0"/>
      </w:pPr>
    </w:lvl>
  </w:abstractNum>
  <w:abstractNum w:abstractNumId="8">
    <w:lvl w:ilvl="0">
      <w:start w:val="6"/>
      <w:numFmt w:val="decimal"/>
      <w:lvlText w:val="%1."/>
      <w:lvlJc w:val="start"/>
      <w:pPr>
        <w:tabs>
          <w:tab w:val="num" w:pos="0"/>
        </w:tabs>
        <w:ind w:start="0" w:hanging="0"/>
      </w:pPr>
    </w:lvl>
  </w:abstractNum>
  <w:abstractNum w:abstractNumId="9">
    <w:lvl w:ilvl="0">
      <w:start w:val="7"/>
      <w:numFmt w:val="decimal"/>
      <w:lvlText w:val="%1."/>
      <w:lvlJc w:val="start"/>
      <w:pPr>
        <w:tabs>
          <w:tab w:val="num" w:pos="0"/>
        </w:tabs>
        <w:ind w:start="0" w:hanging="0"/>
      </w:pPr>
    </w:lvl>
  </w:abstractNum>
  <w:abstractNum w:abstractNumId="10">
    <w:lvl w:ilvl="0">
      <w:start w:val="8"/>
      <w:numFmt w:val="decimal"/>
      <w:lvlText w:val="%1."/>
      <w:lvlJc w:val="start"/>
      <w:pPr>
        <w:tabs>
          <w:tab w:val="num" w:pos="0"/>
        </w:tabs>
        <w:ind w:start="0" w:hanging="0"/>
      </w:pPr>
    </w:lvl>
  </w:abstractNum>
  <w:abstractNum w:abstractNumId="11">
    <w:lvl w:ilvl="0">
      <w:start w:val="9"/>
      <w:numFmt w:val="decimal"/>
      <w:lvlText w:val="%1."/>
      <w:lvlJc w:val="start"/>
      <w:pPr>
        <w:tabs>
          <w:tab w:val="num" w:pos="0"/>
        </w:tabs>
        <w:ind w:start="0" w:hanging="0"/>
      </w:pPr>
    </w:lvl>
  </w:abstractNum>
  <w:abstractNum w:abstractNumId="12">
    <w:lvl w:ilvl="0">
      <w:start w:val="10"/>
      <w:numFmt w:val="decimal"/>
      <w:lvlText w:val="%1."/>
      <w:lvlJc w:val="start"/>
      <w:pPr>
        <w:tabs>
          <w:tab w:val="num" w:pos="0"/>
        </w:tabs>
        <w:ind w:start="0" w:hanging="0"/>
      </w:pPr>
    </w:lvl>
  </w:abstractNum>
  <w:abstractNum w:abstractNumId="13">
    <w:lvl w:ilvl="0">
      <w:start w:val="11"/>
      <w:numFmt w:val="decimal"/>
      <w:lvlText w:val="%1."/>
      <w:lvlJc w:val="start"/>
      <w:pPr>
        <w:tabs>
          <w:tab w:val="num" w:pos="0"/>
        </w:tabs>
        <w:ind w:start="0" w:hanging="0"/>
      </w:pPr>
    </w:lvl>
  </w:abstractNum>
  <w:abstractNum w:abstractNumId="14">
    <w:lvl w:ilvl="0">
      <w:start w:val="12"/>
      <w:numFmt w:val="decimal"/>
      <w:lvlText w:val="%1."/>
      <w:lvlJc w:val="start"/>
      <w:pPr>
        <w:tabs>
          <w:tab w:val="num" w:pos="0"/>
        </w:tabs>
        <w:ind w:start="0" w:hanging="0"/>
      </w:pPr>
    </w:lvl>
  </w:abstractNum>
  <w:abstractNum w:abstractNumId="15">
    <w:lvl w:ilvl="0">
      <w:start w:val="61"/>
      <w:numFmt w:val="upperLetter"/>
      <w:lvlText w:val="%1"/>
      <w:lvlJc w:val="start"/>
      <w:pPr>
        <w:tabs>
          <w:tab w:val="num" w:pos="0"/>
        </w:tabs>
        <w:ind w:start="0" w:hanging="0"/>
      </w:pPr>
    </w:lvl>
  </w:abstractNum>
  <w:abstractNum w:abstractNumId="16">
    <w:lvl w:ilvl="0">
      <w:start w:val="13"/>
      <w:numFmt w:val="decimal"/>
      <w:lvlText w:val="%1."/>
      <w:lvlJc w:val="start"/>
      <w:pPr>
        <w:tabs>
          <w:tab w:val="num" w:pos="0"/>
        </w:tabs>
        <w:ind w:start="0" w:hanging="0"/>
      </w:pPr>
    </w:lvl>
  </w:abstractNum>
  <w:abstractNum w:abstractNumId="17">
    <w:lvl w:ilvl="0">
      <w:start w:val="14"/>
      <w:numFmt w:val="decimal"/>
      <w:lvlText w:val="%1."/>
      <w:lvlJc w:val="start"/>
      <w:pPr>
        <w:tabs>
          <w:tab w:val="num" w:pos="0"/>
        </w:tabs>
        <w:ind w:start="0" w:hanging="0"/>
      </w:pPr>
    </w:lvl>
  </w:abstractNum>
  <w:abstractNum w:abstractNumId="18">
    <w:lvl w:ilvl="0">
      <w:start w:val="1"/>
      <w:numFmt w:val="lowerRoman"/>
      <w:lvlText w:val="(%1)"/>
      <w:lvlJc w:val="start"/>
      <w:pPr>
        <w:tabs>
          <w:tab w:val="num" w:pos="0"/>
        </w:tabs>
        <w:ind w:start="0" w:hanging="0"/>
      </w:pPr>
    </w:lvl>
  </w:abstractNum>
  <w:abstractNum w:abstractNumId="19">
    <w:lvl w:ilvl="0">
      <w:start w:val="1"/>
      <w:numFmt w:val="upp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2"/>
      <w:numFmt w:val="lowerLetter"/>
      <w:lvlText w:val="(%1)"/>
      <w:lvlJc w:val="start"/>
      <w:pPr>
        <w:tabs>
          <w:tab w:val="num" w:pos="0"/>
        </w:tabs>
        <w:ind w:start="0" w:hanging="0"/>
      </w:pPr>
    </w:lvl>
  </w:abstractNum>
  <w:abstractNum w:abstractNumId="21">
    <w:lvl w:ilvl="0">
      <w:start w:val="7"/>
      <w:numFmt w:val="lowerLetter"/>
      <w:lvlText w:val="(%1)"/>
      <w:lvlJc w:val="start"/>
      <w:pPr>
        <w:tabs>
          <w:tab w:val="num" w:pos="0"/>
        </w:tabs>
        <w:ind w:start="0" w:hanging="0"/>
      </w:pPr>
    </w:lvl>
  </w:abstractNum>
  <w:abstractNum w:abstractNumId="22">
    <w:lvl w:ilvl="0">
      <w:start w:val="11"/>
      <w:numFmt w:val="lowerLetter"/>
      <w:lvlText w:val="(%1)"/>
      <w:lvlJc w:val="start"/>
      <w:pPr>
        <w:tabs>
          <w:tab w:val="num" w:pos="0"/>
        </w:tabs>
        <w:ind w:start="0" w:hanging="0"/>
      </w:pPr>
    </w:lvl>
  </w:abstractNum>
  <w:abstractNum w:abstractNumId="23">
    <w:lvl w:ilvl="0">
      <w:start w:val="12"/>
      <w:numFmt w:val="lowerLetter"/>
      <w:lvlText w:val="(%1)"/>
      <w:lvlJc w:val="start"/>
      <w:pPr>
        <w:tabs>
          <w:tab w:val="num" w:pos="0"/>
        </w:tabs>
        <w:ind w:start="0" w:hanging="0"/>
      </w:pPr>
    </w:lvl>
  </w:abstractNum>
  <w:abstractNum w:abstractNumId="24">
    <w:lvl w:ilvl="0">
      <w:start w:val="1"/>
      <w:numFmt w:val="upperLetter"/>
      <w:lvlText w:val="%1"/>
      <w:lvlJc w:val="start"/>
      <w:pPr>
        <w:tabs>
          <w:tab w:val="num" w:pos="0"/>
        </w:tabs>
        <w:ind w:start="0" w:hanging="0"/>
      </w:pPr>
    </w:lvl>
    <w:lvl w:ilvl="1">
      <w:start w:val="14"/>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2"/>
      <w:numFmt w:val="upp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lowerRoman"/>
      <w:lvlText w:val="(%1)"/>
      <w:lvlJc w:val="start"/>
      <w:pPr>
        <w:tabs>
          <w:tab w:val="num" w:pos="0"/>
        </w:tabs>
        <w:ind w:start="0" w:hanging="0"/>
      </w:pPr>
    </w:lvl>
  </w:abstractNum>
  <w:abstractNum w:abstractNumId="27">
    <w:lvl w:ilvl="0">
      <w:start w:val="1"/>
      <w:numFmt w:val="upperLetter"/>
      <w:lvlText w:val="(%1)"/>
      <w:lvlJc w:val="start"/>
      <w:pPr>
        <w:tabs>
          <w:tab w:val="num" w:pos="0"/>
        </w:tabs>
        <w:ind w:start="0" w:hanging="0"/>
      </w:pPr>
    </w:lvl>
  </w:abstractNum>
  <w:abstractNum w:abstractNumId="28">
    <w:lvl w:ilvl="0">
      <w:start w:val="2"/>
      <w:numFmt w:val="upperLetter"/>
      <w:lvlText w:val="(%1)"/>
      <w:lvlJc w:val="start"/>
      <w:pPr>
        <w:tabs>
          <w:tab w:val="num" w:pos="0"/>
        </w:tabs>
        <w:ind w:start="0" w:hanging="0"/>
      </w:pPr>
    </w:lvl>
  </w:abstractNum>
  <w:abstractNum w:abstractNumId="29">
    <w:lvl w:ilvl="0">
      <w:start w:val="3"/>
      <w:numFmt w:val="lowerRoman"/>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0">
    <w:lvl w:ilvl="0">
      <w:start w:val="2"/>
      <w:numFmt w:val="upperLetter"/>
      <w:lvlText w:val="(%1)"/>
      <w:lvlJc w:val="start"/>
      <w:pPr>
        <w:tabs>
          <w:tab w:val="num" w:pos="0"/>
        </w:tabs>
        <w:ind w:start="0" w:hanging="0"/>
      </w:pPr>
    </w:lvl>
  </w:abstractNum>
  <w:abstractNum w:abstractNumId="31">
    <w:lvl w:ilvl="0">
      <w:start w:val="6"/>
      <w:numFmt w:val="upperLetter"/>
      <w:lvlText w:val="(%1)"/>
      <w:lvlJc w:val="start"/>
      <w:pPr>
        <w:tabs>
          <w:tab w:val="num" w:pos="0"/>
        </w:tabs>
        <w:ind w:start="0" w:hanging="0"/>
      </w:pPr>
    </w:lvl>
  </w:abstractNum>
  <w:abstractNum w:abstractNumId="32">
    <w:lvl w:ilvl="0">
      <w:start w:val="4"/>
      <w:numFmt w:val="lowerRoman"/>
      <w:lvlText w:val="(%1)"/>
      <w:lvlJc w:val="start"/>
      <w:pPr>
        <w:tabs>
          <w:tab w:val="num" w:pos="0"/>
        </w:tabs>
        <w:ind w:start="0" w:hanging="0"/>
      </w:pPr>
    </w:lvl>
  </w:abstractNum>
  <w:abstractNum w:abstractNumId="33">
    <w:lvl w:ilvl="0">
      <w:start w:val="5"/>
      <w:numFmt w:val="lowerRoman"/>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4">
    <w:lvl w:ilvl="0">
      <w:start w:val="1"/>
      <w:numFmt w:val="lowerRoman"/>
      <w:lvlText w:val="%1"/>
      <w:lvlJc w:val="start"/>
      <w:pPr>
        <w:tabs>
          <w:tab w:val="num" w:pos="0"/>
        </w:tabs>
        <w:ind w:start="0" w:hanging="0"/>
      </w:pPr>
    </w:lvl>
    <w:lvl w:ilvl="1">
      <w:start w:val="4"/>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8"/>
      <w:numFmt w:val="lowerRoman"/>
      <w:lvlText w:val="(%1)"/>
      <w:lvlJc w:val="start"/>
      <w:pPr>
        <w:tabs>
          <w:tab w:val="num" w:pos="0"/>
        </w:tabs>
        <w:ind w:start="0" w:hanging="0"/>
      </w:pPr>
    </w:lvl>
  </w:abstractNum>
  <w:abstractNum w:abstractNumId="36">
    <w:lvl w:ilvl="0">
      <w:start w:val="11"/>
      <w:numFmt w:val="lowerRoman"/>
      <w:lvlText w:val="(%1)"/>
      <w:lvlJc w:val="start"/>
      <w:pPr>
        <w:tabs>
          <w:tab w:val="num" w:pos="0"/>
        </w:tabs>
        <w:ind w:start="0" w:hanging="0"/>
      </w:pPr>
    </w:lvl>
  </w:abstractNum>
  <w:abstractNum w:abstractNumId="37">
    <w:lvl w:ilvl="0">
      <w:start w:val="12"/>
      <w:numFmt w:val="lowerRoman"/>
      <w:lvlText w:val="(%1)"/>
      <w:lvlJc w:val="start"/>
      <w:pPr>
        <w:tabs>
          <w:tab w:val="num" w:pos="0"/>
        </w:tabs>
        <w:ind w:start="0" w:hanging="0"/>
      </w:pPr>
    </w:lvl>
  </w:abstractNum>
  <w:abstractNum w:abstractNumId="38">
    <w:lvl w:ilvl="0">
      <w:start w:val="13"/>
      <w:numFmt w:val="lowerRoman"/>
      <w:lvlText w:val="(%1)"/>
      <w:lvlJc w:val="start"/>
      <w:pPr>
        <w:tabs>
          <w:tab w:val="num" w:pos="0"/>
        </w:tabs>
        <w:ind w:start="0" w:hanging="0"/>
      </w:pPr>
    </w:lvl>
  </w:abstractNum>
  <w:abstractNum w:abstractNumId="39">
    <w:lvl w:ilvl="0">
      <w:start w:val="15"/>
      <w:numFmt w:val="lowerRoman"/>
      <w:lvlText w:val="(%1)"/>
      <w:lvlJc w:val="start"/>
      <w:pPr>
        <w:tabs>
          <w:tab w:val="num" w:pos="0"/>
        </w:tabs>
        <w:ind w:start="0" w:hanging="0"/>
      </w:pPr>
    </w:lvl>
  </w:abstractNum>
  <w:abstractNum w:abstractNumId="40">
    <w:lvl w:ilvl="0">
      <w:start w:val="18"/>
      <w:numFmt w:val="lowerRoman"/>
      <w:lvlText w:val="(%1)"/>
      <w:lvlJc w:val="start"/>
      <w:pPr>
        <w:tabs>
          <w:tab w:val="num" w:pos="0"/>
        </w:tabs>
        <w:ind w:start="0" w:hanging="0"/>
      </w:pPr>
    </w:lvl>
  </w:abstractNum>
  <w:abstractNum w:abstractNumId="41">
    <w:lvl w:ilvl="0">
      <w:start w:val="19"/>
      <w:numFmt w:val="lowerRoman"/>
      <w:lvlText w:val="(%1)"/>
      <w:lvlJc w:val="start"/>
      <w:pPr>
        <w:tabs>
          <w:tab w:val="num" w:pos="0"/>
        </w:tabs>
        <w:ind w:start="0" w:hanging="0"/>
      </w:pPr>
    </w:lvl>
  </w:abstractNum>
  <w:abstractNum w:abstractNumId="4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24.png"/><Relationship Id="rId42" Type="http://schemas.openxmlformats.org/officeDocument/2006/relationships/image" Target="media/image40.png"/><Relationship Id="rId43" Type="http://schemas.openxmlformats.org/officeDocument/2006/relationships/image" Target="media/image41.png"/><Relationship Id="rId44" Type="http://schemas.openxmlformats.org/officeDocument/2006/relationships/image" Target="media/image42.png"/><Relationship Id="rId45" Type="http://schemas.openxmlformats.org/officeDocument/2006/relationships/image" Target="media/image43.png"/><Relationship Id="rId46" Type="http://schemas.openxmlformats.org/officeDocument/2006/relationships/image" Target="media/image44.png"/><Relationship Id="rId47" Type="http://schemas.openxmlformats.org/officeDocument/2006/relationships/image" Target="media/image45.png"/><Relationship Id="rId48" Type="http://schemas.openxmlformats.org/officeDocument/2006/relationships/image" Target="media/image46.png"/><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33</Pages>
  <Words>8344</Words>
  <Characters>44866</Characters>
  <CharactersWithSpaces>52789</CharactersWithSpaces>
  <Paragraphs>371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