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1080" w:end="0"/>
        <w:rPr>
          <w:rFonts w:ascii="Times New Roman" w:hAnsi="Times New Roman" w:eastAsia="Times New Roman" w:cs="Times New Roman"/>
          <w:sz w:val="24"/>
        </w:rPr>
      </w:pPr>
      <w:bookmarkStart w:id="0" w:name="page1"/>
      <w:bookmarkEnd w:id="0"/>
      <w:r>
        <w:rPr>
          <w:rFonts w:eastAsia="Times New Roman" w:cs="Times New Roman" w:ascii="Times New Roman" w:hAnsi="Times New Roman"/>
          <w:sz w:val="24"/>
        </w:rPr>
        <w:t>Sample Deed of Trust</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DEED OF TRUST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DEFINITIONS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start="360" w:end="500"/>
        <w:jc w:val="both"/>
        <w:rPr>
          <w:rFonts w:ascii="Times New Roman" w:hAnsi="Times New Roman" w:eastAsia="Times New Roman" w:cs="Times New Roman"/>
          <w:sz w:val="24"/>
        </w:rPr>
      </w:pPr>
      <w:r>
        <w:rPr>
          <w:rFonts w:eastAsia="Times New Roman" w:cs="Times New Roman" w:ascii="Times New Roman" w:hAnsi="Times New Roman"/>
          <w:sz w:val="24"/>
        </w:rPr>
        <w:t>Words used in multiple sections of this document are defined below and other words are defined in Sections 3, 11, 13, 18, 20 and 21. Certain rules regarding the usage of words used in this document are also provided in Section 16.</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540" w:leader="none"/>
        </w:tabs>
        <w:spacing w:lineRule="atLeast" w:line="0"/>
        <w:ind w:hanging="460" w:start="1540" w:end="0"/>
        <w:rPr>
          <w:rFonts w:ascii="Times New Roman" w:hAnsi="Times New Roman" w:eastAsia="Times New Roman" w:cs="Times New Roman"/>
          <w:b/>
          <w:sz w:val="24"/>
        </w:rPr>
      </w:pPr>
      <w:r>
        <w:rPr>
          <w:rFonts w:eastAsia="Times New Roman" w:cs="Times New Roman" w:ascii="Times New Roman" w:hAnsi="Times New Roman"/>
          <w:b/>
          <w:sz w:val="24"/>
        </w:rPr>
        <w:t>“</w:t>
      </w:r>
      <w:r>
        <w:rPr>
          <w:rFonts w:eastAsia="Times New Roman" w:cs="Times New Roman" w:ascii="Times New Roman" w:hAnsi="Times New Roman"/>
          <w:b/>
          <w:sz w:val="24"/>
        </w:rPr>
        <w:t>Security Instrument”</w:t>
      </w:r>
      <w:r>
        <w:rPr>
          <w:rFonts w:eastAsia="Times New Roman" w:cs="Times New Roman" w:ascii="Times New Roman" w:hAnsi="Times New Roman"/>
          <w:sz w:val="24"/>
        </w:rPr>
        <w:t xml:space="preserve"> means this document, which is dated</w:t>
      </w:r>
    </w:p>
    <w:p>
      <w:pPr>
        <w:pStyle w:val="Normal"/>
        <w:spacing w:lineRule="exact" w:line="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 _________, together with all Riders to this document.</w:t>
      </w:r>
    </w:p>
    <w:p>
      <w:pPr>
        <w:pStyle w:val="Normal"/>
        <w:spacing w:lineRule="exact" w:line="24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clear" w:pos="720"/>
          <w:tab w:val="left" w:pos="1520" w:leader="none"/>
        </w:tabs>
        <w:spacing w:lineRule="auto" w:line="276"/>
        <w:ind w:firstLine="720" w:start="360" w:end="1140"/>
        <w:rPr>
          <w:rFonts w:ascii="Times New Roman" w:hAnsi="Times New Roman" w:eastAsia="Times New Roman" w:cs="Times New Roman"/>
          <w:b/>
          <w:sz w:val="24"/>
        </w:rPr>
      </w:pPr>
      <w:r>
        <w:rPr>
          <w:rFonts w:eastAsia="Times New Roman" w:cs="Times New Roman" w:ascii="Times New Roman" w:hAnsi="Times New Roman"/>
          <w:b/>
          <w:sz w:val="24"/>
        </w:rPr>
        <w:t>“</w:t>
      </w:r>
      <w:r>
        <w:rPr>
          <w:rFonts w:eastAsia="Times New Roman" w:cs="Times New Roman" w:ascii="Times New Roman" w:hAnsi="Times New Roman"/>
          <w:b/>
          <w:sz w:val="24"/>
        </w:rPr>
        <w:t>Borrower”</w:t>
      </w:r>
      <w:r>
        <w:rPr>
          <w:rFonts w:eastAsia="Times New Roman" w:cs="Times New Roman" w:ascii="Times New Roman" w:hAnsi="Times New Roman"/>
          <w:sz w:val="24"/>
        </w:rPr>
        <w:t xml:space="preserve"> is _______________. Borrower is the trust or under this Security Instrument.</w:t>
      </w:r>
    </w:p>
    <w:p>
      <w:pPr>
        <w:pStyle w:val="Normal"/>
        <w:spacing w:lineRule="exact" w:line="19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clear" w:pos="720"/>
          <w:tab w:val="left" w:pos="1540" w:leader="none"/>
        </w:tabs>
        <w:spacing w:lineRule="atLeast" w:line="0"/>
        <w:ind w:hanging="460" w:start="1540" w:end="0"/>
        <w:rPr>
          <w:rFonts w:ascii="Times New Roman" w:hAnsi="Times New Roman" w:eastAsia="Times New Roman" w:cs="Times New Roman"/>
          <w:b/>
          <w:sz w:val="24"/>
        </w:rPr>
      </w:pPr>
      <w:r>
        <w:rPr>
          <w:rFonts w:eastAsia="Times New Roman" w:cs="Times New Roman" w:ascii="Times New Roman" w:hAnsi="Times New Roman"/>
          <w:b/>
          <w:sz w:val="24"/>
        </w:rPr>
        <w:t>“</w:t>
      </w:r>
      <w:r>
        <w:rPr>
          <w:rFonts w:eastAsia="Times New Roman" w:cs="Times New Roman" w:ascii="Times New Roman" w:hAnsi="Times New Roman"/>
          <w:b/>
          <w:sz w:val="24"/>
        </w:rPr>
        <w:t>Lender”</w:t>
      </w:r>
      <w:r>
        <w:rPr>
          <w:rFonts w:eastAsia="Times New Roman" w:cs="Times New Roman" w:ascii="Times New Roman" w:hAnsi="Times New Roman"/>
          <w:sz w:val="24"/>
        </w:rPr>
        <w:t xml:space="preserve"> is __________________. Lender is a _______________________</w:t>
      </w:r>
    </w:p>
    <w:p>
      <w:pPr>
        <w:pStyle w:val="Normal"/>
        <w:spacing w:lineRule="exact" w:line="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2"/>
        <w:ind w:start="360" w:end="480"/>
        <w:rPr/>
      </w:pPr>
      <w:r>
        <w:rPr>
          <w:rFonts w:eastAsia="Times New Roman" w:cs="Times New Roman" w:ascii="Times New Roman" w:hAnsi="Times New Roman"/>
          <w:sz w:val="24"/>
        </w:rPr>
        <w:t>organized and existing under the laws of _______________________. Lender’s address is ______________________________________________. Lender is the beneficiary under this Security Instrument.</w:t>
      </w:r>
    </w:p>
    <w:p>
      <w:pPr>
        <w:pStyle w:val="Normal"/>
        <w:spacing w:lineRule="exact" w:line="2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clear" w:pos="720"/>
          <w:tab w:val="left" w:pos="1540" w:leader="none"/>
        </w:tabs>
        <w:spacing w:lineRule="atLeast" w:line="0"/>
        <w:ind w:hanging="460" w:start="1540" w:end="0"/>
        <w:rPr>
          <w:rFonts w:ascii="Times New Roman" w:hAnsi="Times New Roman" w:eastAsia="Times New Roman" w:cs="Times New Roman"/>
          <w:b/>
          <w:sz w:val="24"/>
        </w:rPr>
      </w:pPr>
      <w:r>
        <w:rPr>
          <w:rFonts w:eastAsia="Times New Roman" w:cs="Times New Roman" w:ascii="Times New Roman" w:hAnsi="Times New Roman"/>
          <w:b/>
          <w:sz w:val="24"/>
        </w:rPr>
        <w:t>“</w:t>
      </w:r>
      <w:r>
        <w:rPr>
          <w:rFonts w:eastAsia="Times New Roman" w:cs="Times New Roman" w:ascii="Times New Roman" w:hAnsi="Times New Roman"/>
          <w:b/>
          <w:sz w:val="24"/>
        </w:rPr>
        <w:t>Trustee”</w:t>
      </w:r>
      <w:r>
        <w:rPr>
          <w:rFonts w:eastAsia="Times New Roman" w:cs="Times New Roman" w:ascii="Times New Roman" w:hAnsi="Times New Roman"/>
          <w:sz w:val="24"/>
        </w:rPr>
        <w:t xml:space="preserve"> is</w:t>
      </w:r>
    </w:p>
    <w:p>
      <w:pPr>
        <w:pStyle w:val="Normal"/>
        <w:spacing w:lineRule="exact" w:line="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w:t>
      </w:r>
    </w:p>
    <w:p>
      <w:pPr>
        <w:pStyle w:val="Normal"/>
        <w:spacing w:lineRule="exact" w:line="24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clear" w:pos="720"/>
          <w:tab w:val="left" w:pos="1520" w:leader="none"/>
        </w:tabs>
        <w:spacing w:lineRule="atLeast" w:line="0"/>
        <w:ind w:hanging="440" w:start="1520" w:end="0"/>
        <w:rPr>
          <w:rFonts w:ascii="Times New Roman" w:hAnsi="Times New Roman" w:eastAsia="Times New Roman" w:cs="Times New Roman"/>
          <w:b/>
          <w:sz w:val="24"/>
        </w:rPr>
      </w:pPr>
      <w:r>
        <w:rPr>
          <w:rFonts w:eastAsia="Times New Roman" w:cs="Times New Roman" w:ascii="Times New Roman" w:hAnsi="Times New Roman"/>
          <w:b/>
          <w:sz w:val="24"/>
        </w:rPr>
        <w:t>“</w:t>
      </w:r>
      <w:r>
        <w:rPr>
          <w:rFonts w:eastAsia="Times New Roman" w:cs="Times New Roman" w:ascii="Times New Roman" w:hAnsi="Times New Roman"/>
          <w:b/>
          <w:sz w:val="24"/>
        </w:rPr>
        <w:t>Note”</w:t>
      </w:r>
      <w:r>
        <w:rPr>
          <w:rFonts w:eastAsia="Times New Roman" w:cs="Times New Roman" w:ascii="Times New Roman" w:hAnsi="Times New Roman"/>
          <w:sz w:val="24"/>
        </w:rPr>
        <w:t xml:space="preserve"> means the promissory note signed by Borrower and dated</w:t>
      </w:r>
    </w:p>
    <w:p>
      <w:pPr>
        <w:pStyle w:val="Normal"/>
        <w:spacing w:lineRule="exact" w:line="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 _______________. The Note states that Borrower owes Lender</w:t>
      </w:r>
    </w:p>
    <w:p>
      <w:pPr>
        <w:pStyle w:val="Normal"/>
        <w:spacing w:lineRule="auto" w:line="242"/>
        <w:ind w:start="360" w:end="440"/>
        <w:rPr>
          <w:rFonts w:ascii="Times New Roman" w:hAnsi="Times New Roman" w:eastAsia="Times New Roman" w:cs="Times New Roman"/>
          <w:sz w:val="24"/>
        </w:rPr>
      </w:pPr>
      <w:r>
        <w:rPr>
          <w:rFonts w:eastAsia="Times New Roman" w:cs="Times New Roman" w:ascii="Times New Roman" w:hAnsi="Times New Roman"/>
          <w:sz w:val="24"/>
        </w:rPr>
        <w:t>____________________________ Dollars (U.S. $ ____________________________) plus interest. Borrower has promised to pay this debt in regular Periodic Payments and to pay the debt in full not later than _______________.</w:t>
      </w:r>
    </w:p>
    <w:p>
      <w:pPr>
        <w:pStyle w:val="Normal"/>
        <w:spacing w:lineRule="exact" w:line="2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clear" w:pos="720"/>
          <w:tab w:val="left" w:pos="1507" w:leader="none"/>
        </w:tabs>
        <w:spacing w:lineRule="auto" w:line="276"/>
        <w:ind w:firstLine="720" w:start="360" w:end="740"/>
        <w:rPr>
          <w:rFonts w:ascii="Times New Roman" w:hAnsi="Times New Roman" w:eastAsia="Times New Roman" w:cs="Times New Roman"/>
          <w:b/>
          <w:sz w:val="24"/>
        </w:rPr>
      </w:pPr>
      <w:r>
        <w:rPr>
          <w:rFonts w:eastAsia="Times New Roman" w:cs="Times New Roman" w:ascii="Times New Roman" w:hAnsi="Times New Roman"/>
          <w:b/>
          <w:sz w:val="24"/>
        </w:rPr>
        <w:t>“</w:t>
      </w:r>
      <w:r>
        <w:rPr>
          <w:rFonts w:eastAsia="Times New Roman" w:cs="Times New Roman" w:ascii="Times New Roman" w:hAnsi="Times New Roman"/>
          <w:b/>
          <w:sz w:val="24"/>
        </w:rPr>
        <w:t>Property”</w:t>
      </w:r>
      <w:r>
        <w:rPr>
          <w:rFonts w:eastAsia="Times New Roman" w:cs="Times New Roman" w:ascii="Times New Roman" w:hAnsi="Times New Roman"/>
          <w:sz w:val="24"/>
        </w:rPr>
        <w:t xml:space="preserve"> means the property that is described below under the heading “Transfer of Rights in the Property.”</w:t>
      </w:r>
    </w:p>
    <w:p>
      <w:pPr>
        <w:pStyle w:val="Normal"/>
        <w:spacing w:lineRule="exact" w:line="19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clear" w:pos="720"/>
          <w:tab w:val="left" w:pos="1547" w:leader="none"/>
        </w:tabs>
        <w:spacing w:lineRule="auto" w:line="256"/>
        <w:ind w:firstLine="720" w:start="360" w:end="380"/>
        <w:rPr>
          <w:rFonts w:ascii="Times New Roman" w:hAnsi="Times New Roman" w:eastAsia="Times New Roman" w:cs="Times New Roman"/>
          <w:b/>
          <w:sz w:val="24"/>
        </w:rPr>
      </w:pPr>
      <w:r>
        <w:rPr>
          <w:rFonts w:eastAsia="Times New Roman" w:cs="Times New Roman" w:ascii="Times New Roman" w:hAnsi="Times New Roman"/>
          <w:b/>
          <w:sz w:val="24"/>
        </w:rPr>
        <w:t>“</w:t>
      </w:r>
      <w:r>
        <w:rPr>
          <w:rFonts w:eastAsia="Times New Roman" w:cs="Times New Roman" w:ascii="Times New Roman" w:hAnsi="Times New Roman"/>
          <w:b/>
          <w:sz w:val="24"/>
        </w:rPr>
        <w:t>Loan”</w:t>
      </w:r>
      <w:r>
        <w:rPr>
          <w:rFonts w:eastAsia="Times New Roman" w:cs="Times New Roman" w:ascii="Times New Roman" w:hAnsi="Times New Roman"/>
          <w:sz w:val="24"/>
        </w:rPr>
        <w:t xml:space="preserve"> means the debt evidenced by the Note, plus interest, any prepayment charges and late charges due under the Note, and all sums due under this Security Instrument, plus interest.</w:t>
      </w:r>
    </w:p>
    <w:p>
      <w:pPr>
        <w:pStyle w:val="Normal"/>
        <w:spacing w:lineRule="exact" w:line="21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clear" w:pos="720"/>
          <w:tab w:val="left" w:pos="1547" w:leader="none"/>
        </w:tabs>
        <w:spacing w:lineRule="auto" w:line="256"/>
        <w:ind w:firstLine="720" w:start="360" w:end="640"/>
        <w:rPr>
          <w:rFonts w:ascii="Times New Roman" w:hAnsi="Times New Roman" w:eastAsia="Times New Roman" w:cs="Times New Roman"/>
          <w:b/>
          <w:sz w:val="24"/>
        </w:rPr>
      </w:pPr>
      <w:r>
        <w:rPr>
          <w:rFonts w:eastAsia="Times New Roman" w:cs="Times New Roman" w:ascii="Times New Roman" w:hAnsi="Times New Roman"/>
          <w:b/>
          <w:sz w:val="24"/>
        </w:rPr>
        <w:t>“</w:t>
      </w:r>
      <w:r>
        <w:rPr>
          <w:rFonts w:eastAsia="Times New Roman" w:cs="Times New Roman" w:ascii="Times New Roman" w:hAnsi="Times New Roman"/>
          <w:b/>
          <w:sz w:val="24"/>
        </w:rPr>
        <w:t>Riders”</w:t>
      </w:r>
      <w:r>
        <w:rPr>
          <w:rFonts w:eastAsia="Times New Roman" w:cs="Times New Roman" w:ascii="Times New Roman" w:hAnsi="Times New Roman"/>
          <w:sz w:val="24"/>
        </w:rPr>
        <w:t xml:space="preserve"> means all Riders to this Security Instrument that are executed by Borrower. The following Riders are to be executed by Borrower [check box as applicable]:</w:t>
      </w:r>
    </w:p>
    <w:p>
      <w:pPr>
        <w:sectPr>
          <w:type w:val="nextPage"/>
          <w:pgSz w:w="12240" w:h="15840"/>
          <w:pgMar w:left="1440" w:right="1440" w:gutter="0" w:header="0" w:top="1420" w:footer="0" w:bottom="1440"/>
          <w:pgNumType w:fmt="decimal"/>
          <w:formProt w:val="false"/>
          <w:textDirection w:val="lrTb"/>
          <w:docGrid w:type="default" w:linePitch="360" w:charSpace="0"/>
        </w:sectPr>
      </w:pPr>
    </w:p>
    <w:p>
      <w:pPr>
        <w:pStyle w:val="Normal"/>
        <w:spacing w:lineRule="exact" w:line="276"/>
        <w:rPr>
          <w:rFonts w:ascii="Times New Roman" w:hAnsi="Times New Roman" w:eastAsia="Times New Roman" w:cs="Times New Roman"/>
          <w:b/>
          <w:sz w:val="24"/>
        </w:rPr>
      </w:pPr>
      <w:r>
        <w:rPr>
          <w:rFonts w:eastAsia="Times New Roman" w:cs="Times New Roman" w:ascii="Times New Roman" w:hAnsi="Times New Roman"/>
          <w:b/>
          <w:sz w:val="24"/>
        </w:rPr>
      </w:r>
      <w:bookmarkStart w:id="1" w:name="page2"/>
      <w:bookmarkStart w:id="2" w:name="page2"/>
      <w:bookmarkEnd w:id="2"/>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Rider</w:t>
      </w:r>
    </w:p>
    <w:p>
      <w:pPr>
        <w:pStyle w:val="Normal"/>
        <w:tabs>
          <w:tab w:val="clear" w:pos="720"/>
          <w:tab w:val="left" w:pos="2860" w:leader="none"/>
          <w:tab w:val="left" w:pos="5740" w:leader="none"/>
        </w:tabs>
        <w:spacing w:lineRule="exact" w:line="292"/>
        <w:rPr/>
      </w:pPr>
      <w:r>
        <w:br w:type="column"/>
      </w:r>
      <w:r>
        <w:rPr>
          <w:rFonts w:eastAsia="PMingLiU" w:cs="PMingLiU" w:ascii="PMingLiU" w:hAnsi="PMingLiU"/>
          <w:sz w:val="24"/>
        </w:rPr>
        <w:t></w:t>
      </w:r>
      <w:r>
        <w:rPr>
          <w:rFonts w:eastAsia="Times New Roman" w:cs="Times New Roman" w:ascii="Times New Roman" w:hAnsi="Times New Roman"/>
          <w:sz w:val="24"/>
        </w:rPr>
        <w:t xml:space="preserve"> Adjustable Rate Rider</w:t>
      </w:r>
      <w:r>
        <w:rPr>
          <w:rFonts w:eastAsia="PMingLiU" w:cs="PMingLiU" w:ascii="PMingLiU" w:hAnsi="PMingLiU"/>
          <w:sz w:val="24"/>
        </w:rPr>
        <w:tab/>
        <w:t></w:t>
      </w:r>
      <w:r>
        <w:rPr>
          <w:rFonts w:eastAsia="Times New Roman" w:cs="Times New Roman" w:ascii="Times New Roman" w:hAnsi="Times New Roman"/>
          <w:sz w:val="24"/>
        </w:rPr>
        <w:t xml:space="preserve"> Condominium Rider</w:t>
      </w:r>
      <w:r>
        <w:rPr>
          <w:rFonts w:eastAsia="PMingLiU" w:cs="PMingLiU" w:ascii="PMingLiU" w:hAnsi="PMingLiU"/>
          <w:sz w:val="24"/>
        </w:rPr>
        <w:tab/>
        <w:t></w:t>
      </w:r>
      <w:r>
        <w:rPr>
          <w:rFonts w:eastAsia="Times New Roman" w:cs="Times New Roman" w:ascii="Times New Roman" w:hAnsi="Times New Roman"/>
          <w:sz w:val="24"/>
        </w:rPr>
        <w:t xml:space="preserve"> Second Home</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2"/>
        <w:rPr/>
      </w:pPr>
      <w:r>
        <w:rPr>
          <w:rFonts w:eastAsia="PMingLiU" w:cs="PMingLiU" w:ascii="PMingLiU" w:hAnsi="PMingLiU"/>
          <w:sz w:val="24"/>
        </w:rPr>
        <w:t></w:t>
      </w:r>
      <w:r>
        <w:rPr>
          <w:rFonts w:eastAsia="Times New Roman" w:cs="Times New Roman" w:ascii="Times New Roman" w:hAnsi="Times New Roman"/>
          <w:sz w:val="24"/>
        </w:rPr>
        <w:t xml:space="preserve"> Balloon Rider</w:t>
      </w:r>
    </w:p>
    <w:p>
      <w:pPr>
        <w:sectPr>
          <w:type w:val="nextPage"/>
          <w:pgSz w:w="12240" w:h="15840"/>
          <w:pgMar w:left="1440" w:right="1440" w:gutter="0" w:header="0" w:top="1420" w:footer="0" w:bottom="1440"/>
          <w:pgNumType w:fmt="decimal"/>
          <w:cols w:num="2" w:equalWidth="false" w:sep="false">
            <w:col w:w="900" w:space="180"/>
            <w:col w:w="8280"/>
          </w:cols>
          <w:formProt w:val="false"/>
          <w:textDirection w:val="lrTb"/>
          <w:docGrid w:type="default" w:linePitch="360" w:charSpace="0"/>
        </w:sectPr>
      </w:pPr>
    </w:p>
    <w:p>
      <w:pPr>
        <w:pStyle w:val="Normal"/>
        <w:numPr>
          <w:ilvl w:val="0"/>
          <w:numId w:val="2"/>
        </w:numPr>
        <w:tabs>
          <w:tab w:val="clear" w:pos="720"/>
          <w:tab w:val="left" w:pos="1360" w:leader="none"/>
        </w:tabs>
        <w:spacing w:lineRule="exact" w:line="266"/>
        <w:ind w:hanging="280" w:start="1360" w:end="0"/>
        <w:rPr>
          <w:rFonts w:ascii="PMingLiU" w:hAnsi="PMingLiU" w:eastAsia="PMingLiU" w:cs="PMingLiU"/>
          <w:sz w:val="24"/>
        </w:rPr>
      </w:pPr>
      <w:r>
        <w:rPr>
          <w:rFonts w:eastAsia="Times New Roman" w:cs="Times New Roman" w:ascii="Times New Roman" w:hAnsi="Times New Roman"/>
          <w:sz w:val="24"/>
        </w:rPr>
        <w:t>Planned Unit Development Rider</w:t>
      </w:r>
      <w:r>
        <w:rPr>
          <w:rFonts w:eastAsia="PMingLiU" w:cs="PMingLiU" w:ascii="PMingLiU" w:hAnsi="PMingLiU"/>
          <w:sz w:val="24"/>
        </w:rPr>
        <w:t xml:space="preserve"> </w:t>
      </w:r>
      <w:r>
        <w:rPr>
          <w:rFonts w:eastAsia="Times New Roman" w:cs="Times New Roman" w:ascii="Times New Roman" w:hAnsi="Times New Roman"/>
          <w:sz w:val="24"/>
        </w:rPr>
        <w:t xml:space="preserve"> Other(s) [specify] _______________</w:t>
      </w:r>
    </w:p>
    <w:p>
      <w:pPr>
        <w:pStyle w:val="Normal"/>
        <w:spacing w:lineRule="exact" w:line="1"/>
        <w:rPr>
          <w:rFonts w:ascii="PMingLiU" w:hAnsi="PMingLiU" w:eastAsia="PMingLiU" w:cs="PMingLiU"/>
          <w:sz w:val="24"/>
        </w:rPr>
      </w:pPr>
      <w:r>
        <w:rPr>
          <w:rFonts w:eastAsia="PMingLiU" w:cs="PMingLiU" w:ascii="PMingLiU" w:hAnsi="PMingLiU"/>
          <w:sz w:val="24"/>
        </w:rPr>
      </w:r>
    </w:p>
    <w:p>
      <w:pPr>
        <w:pStyle w:val="Normal"/>
        <w:numPr>
          <w:ilvl w:val="0"/>
          <w:numId w:val="2"/>
        </w:numPr>
        <w:tabs>
          <w:tab w:val="clear" w:pos="720"/>
          <w:tab w:val="left" w:pos="1360" w:leader="none"/>
        </w:tabs>
        <w:spacing w:lineRule="exact" w:line="286"/>
        <w:ind w:hanging="280" w:start="1360" w:end="0"/>
        <w:rPr>
          <w:rFonts w:ascii="PMingLiU" w:hAnsi="PMingLiU" w:eastAsia="PMingLiU" w:cs="PMingLiU"/>
          <w:sz w:val="24"/>
        </w:rPr>
      </w:pPr>
      <w:r>
        <w:rPr>
          <w:rFonts w:eastAsia="Times New Roman" w:cs="Times New Roman" w:ascii="Times New Roman" w:hAnsi="Times New Roman"/>
          <w:sz w:val="24"/>
        </w:rPr>
        <w:t>1/-/4 Family Rider</w:t>
      </w:r>
      <w:r>
        <w:rPr>
          <w:rFonts w:eastAsia="PMingLiU" w:cs="PMingLiU" w:ascii="PMingLiU" w:hAnsi="PMingLiU"/>
          <w:sz w:val="24"/>
        </w:rPr>
        <w:t xml:space="preserve"> </w:t>
      </w:r>
      <w:r>
        <w:rPr>
          <w:rFonts w:eastAsia="Times New Roman" w:cs="Times New Roman" w:ascii="Times New Roman" w:hAnsi="Times New Roman"/>
          <w:sz w:val="24"/>
        </w:rPr>
        <w:t xml:space="preserve"> Biweekly Payment Rider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3"/>
        </w:numPr>
        <w:tabs>
          <w:tab w:val="clear" w:pos="720"/>
          <w:tab w:val="left" w:pos="1453" w:leader="none"/>
        </w:tabs>
        <w:spacing w:lineRule="auto" w:line="256"/>
        <w:ind w:firstLine="720" w:start="360" w:end="540"/>
        <w:rPr>
          <w:rFonts w:ascii="Times New Roman" w:hAnsi="Times New Roman" w:eastAsia="Times New Roman" w:cs="Times New Roman"/>
          <w:b/>
          <w:sz w:val="24"/>
        </w:rPr>
      </w:pPr>
      <w:r>
        <w:rPr>
          <w:rFonts w:eastAsia="Times New Roman" w:cs="Times New Roman" w:ascii="Times New Roman" w:hAnsi="Times New Roman"/>
          <w:b/>
          <w:sz w:val="24"/>
        </w:rPr>
        <w:t>“</w:t>
      </w:r>
      <w:r>
        <w:rPr>
          <w:rFonts w:eastAsia="Times New Roman" w:cs="Times New Roman" w:ascii="Times New Roman" w:hAnsi="Times New Roman"/>
          <w:b/>
          <w:sz w:val="24"/>
        </w:rPr>
        <w:t>Applicable Law”</w:t>
      </w:r>
      <w:r>
        <w:rPr>
          <w:rFonts w:eastAsia="Times New Roman" w:cs="Times New Roman" w:ascii="Times New Roman" w:hAnsi="Times New Roman"/>
          <w:sz w:val="24"/>
        </w:rPr>
        <w:t xml:space="preserve"> means all controlling applicable federal, state and local statutes, regulations, ordinances and administrative rules and orders (that have the effect of law) as well as all applicable final, non-appealable judicial opinions.</w:t>
      </w:r>
    </w:p>
    <w:p>
      <w:pPr>
        <w:pStyle w:val="Normal"/>
        <w:spacing w:lineRule="exact" w:line="21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3"/>
        </w:numPr>
        <w:tabs>
          <w:tab w:val="clear" w:pos="720"/>
          <w:tab w:val="left" w:pos="1480" w:leader="none"/>
        </w:tabs>
        <w:spacing w:lineRule="auto" w:line="273"/>
        <w:ind w:firstLine="720" w:start="360" w:end="680"/>
        <w:jc w:val="both"/>
        <w:rPr>
          <w:rFonts w:ascii="Times New Roman" w:hAnsi="Times New Roman" w:eastAsia="Times New Roman" w:cs="Times New Roman"/>
          <w:b/>
          <w:sz w:val="23"/>
        </w:rPr>
      </w:pPr>
      <w:r>
        <w:rPr>
          <w:rFonts w:eastAsia="Times New Roman" w:cs="Times New Roman" w:ascii="Times New Roman" w:hAnsi="Times New Roman"/>
          <w:b/>
          <w:sz w:val="23"/>
        </w:rPr>
        <w:t>“</w:t>
      </w:r>
      <w:r>
        <w:rPr>
          <w:rFonts w:eastAsia="Times New Roman" w:cs="Times New Roman" w:ascii="Times New Roman" w:hAnsi="Times New Roman"/>
          <w:b/>
          <w:sz w:val="23"/>
        </w:rPr>
        <w:t>Community Association Dues, Fees, and Assessments”</w:t>
      </w:r>
      <w:r>
        <w:rPr>
          <w:rFonts w:eastAsia="Times New Roman" w:cs="Times New Roman" w:ascii="Times New Roman" w:hAnsi="Times New Roman"/>
          <w:sz w:val="23"/>
        </w:rPr>
        <w:t xml:space="preserve"> means all dues, fees, assessments and other charges that are imposed on Borrower or the Property by a condominium association, homeowners association or similar organization.</w:t>
      </w:r>
    </w:p>
    <w:p>
      <w:pPr>
        <w:pStyle w:val="Normal"/>
        <w:spacing w:lineRule="exact" w:line="198"/>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numPr>
          <w:ilvl w:val="1"/>
          <w:numId w:val="3"/>
        </w:numPr>
        <w:tabs>
          <w:tab w:val="clear" w:pos="720"/>
          <w:tab w:val="left" w:pos="1547" w:leader="none"/>
        </w:tabs>
        <w:spacing w:lineRule="auto" w:line="244"/>
        <w:ind w:firstLine="720" w:start="360" w:end="360"/>
        <w:rPr>
          <w:rFonts w:ascii="Times New Roman" w:hAnsi="Times New Roman" w:eastAsia="Times New Roman" w:cs="Times New Roman"/>
          <w:b/>
          <w:sz w:val="24"/>
        </w:rPr>
      </w:pPr>
      <w:r>
        <w:rPr>
          <w:rFonts w:eastAsia="Times New Roman" w:cs="Times New Roman" w:ascii="Times New Roman" w:hAnsi="Times New Roman"/>
          <w:b/>
          <w:sz w:val="24"/>
        </w:rPr>
        <w:t>“</w:t>
      </w:r>
      <w:r>
        <w:rPr>
          <w:rFonts w:eastAsia="Times New Roman" w:cs="Times New Roman" w:ascii="Times New Roman" w:hAnsi="Times New Roman"/>
          <w:b/>
          <w:sz w:val="24"/>
        </w:rPr>
        <w:t>Electronic Funds Transfer”</w:t>
      </w:r>
      <w:r>
        <w:rPr>
          <w:rFonts w:eastAsia="Times New Roman" w:cs="Times New Roman" w:ascii="Times New Roman" w:hAnsi="Times New Roman"/>
          <w:sz w:val="24"/>
        </w:rPr>
        <w:t xml:space="preserve"> 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 wire transfers, and automated clearinghouse transfers.</w:t>
      </w:r>
    </w:p>
    <w:p>
      <w:pPr>
        <w:pStyle w:val="Normal"/>
        <w:spacing w:lineRule="exact" w:line="22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3"/>
        </w:numPr>
        <w:tabs>
          <w:tab w:val="clear" w:pos="720"/>
          <w:tab w:val="left" w:pos="1520" w:leader="none"/>
        </w:tabs>
        <w:spacing w:lineRule="atLeast" w:line="0"/>
        <w:ind w:hanging="440" w:start="1520" w:end="0"/>
        <w:rPr>
          <w:rFonts w:ascii="Times New Roman" w:hAnsi="Times New Roman" w:eastAsia="Times New Roman" w:cs="Times New Roman"/>
          <w:b/>
          <w:sz w:val="24"/>
        </w:rPr>
      </w:pPr>
      <w:r>
        <w:rPr>
          <w:rFonts w:eastAsia="Times New Roman" w:cs="Times New Roman" w:ascii="Times New Roman" w:hAnsi="Times New Roman"/>
          <w:b/>
          <w:sz w:val="24"/>
        </w:rPr>
        <w:t>“</w:t>
      </w:r>
      <w:r>
        <w:rPr>
          <w:rFonts w:eastAsia="Times New Roman" w:cs="Times New Roman" w:ascii="Times New Roman" w:hAnsi="Times New Roman"/>
          <w:b/>
          <w:sz w:val="24"/>
        </w:rPr>
        <w:t>Escrow Items”</w:t>
      </w:r>
      <w:r>
        <w:rPr>
          <w:rFonts w:eastAsia="Times New Roman" w:cs="Times New Roman" w:ascii="Times New Roman" w:hAnsi="Times New Roman"/>
          <w:sz w:val="24"/>
        </w:rPr>
        <w:t xml:space="preserve"> means those items that are described in Section 3.</w:t>
      </w:r>
    </w:p>
    <w:p>
      <w:pPr>
        <w:pStyle w:val="Normal"/>
        <w:spacing w:lineRule="exact" w:line="27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3"/>
        </w:numPr>
        <w:tabs>
          <w:tab w:val="clear" w:pos="720"/>
          <w:tab w:val="left" w:pos="1587" w:leader="none"/>
        </w:tabs>
        <w:spacing w:lineRule="auto" w:line="247"/>
        <w:ind w:firstLine="720" w:start="360" w:end="560"/>
        <w:jc w:val="both"/>
        <w:rPr>
          <w:rFonts w:ascii="Times New Roman" w:hAnsi="Times New Roman" w:eastAsia="Times New Roman" w:cs="Times New Roman"/>
          <w:b/>
          <w:sz w:val="24"/>
        </w:rPr>
      </w:pPr>
      <w:r>
        <w:rPr>
          <w:rFonts w:eastAsia="Times New Roman" w:cs="Times New Roman" w:ascii="Times New Roman" w:hAnsi="Times New Roman"/>
          <w:b/>
          <w:sz w:val="24"/>
        </w:rPr>
        <w:t>“</w:t>
      </w:r>
      <w:r>
        <w:rPr>
          <w:rFonts w:eastAsia="Times New Roman" w:cs="Times New Roman" w:ascii="Times New Roman" w:hAnsi="Times New Roman"/>
          <w:b/>
          <w:sz w:val="24"/>
        </w:rPr>
        <w:t>Miscellaneous Proceeds”</w:t>
      </w:r>
      <w:r>
        <w:rPr>
          <w:rFonts w:eastAsia="Times New Roman" w:cs="Times New Roman" w:ascii="Times New Roman" w:hAnsi="Times New Roman"/>
          <w:sz w:val="24"/>
        </w:rPr>
        <w:t xml:space="preserve"> means any compensation, settlement, award of damages, or proceeds paid by any third party (other than insurance proceeds paid under the coverages described in Section 5) for: (i) damage to, or destruction of, the Property;</w:t>
      </w:r>
    </w:p>
    <w:p>
      <w:pPr>
        <w:pStyle w:val="Normal"/>
        <w:spacing w:lineRule="exact" w:line="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4"/>
        </w:numPr>
        <w:tabs>
          <w:tab w:val="clear" w:pos="720"/>
          <w:tab w:val="left" w:pos="714" w:leader="none"/>
        </w:tabs>
        <w:spacing w:lineRule="auto" w:line="242"/>
        <w:ind w:start="360" w:end="600"/>
        <w:rPr>
          <w:rFonts w:ascii="Times New Roman" w:hAnsi="Times New Roman" w:eastAsia="Times New Roman" w:cs="Times New Roman"/>
          <w:sz w:val="24"/>
        </w:rPr>
      </w:pPr>
      <w:r>
        <w:rPr>
          <w:rFonts w:eastAsia="Times New Roman" w:cs="Times New Roman" w:ascii="Times New Roman" w:hAnsi="Times New Roman"/>
          <w:sz w:val="24"/>
        </w:rPr>
        <w:t>condemnation or other taking of all or any part of the Property; (iii) conveyance in lieu of condemnation; or (iv) misrepresentations of, or omissions as to, the value and/or condition of the Property.</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4"/>
        </w:numPr>
        <w:tabs>
          <w:tab w:val="clear" w:pos="720"/>
          <w:tab w:val="left" w:pos="1533" w:leader="none"/>
        </w:tabs>
        <w:spacing w:lineRule="auto" w:line="276"/>
        <w:ind w:firstLine="720" w:start="360" w:end="980"/>
        <w:rPr>
          <w:rFonts w:ascii="Times New Roman" w:hAnsi="Times New Roman" w:eastAsia="Times New Roman" w:cs="Times New Roman"/>
          <w:b/>
          <w:sz w:val="24"/>
        </w:rPr>
      </w:pPr>
      <w:r>
        <w:rPr>
          <w:rFonts w:eastAsia="Times New Roman" w:cs="Times New Roman" w:ascii="Times New Roman" w:hAnsi="Times New Roman"/>
          <w:b/>
          <w:sz w:val="24"/>
        </w:rPr>
        <w:t>“</w:t>
      </w:r>
      <w:r>
        <w:rPr>
          <w:rFonts w:eastAsia="Times New Roman" w:cs="Times New Roman" w:ascii="Times New Roman" w:hAnsi="Times New Roman"/>
          <w:b/>
          <w:sz w:val="24"/>
        </w:rPr>
        <w:t>Mortgage Insurance”</w:t>
      </w:r>
      <w:r>
        <w:rPr>
          <w:rFonts w:eastAsia="Times New Roman" w:cs="Times New Roman" w:ascii="Times New Roman" w:hAnsi="Times New Roman"/>
          <w:sz w:val="24"/>
        </w:rPr>
        <w:t xml:space="preserve"> means insurance protecting Lender against the nonpayment of, or default on, the Loan.</w:t>
      </w:r>
    </w:p>
    <w:p>
      <w:pPr>
        <w:pStyle w:val="Normal"/>
        <w:spacing w:lineRule="exact" w:line="19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4"/>
        </w:numPr>
        <w:tabs>
          <w:tab w:val="clear" w:pos="720"/>
          <w:tab w:val="left" w:pos="1547" w:leader="none"/>
        </w:tabs>
        <w:spacing w:lineRule="auto" w:line="256"/>
        <w:ind w:firstLine="720" w:start="360" w:end="960"/>
        <w:rPr>
          <w:rFonts w:ascii="Times New Roman" w:hAnsi="Times New Roman" w:eastAsia="Times New Roman" w:cs="Times New Roman"/>
          <w:b/>
          <w:sz w:val="24"/>
        </w:rPr>
      </w:pPr>
      <w:r>
        <w:rPr>
          <w:rFonts w:eastAsia="Times New Roman" w:cs="Times New Roman" w:ascii="Times New Roman" w:hAnsi="Times New Roman"/>
          <w:b/>
          <w:sz w:val="24"/>
        </w:rPr>
        <w:t>“</w:t>
      </w:r>
      <w:r>
        <w:rPr>
          <w:rFonts w:eastAsia="Times New Roman" w:cs="Times New Roman" w:ascii="Times New Roman" w:hAnsi="Times New Roman"/>
          <w:b/>
          <w:sz w:val="24"/>
        </w:rPr>
        <w:t>Periodic Payment”</w:t>
      </w:r>
      <w:r>
        <w:rPr>
          <w:rFonts w:eastAsia="Times New Roman" w:cs="Times New Roman" w:ascii="Times New Roman" w:hAnsi="Times New Roman"/>
          <w:sz w:val="24"/>
        </w:rPr>
        <w:t xml:space="preserve"> means the regularly scheduled amount due for (i) principal and interest under the Note, plus (ii) any amounts under Section 3 of this Security Instrument.</w:t>
      </w:r>
    </w:p>
    <w:p>
      <w:pPr>
        <w:pStyle w:val="Normal"/>
        <w:spacing w:lineRule="exact" w:line="21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4"/>
        </w:numPr>
        <w:tabs>
          <w:tab w:val="clear" w:pos="720"/>
          <w:tab w:val="left" w:pos="1507" w:leader="none"/>
        </w:tabs>
        <w:spacing w:lineRule="auto" w:line="244"/>
        <w:ind w:firstLine="720" w:start="360" w:end="380"/>
        <w:rPr>
          <w:rFonts w:ascii="Times New Roman" w:hAnsi="Times New Roman" w:eastAsia="Times New Roman" w:cs="Times New Roman"/>
          <w:b/>
          <w:sz w:val="24"/>
        </w:rPr>
      </w:pPr>
      <w:r>
        <w:rPr>
          <w:rFonts w:eastAsia="Times New Roman" w:cs="Times New Roman" w:ascii="Times New Roman" w:hAnsi="Times New Roman"/>
          <w:b/>
          <w:sz w:val="24"/>
        </w:rPr>
        <w:t>“</w:t>
      </w:r>
      <w:r>
        <w:rPr>
          <w:rFonts w:eastAsia="Times New Roman" w:cs="Times New Roman" w:ascii="Times New Roman" w:hAnsi="Times New Roman"/>
          <w:b/>
          <w:sz w:val="24"/>
        </w:rPr>
        <w:t>RESPA”</w:t>
      </w:r>
      <w:r>
        <w:rPr>
          <w:rFonts w:eastAsia="Times New Roman" w:cs="Times New Roman" w:ascii="Times New Roman" w:hAnsi="Times New Roman"/>
          <w:sz w:val="24"/>
        </w:rPr>
        <w:t xml:space="preserve"> means the Real Estate Settlement Procedures Act (12 U.S.C. § 2601 et seq.) and its implementing regulation, Regulation X (24 C.F.R. Part 3500), as they might be amended from time to time, or any additional or successor legislation or regulation that governs the same subject matter. As used in this Security Instrument, “RESPA” refers to all requirements and restrictions that are imposed in regard to a “federally related mortgage loan” even if the Loan does not qualify as a “federally related mortgage loan” under RESPA.</w:t>
      </w:r>
    </w:p>
    <w:p>
      <w:pPr>
        <w:sectPr>
          <w:type w:val="continuous"/>
          <w:pgSz w:w="12240" w:h="15840"/>
          <w:pgMar w:left="1440" w:right="1440" w:gutter="0" w:header="0" w:top="1420" w:footer="0" w:bottom="1440"/>
          <w:formProt w:val="false"/>
          <w:textDirection w:val="lrTb"/>
          <w:docGrid w:type="default" w:linePitch="360" w:charSpace="0"/>
        </w:sectPr>
      </w:pPr>
    </w:p>
    <w:p>
      <w:pPr>
        <w:pStyle w:val="Normal"/>
        <w:numPr>
          <w:ilvl w:val="0"/>
          <w:numId w:val="5"/>
        </w:numPr>
        <w:tabs>
          <w:tab w:val="clear" w:pos="720"/>
          <w:tab w:val="left" w:pos="1547" w:leader="none"/>
        </w:tabs>
        <w:spacing w:lineRule="auto" w:line="256"/>
        <w:ind w:firstLine="720" w:start="360" w:end="440"/>
        <w:rPr>
          <w:rFonts w:ascii="Times New Roman" w:hAnsi="Times New Roman" w:eastAsia="Times New Roman" w:cs="Times New Roman"/>
          <w:b/>
          <w:sz w:val="24"/>
        </w:rPr>
      </w:pPr>
      <w:bookmarkStart w:id="3" w:name="page3"/>
      <w:bookmarkEnd w:id="3"/>
      <w:r>
        <w:rPr>
          <w:rFonts w:eastAsia="Times New Roman" w:cs="Times New Roman" w:ascii="Times New Roman" w:hAnsi="Times New Roman"/>
          <w:b/>
          <w:sz w:val="24"/>
        </w:rPr>
        <w:t>“</w:t>
      </w:r>
      <w:r>
        <w:rPr>
          <w:rFonts w:eastAsia="Times New Roman" w:cs="Times New Roman" w:ascii="Times New Roman" w:hAnsi="Times New Roman"/>
          <w:b/>
          <w:sz w:val="24"/>
        </w:rPr>
        <w:t>Successor in Interest of Borrower”</w:t>
      </w:r>
      <w:r>
        <w:rPr>
          <w:rFonts w:eastAsia="Times New Roman" w:cs="Times New Roman" w:ascii="Times New Roman" w:hAnsi="Times New Roman"/>
          <w:sz w:val="24"/>
        </w:rPr>
        <w:t xml:space="preserve"> means any party that has taken title to the Property, whether or not that party has assumed Borrower’s obligations under the Note and/or this Security Instrument.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TRANSFER OF RIGHTS IN THE PROPERTY</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start="360" w:end="460"/>
        <w:rPr/>
      </w:pPr>
      <w:r>
        <w:rPr>
          <w:rFonts w:eastAsia="Times New Roman" w:cs="Times New Roman" w:ascii="Times New Roman" w:hAnsi="Times New Roman"/>
          <w:sz w:val="23"/>
        </w:rPr>
        <w:t>This Security Instrument secures to Lender: (i) the repayment of the Loan, and all renewals, extensions and modifications of the Note; and (ii) the performance of Borrower’s covenants and agreements under this Security Instrument and the Note. For this purpose, Borrower irrevocably grants and conveys to Trustee, in trust, with power of sale, the following described property located in the _______________________ [Type</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of Recording Jurisdiction] of __________________ [Name of Recording Jurisdiction]</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which currently has the address of ___________________________________________</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[Street] __________________ [City], California __________________ [Zip Code]</w:t>
      </w:r>
    </w:p>
    <w:p>
      <w:pPr>
        <w:pStyle w:val="Normal"/>
        <w:spacing w:lineRule="atLeast" w:line="0"/>
        <w:ind w:start="360" w:end="0"/>
        <w:rPr/>
      </w:pPr>
      <w:r>
        <w:rPr>
          <w:rFonts w:eastAsia="Times New Roman" w:cs="Times New Roman" w:ascii="Times New Roman" w:hAnsi="Times New Roman"/>
          <w:sz w:val="24"/>
        </w:rPr>
        <w:t>(“Property Address”):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720" w:start="360" w:end="760"/>
        <w:rPr/>
      </w:pPr>
      <w:r>
        <w:rPr>
          <w:rFonts w:eastAsia="Times New Roman" w:cs="Times New Roman" w:ascii="Times New Roman" w:hAnsi="Times New Roman"/>
          <w:sz w:val="24"/>
        </w:rPr>
        <w:t>TOGETHER WITH all the improvements now or hereafter erected on the property, and all easements, appurtenances, and fixtures now or hereafter a part of the property. All replacements and additions shall also be covered by this Security Instrument. All of the foregoing is referred to in this Security Instrument as the “Property.”</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720" w:start="360" w:end="380"/>
        <w:rPr>
          <w:rFonts w:ascii="Times New Roman" w:hAnsi="Times New Roman" w:eastAsia="Times New Roman" w:cs="Times New Roman"/>
          <w:sz w:val="24"/>
        </w:rPr>
      </w:pPr>
      <w:r>
        <w:rPr>
          <w:rFonts w:eastAsia="Times New Roman" w:cs="Times New Roman" w:ascii="Times New Roman" w:hAnsi="Times New Roman"/>
          <w:sz w:val="24"/>
        </w:rPr>
        <w:t>BORROWER COVENANTS that Borrower is lawfully seised of the estate hereby conveyed and has the right to grant and convey the Property and that the Property is unencumbered, except for encumbrances of record. Borrower warrants and will defend generally the title to the Property against all claims and demands, subject to any encumbrances of record.</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720" w:start="360" w:end="440"/>
        <w:jc w:val="both"/>
        <w:rPr>
          <w:rFonts w:ascii="Times New Roman" w:hAnsi="Times New Roman" w:eastAsia="Times New Roman" w:cs="Times New Roman"/>
          <w:sz w:val="24"/>
        </w:rPr>
      </w:pPr>
      <w:r>
        <w:rPr>
          <w:rFonts w:eastAsia="Times New Roman" w:cs="Times New Roman" w:ascii="Times New Roman" w:hAnsi="Times New Roman"/>
          <w:sz w:val="24"/>
        </w:rPr>
        <w:t>THIS SECURITY INSTRUMENT combines uniform covenants for national use and non-uniform covenants with limited variations by jurisdiction to constitute a uniform security instrument covering real property.</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UNIFORM COVENANTS. Borrower and Lender covenant and agree as follows:</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14" w:footer="0" w:bottom="1129"/>
          <w:pgNumType w:fmt="decimal"/>
          <w:formProt w:val="false"/>
          <w:textDirection w:val="lrTb"/>
          <w:docGrid w:type="default" w:linePitch="360" w:charSpace="0"/>
        </w:sectPr>
        <w:pStyle w:val="Normal"/>
        <w:numPr>
          <w:ilvl w:val="0"/>
          <w:numId w:val="6"/>
        </w:numPr>
        <w:tabs>
          <w:tab w:val="clear" w:pos="720"/>
          <w:tab w:val="left" w:pos="1380" w:leader="none"/>
        </w:tabs>
        <w:spacing w:lineRule="auto" w:line="242"/>
        <w:ind w:firstLine="720" w:start="360" w:end="460"/>
        <w:rPr>
          <w:rFonts w:ascii="Times New Roman" w:hAnsi="Times New Roman" w:eastAsia="Times New Roman" w:cs="Times New Roman"/>
          <w:b/>
          <w:sz w:val="24"/>
        </w:rPr>
      </w:pPr>
      <w:r>
        <w:rPr>
          <w:rFonts w:eastAsia="Times New Roman" w:cs="Times New Roman" w:ascii="Times New Roman" w:hAnsi="Times New Roman"/>
          <w:b/>
          <w:sz w:val="24"/>
        </w:rPr>
        <w:t>Payment of Principal, Interest, Escrow Items, Prepayment Charges, and Late Charges.</w:t>
      </w:r>
      <w:r>
        <w:rPr>
          <w:rFonts w:eastAsia="Times New Roman" w:cs="Times New Roman" w:ascii="Times New Roman" w:hAnsi="Times New Roman"/>
          <w:sz w:val="24"/>
        </w:rPr>
        <w:t xml:space="preserve"> Borrower shall pay when due the principal of, and interest on, the debt evidenced by the Note and any prepayment charges and late charges due under the Note. Borrower shall also pay funds for Escrow Items pursuant to Section 3. Payments due under the Note and this Security Instrument shall be made in U.S. currency. However, if 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 or cashier’s check, provided any such</w:t>
      </w:r>
    </w:p>
    <w:p>
      <w:pPr>
        <w:pStyle w:val="Normal"/>
        <w:spacing w:lineRule="auto" w:line="268"/>
        <w:ind w:start="360" w:end="1060"/>
        <w:rPr>
          <w:rFonts w:ascii="Times New Roman" w:hAnsi="Times New Roman" w:eastAsia="Times New Roman" w:cs="Times New Roman"/>
          <w:sz w:val="24"/>
        </w:rPr>
      </w:pPr>
      <w:bookmarkStart w:id="4" w:name="page4"/>
      <w:bookmarkEnd w:id="4"/>
      <w:r>
        <w:rPr>
          <w:rFonts w:eastAsia="Times New Roman" w:cs="Times New Roman" w:ascii="Times New Roman" w:hAnsi="Times New Roman"/>
          <w:sz w:val="24"/>
        </w:rPr>
        <w:t>check is drawn upon an institution whose deposits are insured by a federal agency, instrumentality, or entity; or (d) Electronic Funds Transfer.</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firstLine="720" w:start="360" w:end="420"/>
        <w:rPr>
          <w:rFonts w:ascii="Times New Roman" w:hAnsi="Times New Roman" w:eastAsia="Times New Roman" w:cs="Times New Roman"/>
          <w:sz w:val="23"/>
        </w:rPr>
      </w:pPr>
      <w:r>
        <w:rPr>
          <w:rFonts w:eastAsia="Times New Roman" w:cs="Times New Roman" w:ascii="Times New Roman" w:hAnsi="Times New Roman"/>
          <w:sz w:val="23"/>
        </w:rPr>
        <w:t>Payments are deemed received by Lender when received at the location designated in the Note or at such other location as may be designated by Lender in accordance with the notice provisions in Section 15. Lender may return any payment or partial payment if the payment or partial payments are insufficient to bring the Loan current. Lender may accept any payment or partial payment insufficient to bring the Loan current, without waiver of any rights hereunder or prejudice to its rights to refuse such payment or partial payments in the future, but Lender is not obligated to apply such payments at the time such payments are accepted. If each Periodic Payment is applied as of its scheduled due date, then Lender need not pay interest on unapplied funds. Lender may hold such unapplied funds until Borrower makes payment to bring the Loan current. If Borrower does not do so within a reasonable period of time, Lender shall either apply such funds or return them to Borrower. If not applied earlier, such funds will be applied to the outstanding principal balance under the Note immediately prior to foreclosure. No offset or claim which Borrower might have now or in the future against Lender shall relieve Borrower from making payments due under the Note and this Security Instrument or performing the covenants and agreements secured by this Security Instrument.</w:t>
      </w:r>
    </w:p>
    <w:p>
      <w:pPr>
        <w:pStyle w:val="Normal"/>
        <w:spacing w:lineRule="exact" w:line="225"/>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7"/>
        </w:numPr>
        <w:tabs>
          <w:tab w:val="clear" w:pos="720"/>
          <w:tab w:val="left" w:pos="1380" w:leader="none"/>
        </w:tabs>
        <w:spacing w:lineRule="auto" w:line="244"/>
        <w:ind w:firstLine="720" w:start="360" w:end="440"/>
        <w:rPr>
          <w:rFonts w:ascii="Times New Roman" w:hAnsi="Times New Roman" w:eastAsia="Times New Roman" w:cs="Times New Roman"/>
          <w:b/>
          <w:sz w:val="24"/>
        </w:rPr>
      </w:pPr>
      <w:r>
        <w:rPr>
          <w:rFonts w:eastAsia="Times New Roman" w:cs="Times New Roman" w:ascii="Times New Roman" w:hAnsi="Times New Roman"/>
          <w:b/>
          <w:sz w:val="24"/>
        </w:rPr>
        <w:t>Application of Payments or Proceeds.</w:t>
      </w:r>
      <w:r>
        <w:rPr>
          <w:rFonts w:eastAsia="Times New Roman" w:cs="Times New Roman" w:ascii="Times New Roman" w:hAnsi="Times New Roman"/>
          <w:sz w:val="24"/>
        </w:rPr>
        <w:t xml:space="preserve"> Except as otherwise described in this Section 2, all payments accepted and applied by Lender shall be applied in the following order of priority: (a) interest due under the Note; (b) principal due under the Note; (c) amounts due under Section 3. Such payments shall be applied to each Periodic Payment in the order in which it became due. Any remaining amounts shall be applied first to late charges, second to any other amounts due under this Security Instrument, and then to reduce the principal balance of the Note.</w:t>
      </w:r>
    </w:p>
    <w:p>
      <w:pPr>
        <w:pStyle w:val="Normal"/>
        <w:spacing w:lineRule="exact" w:line="24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2"/>
        <w:ind w:firstLine="720" w:start="360" w:end="360"/>
        <w:rPr>
          <w:rFonts w:ascii="Times New Roman" w:hAnsi="Times New Roman" w:eastAsia="Times New Roman" w:cs="Times New Roman"/>
          <w:sz w:val="24"/>
        </w:rPr>
      </w:pPr>
      <w:r>
        <w:rPr>
          <w:rFonts w:eastAsia="Times New Roman" w:cs="Times New Roman" w:ascii="Times New Roman" w:hAnsi="Times New Roman"/>
          <w:sz w:val="24"/>
        </w:rPr>
        <w:t>If Lender receives a payment from Borrower for a delinquent Periodic Payment which includes a sufficient amount to pay any late charge due, the payment may be applied to the delinquent payment and the late charge. If more than one Periodic Payment is outstanding, Lender may apply any payment received from Borrower to the repayment of the Periodic Payments if, and to the extent that, each payment can be paid in full. To the extent that any excess exists after the payment is applied to the full payment of one or more Periodic Payments, such excess may be applied to any late charges due. Voluntary prepayments shall be applied first to any prepayment charges and then as described in the Note.</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720" w:start="360" w:end="600"/>
        <w:rPr>
          <w:rFonts w:ascii="Times New Roman" w:hAnsi="Times New Roman" w:eastAsia="Times New Roman" w:cs="Times New Roman"/>
          <w:sz w:val="24"/>
        </w:rPr>
      </w:pPr>
      <w:r>
        <w:rPr>
          <w:rFonts w:eastAsia="Times New Roman" w:cs="Times New Roman" w:ascii="Times New Roman" w:hAnsi="Times New Roman"/>
          <w:sz w:val="24"/>
        </w:rPr>
        <w:t>Any application of payments, insurance proceeds, or Miscellaneous Proceeds to principal due under the Note shall not extend or postpone the due date, or change the amount, of the Periodic Payments.</w:t>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20" w:footer="0" w:bottom="1111"/>
          <w:pgNumType w:fmt="decimal"/>
          <w:formProt w:val="false"/>
          <w:textDirection w:val="lrTb"/>
          <w:docGrid w:type="default" w:linePitch="360" w:charSpace="0"/>
        </w:sectPr>
        <w:pStyle w:val="Normal"/>
        <w:numPr>
          <w:ilvl w:val="0"/>
          <w:numId w:val="8"/>
        </w:numPr>
        <w:tabs>
          <w:tab w:val="clear" w:pos="720"/>
          <w:tab w:val="left" w:pos="1380" w:leader="none"/>
        </w:tabs>
        <w:spacing w:lineRule="auto" w:line="252"/>
        <w:ind w:firstLine="720" w:start="360" w:end="380"/>
        <w:rPr>
          <w:rFonts w:ascii="Times New Roman" w:hAnsi="Times New Roman" w:eastAsia="Times New Roman" w:cs="Times New Roman"/>
          <w:b/>
          <w:sz w:val="24"/>
        </w:rPr>
      </w:pPr>
      <w:r>
        <w:rPr>
          <w:rFonts w:eastAsia="Times New Roman" w:cs="Times New Roman" w:ascii="Times New Roman" w:hAnsi="Times New Roman"/>
          <w:b/>
          <w:sz w:val="24"/>
        </w:rPr>
        <w:t>Funds for Escrow Items.</w:t>
      </w:r>
      <w:r>
        <w:rPr>
          <w:rFonts w:eastAsia="Times New Roman" w:cs="Times New Roman" w:ascii="Times New Roman" w:hAnsi="Times New Roman"/>
          <w:sz w:val="24"/>
        </w:rPr>
        <w:t xml:space="preserve"> Borrower shall pay to Lender on the day Periodic Payments are due under the Note, until the Note is paid in full, a sum (the “Funds”) to provide for payment of amounts due for: (a) taxes and assessments and other items which can attain priority over this Security Instrument as a lien or encumbrance on the Property;</w:t>
      </w:r>
    </w:p>
    <w:p>
      <w:pPr>
        <w:pStyle w:val="Normal"/>
        <w:numPr>
          <w:ilvl w:val="0"/>
          <w:numId w:val="9"/>
        </w:numPr>
        <w:tabs>
          <w:tab w:val="clear" w:pos="720"/>
          <w:tab w:val="left" w:pos="700" w:leader="none"/>
        </w:tabs>
        <w:spacing w:lineRule="auto" w:line="240"/>
        <w:ind w:start="360" w:end="360"/>
        <w:rPr>
          <w:rFonts w:ascii="Times New Roman" w:hAnsi="Times New Roman" w:eastAsia="Times New Roman" w:cs="Times New Roman"/>
          <w:sz w:val="24"/>
        </w:rPr>
      </w:pPr>
      <w:bookmarkStart w:id="5" w:name="page5"/>
      <w:bookmarkEnd w:id="5"/>
      <w:r>
        <w:rPr>
          <w:rFonts w:eastAsia="Times New Roman" w:cs="Times New Roman" w:ascii="Times New Roman" w:hAnsi="Times New Roman"/>
          <w:sz w:val="24"/>
        </w:rPr>
        <w:t>leasehold payments or ground rents on the Property, if any; (c) premiums for any and all insurance required by Lender under Section 5; and (d) Mortgage Insurance premiums, if any, or any sums payable by Borrower to Lender in lieu of the payment of Mortgage Insurance premiums in accordance with the provisions of Section 10. These items are called “Escrow Items.” At origination or at any time during the term of the Loan, Lender may require that Community Association Dues, Fees, and Assessments, if any, be escrowed by Borrower, and such dues, fees and assessments shall be an Escrow Item. Borrower shall promptly furnish to Lender all notices of amounts to be paid under this Section. Borrower shall pay Lender the Funds for Escrow Items unless Lender waives Borrower’s obligation to pay the Funds for any or all Escrow Items. Lender may waive Borrower’s obligation to pay to Lender Funds for any or all Escrow Items at any time. Any such waiver may only be in writing. In the event of such waiver, Borrower shall pay directly, when and where payable, the amounts due for any Escrow Items for which payment of Funds has been waived by Lender and, if Lender requires, shall furnish to Lender receipts evidencing such payment within such time period as Lender may require. Borrower’s obligation to make such payments and to provide receipts shall for all purposes be deemed to be a covenant and agreement contained in this Security Instrument, as the phrase “covenant and agreement” is used in Section 9. If Borrower is obligated to pay Escrow Items directly, pursuant to a waiver, and Borrower fails to pay the amount due for an Escrow Item, Lender may exercise its rights under Section 9 and pay such amount and Borrower shall then be obligated under Section 9 to repay to Lender any such amount. Lender may revoke the waiver as to any or all Escrow Items at any time by a notice given in accordance with Section 15 and, upon such revocation, Borrower shall pay to Lender all Funds, and in such amounts, that are then required under this Section 3.</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720" w:start="360" w:end="560"/>
        <w:rPr>
          <w:rFonts w:ascii="Times New Roman" w:hAnsi="Times New Roman" w:eastAsia="Times New Roman" w:cs="Times New Roman"/>
          <w:sz w:val="24"/>
        </w:rPr>
      </w:pPr>
      <w:r>
        <w:rPr>
          <w:rFonts w:eastAsia="Times New Roman" w:cs="Times New Roman" w:ascii="Times New Roman" w:hAnsi="Times New Roman"/>
          <w:sz w:val="24"/>
        </w:rPr>
        <w:t>Lender may, at any time, collect and hold Funds in an amount (a) sufficient to permit Lender to apply the Funds at the time specified under RESPA, and (b) not to exceed the maximum amount a lender can require under RESPA. Lender shall estimate the amount of Funds due on the basis of current data and reasonable estimates of expenditures of future Escrow Items or otherwise in accordance with Applicable Law.</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20" w:footer="0" w:bottom="1440"/>
          <w:pgNumType w:fmt="decimal"/>
          <w:formProt w:val="false"/>
          <w:textDirection w:val="lrTb"/>
          <w:docGrid w:type="default" w:linePitch="360" w:charSpace="0"/>
        </w:sectPr>
        <w:pStyle w:val="Normal"/>
        <w:spacing w:lineRule="auto" w:line="240"/>
        <w:ind w:firstLine="720" w:start="360" w:end="360"/>
        <w:rPr>
          <w:rFonts w:ascii="Times New Roman" w:hAnsi="Times New Roman" w:eastAsia="Times New Roman" w:cs="Times New Roman"/>
          <w:sz w:val="24"/>
        </w:rPr>
      </w:pPr>
      <w:r>
        <w:rPr>
          <w:rFonts w:eastAsia="Times New Roman" w:cs="Times New Roman" w:ascii="Times New Roman" w:hAnsi="Times New Roman"/>
          <w:sz w:val="24"/>
        </w:rPr>
        <w:t>The Funds shall be held in an institution whose deposits are insured by a federal agency, instrumentality, or entity (including Lender, if Lender is an institution whose deposits are so insured) or in any Federal Home Loan Bank. Lender shall apply the Funds to pay the Escrow Items no later than the time specified under RESPA. Lender shall not charge Borrower for holding and applying the Funds, annually analyzing the escrow account, or verifying the Escrow Items, unless Lender pays Borrower interest on the Funds and Applicable Law permits Lender to make such a charge. Unless an agreement is made in writing or Applicable Law requires interest to be paid on the Funds, Lender shall not be required to pay Borrower any interest or earnings on the Funds. Borrower and Lender can agree in writing, however, that interest shall be paid on the Funds. Lender shall give to Borrower, without charge, an annual accounting of the Funds as required by RESPA.</w:t>
      </w:r>
    </w:p>
    <w:p>
      <w:pPr>
        <w:pStyle w:val="Normal"/>
        <w:spacing w:lineRule="auto" w:line="242"/>
        <w:ind w:firstLine="720" w:start="360" w:end="380"/>
        <w:rPr>
          <w:rFonts w:ascii="Times New Roman" w:hAnsi="Times New Roman" w:eastAsia="Times New Roman" w:cs="Times New Roman"/>
          <w:sz w:val="24"/>
        </w:rPr>
      </w:pPr>
      <w:bookmarkStart w:id="6" w:name="page6"/>
      <w:bookmarkEnd w:id="6"/>
      <w:r>
        <w:rPr>
          <w:rFonts w:eastAsia="Times New Roman" w:cs="Times New Roman" w:ascii="Times New Roman" w:hAnsi="Times New Roman"/>
          <w:sz w:val="24"/>
        </w:rPr>
        <w:t>If there is a surplus of Funds held in escrow, as defined under RESPA, Lender shall account to Borrower for the excess funds in accordance with RESPA. If there is a shortage of Funds held in escrow, as defined under RESPA, Lender shall notify Borrower as required by RESPA, and Borrower shall pay to Lender the amount necessary to make up the shortage in accordance with RESPA, but in no more than 12 monthly payments. If there is a deficiency of Funds held in escrow, as defined under RESPA, Lender shall notify Borrower as required by RESPA, and Borrower shall pay to Lender the amount necessary to make up the deficiency in accordance with RESPA, but in no more than 12 monthly payments.</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firstLine="720" w:start="360" w:end="840"/>
        <w:rPr>
          <w:rFonts w:ascii="Times New Roman" w:hAnsi="Times New Roman" w:eastAsia="Times New Roman" w:cs="Times New Roman"/>
          <w:sz w:val="24"/>
        </w:rPr>
      </w:pPr>
      <w:r>
        <w:rPr>
          <w:rFonts w:eastAsia="Times New Roman" w:cs="Times New Roman" w:ascii="Times New Roman" w:hAnsi="Times New Roman"/>
          <w:sz w:val="24"/>
        </w:rPr>
        <w:t>Upon payment in full of all sums secured by this Security Instrument, Lender shall promptly refund to Borrower any Funds held by Lender.</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0"/>
        </w:numPr>
        <w:tabs>
          <w:tab w:val="clear" w:pos="720"/>
          <w:tab w:val="left" w:pos="1380" w:leader="none"/>
        </w:tabs>
        <w:spacing w:lineRule="auto" w:line="247"/>
        <w:ind w:firstLine="720" w:start="360" w:end="360"/>
        <w:rPr>
          <w:rFonts w:ascii="Times New Roman" w:hAnsi="Times New Roman" w:eastAsia="Times New Roman" w:cs="Times New Roman"/>
          <w:b/>
          <w:sz w:val="24"/>
        </w:rPr>
      </w:pPr>
      <w:r>
        <w:rPr>
          <w:rFonts w:eastAsia="Times New Roman" w:cs="Times New Roman" w:ascii="Times New Roman" w:hAnsi="Times New Roman"/>
          <w:b/>
          <w:sz w:val="24"/>
        </w:rPr>
        <w:t>Charges; Liens.</w:t>
      </w:r>
      <w:r>
        <w:rPr>
          <w:rFonts w:eastAsia="Times New Roman" w:cs="Times New Roman" w:ascii="Times New Roman" w:hAnsi="Times New Roman"/>
          <w:sz w:val="24"/>
        </w:rPr>
        <w:t xml:space="preserve"> Borrower shall pay all taxes, assessments, charges, fines, and impositions attributable to the Property which can attain priority over this Security Instrument, leasehold payments or ground rents on the Property, if any, and Community Association Dues, Fees, and Assessments, if any. To the extent that these items are Escrow Items, Borrower shall pay them in the manner provided in Section 3.</w:t>
      </w:r>
    </w:p>
    <w:p>
      <w:pPr>
        <w:pStyle w:val="Normal"/>
        <w:spacing w:lineRule="exact" w:line="2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0"/>
        <w:ind w:firstLine="720" w:start="360" w:end="420"/>
        <w:rPr/>
      </w:pPr>
      <w:r>
        <w:rPr>
          <w:rFonts w:eastAsia="Times New Roman" w:cs="Times New Roman" w:ascii="Times New Roman" w:hAnsi="Times New Roman"/>
          <w:sz w:val="24"/>
        </w:rPr>
        <w:t>Borrower shall promptly discharge any lien which has priority over this Security Instrument unless Borrower: (a) agrees in writing to the payment of the obligation secured by the lien in a manner acceptable to Lender, but only so long as Borrower is performing such agreement; (b) contests the lien in good faith by, or defends against enforcement of the lien in, legal proceedings which in Lender’s opinion operate to prevent the enforcement of the lien while those proceedings are pending, but only until such proceedings are concluded; or (c) secures from the holder of the lien an agreement satisfactory to Lender subordinating the lien to this Security Instrument. If Lender determines that any part of the Property is subject to a lien which can attain priority over this Security Instrument, Lender may give Borrower a notice identifying the lien. Within 10 days of the date on which that notice is given, Borrower shall satisfy the lien or take one or more of the actions set forth above in this Section 4.</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firstLine="720" w:start="360" w:end="1080"/>
        <w:jc w:val="both"/>
        <w:rPr>
          <w:rFonts w:ascii="Times New Roman" w:hAnsi="Times New Roman" w:eastAsia="Times New Roman" w:cs="Times New Roman"/>
          <w:sz w:val="24"/>
        </w:rPr>
      </w:pPr>
      <w:r>
        <w:rPr>
          <w:rFonts w:eastAsia="Times New Roman" w:cs="Times New Roman" w:ascii="Times New Roman" w:hAnsi="Times New Roman"/>
          <w:sz w:val="24"/>
        </w:rPr>
        <w:t>Lender may require Borrower to pay a one-time charge for a real estate tax verification and/or reporting service used by Lender in connection with this Loan.</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20" w:footer="0" w:bottom="1128"/>
          <w:pgNumType w:fmt="decimal"/>
          <w:formProt w:val="false"/>
          <w:textDirection w:val="lrTb"/>
          <w:docGrid w:type="default" w:linePitch="360" w:charSpace="0"/>
        </w:sectPr>
        <w:pStyle w:val="Normal"/>
        <w:numPr>
          <w:ilvl w:val="0"/>
          <w:numId w:val="11"/>
        </w:numPr>
        <w:tabs>
          <w:tab w:val="clear" w:pos="720"/>
          <w:tab w:val="left" w:pos="1380" w:leader="none"/>
        </w:tabs>
        <w:spacing w:lineRule="auto" w:line="242"/>
        <w:ind w:firstLine="720" w:start="360" w:end="360"/>
        <w:rPr>
          <w:rFonts w:ascii="Times New Roman" w:hAnsi="Times New Roman" w:eastAsia="Times New Roman" w:cs="Times New Roman"/>
          <w:b/>
          <w:sz w:val="24"/>
        </w:rPr>
      </w:pPr>
      <w:r>
        <w:rPr>
          <w:rFonts w:eastAsia="Times New Roman" w:cs="Times New Roman" w:ascii="Times New Roman" w:hAnsi="Times New Roman"/>
          <w:b/>
          <w:sz w:val="24"/>
        </w:rPr>
        <w:t>Property Insurance.</w:t>
      </w:r>
      <w:r>
        <w:rPr>
          <w:rFonts w:eastAsia="Times New Roman" w:cs="Times New Roman" w:ascii="Times New Roman" w:hAnsi="Times New Roman"/>
          <w:sz w:val="24"/>
        </w:rPr>
        <w:t xml:space="preserve"> Borrower shall keep the improvements now existing or hereafter erected on the Property insured against loss by fire, hazards included within the term “extended coverage,” and any other hazards including, but not limited to, earthquakes and floods, for which Lender requires insurance. This insurance shall be maintained in the amounts (including deductible levels) and for the periods that Lender requires. What Lender requires pursuant to the preceding sentences can change during the term of the Loan. The insurance carrier providing the insurance shall be chosen by Borrower subject to Lender’s right to disapprove Borrower’s choice, which right shall not be exercised unreasonably. Lender may require Borrower to pay, in connection with this Loan, either: (a) a one-time charge for flood zone determination, certification and tracking services; or (b) a one-time charge for flood zone determination and certification</w:t>
      </w:r>
    </w:p>
    <w:p>
      <w:pPr>
        <w:pStyle w:val="Normal"/>
        <w:spacing w:lineRule="auto" w:line="244"/>
        <w:ind w:start="360" w:end="440"/>
        <w:rPr>
          <w:rFonts w:ascii="Times New Roman" w:hAnsi="Times New Roman" w:eastAsia="Times New Roman" w:cs="Times New Roman"/>
          <w:sz w:val="24"/>
        </w:rPr>
      </w:pPr>
      <w:bookmarkStart w:id="7" w:name="page7"/>
      <w:bookmarkEnd w:id="7"/>
      <w:r>
        <w:rPr>
          <w:rFonts w:eastAsia="Times New Roman" w:cs="Times New Roman" w:ascii="Times New Roman" w:hAnsi="Times New Roman"/>
          <w:sz w:val="24"/>
        </w:rPr>
        <w:t>services and subsequent charges each time remappings or similar changes occur which reasonably might affect such determination or certification. Borrower shall also be responsible for the payment of any fees imposed by the Federal Emergency Management Agency in connection with the review of any flood zone determination resulting from an objection by Borrower.</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720" w:start="360" w:end="420"/>
        <w:rPr/>
      </w:pPr>
      <w:r>
        <w:rPr>
          <w:rFonts w:eastAsia="Times New Roman" w:cs="Times New Roman" w:ascii="Times New Roman" w:hAnsi="Times New Roman"/>
          <w:sz w:val="24"/>
        </w:rPr>
        <w:t>If Borrower fails to maintain any of the coverages described above, Lender may obtain insurance coverage, at Lender’s option and Borrower’s expense. Lender is under no obligation to purchase any particular type or amount of coverage. Therefore, such coverage shall cover Lender, but might or might not protect Borrower, Borrower’s equity in the Property, or the contents of the Property, against any risk, hazard or liability and might provide greater or lesser coverage than was previously in effect. Borrower acknowledges that the cost of the insurance coverage so obtained might significantly exceed the cost of insurance that Borrower could have obtained. Any amounts disbursed by Lender under this Section 5 shall become additional debt of Borrower secured by this Security Instrument. These amounts shall bear interest at the Note rate from the date of disbursement and shall be payable, with such interest, upon notice from Lender to Borrower requesting payment.</w:t>
      </w:r>
    </w:p>
    <w:p>
      <w:pPr>
        <w:pStyle w:val="Normal"/>
        <w:spacing w:lineRule="exact" w:line="2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720" w:start="360" w:end="440"/>
        <w:rPr/>
      </w:pPr>
      <w:r>
        <w:rPr>
          <w:rFonts w:eastAsia="Times New Roman" w:cs="Times New Roman" w:ascii="Times New Roman" w:hAnsi="Times New Roman"/>
          <w:sz w:val="24"/>
        </w:rPr>
        <w:t>All insurance policies required by Lender and renewals of such policies shall be subject to Lender’s right to disapprove such policies, shall include a standard mortgage clause, and shall name Lender as mortgagee and/or as an additional loss payee and Borrower further agrees to generally assign rights to insurance proceeds to the holder of the Note up to the amount of the outstanding loan balance. Lender shall have the right to hold the policies and renewal certificates. If Lender requires, Borrower shall promptly give to Lender all receipts of paid premiums and renewal notices. If Borrower obtains any form of insurance coverage, not otherwise required by Lender, for damage to, or destruction of, the Property, such policy shall include a standard mortgage clause and shall name Lender as mortgagee and/or as an additional loss payee and Borrower further agrees to generally assign rights to insurance proceeds to the holder of the Note up to the amount of the outstanding loan balance.</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20" w:footer="0" w:bottom="1128"/>
          <w:pgNumType w:fmt="decimal"/>
          <w:formProt w:val="false"/>
          <w:textDirection w:val="lrTb"/>
          <w:docGrid w:type="default" w:linePitch="360" w:charSpace="0"/>
        </w:sectPr>
        <w:pStyle w:val="Normal"/>
        <w:spacing w:lineRule="auto" w:line="240"/>
        <w:ind w:firstLine="720" w:start="360" w:end="360"/>
        <w:rPr/>
      </w:pPr>
      <w:r>
        <w:rPr>
          <w:rFonts w:eastAsia="Times New Roman" w:cs="Times New Roman" w:ascii="Times New Roman" w:hAnsi="Times New Roman"/>
          <w:sz w:val="24"/>
        </w:rPr>
        <w:t>In the event of loss, Borrower shall give prompt notice to the insurance carrier and Lender. Lender may make proof of loss if not made promptly by Borrower. Unless Lender and Borrower otherwise agree in writing, any insurance proceeds, whether or not the underlying insurance was required by Lender, shall be applied to restoration or repair of the Property, if the restoration or repair is economically feasible and Lender’s security is not lessened. During such repair and restoration period, Lender shall have the right to hold such insurance proceeds until Lender has had an opportunity to inspect such Property to ensure the work has been completed to Lender’s satisfaction, provided that such inspection shall be undertaken promptly. Lender may disburse proceeds for the repairs and restoration in a single payment or in a series of progress payments as the work is completed. Unless an agreement is made in writing or Applicable Law requires interest to be paid on such insurance proceeds, Lender shall not be required to pay Borrower any interest or earnings on such proceeds. Fees for public adjusters, or other third parties, retained by Borrower shall not be paid out of the insurance proceeds and</w:t>
      </w:r>
    </w:p>
    <w:p>
      <w:pPr>
        <w:pStyle w:val="Normal"/>
        <w:spacing w:lineRule="auto" w:line="244"/>
        <w:ind w:start="360" w:end="400"/>
        <w:rPr/>
      </w:pPr>
      <w:bookmarkStart w:id="8" w:name="page8"/>
      <w:bookmarkEnd w:id="8"/>
      <w:r>
        <w:rPr>
          <w:rFonts w:eastAsia="Times New Roman" w:cs="Times New Roman" w:ascii="Times New Roman" w:hAnsi="Times New Roman"/>
          <w:sz w:val="24"/>
        </w:rPr>
        <w:t>shall be the sole obligation of Borrower. If the restoration or repair is not economically feasible or Lender’s security would be lessened, the insurance proceeds shall be applied to the sums secured by this Security Instrument, whether or not then due, with the excess, if any, paid to Borrower. Such insurance proceeds shall be applied in the order provided for in Section 2.</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720" w:start="360" w:end="380"/>
        <w:rPr/>
      </w:pPr>
      <w:r>
        <w:rPr>
          <w:rFonts w:eastAsia="Times New Roman" w:cs="Times New Roman" w:ascii="Times New Roman" w:hAnsi="Times New Roman"/>
          <w:sz w:val="24"/>
        </w:rPr>
        <w:t>If Borrower abandons the Property, Lender may file, negotiate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22 or otherwise, Borrower hereby assigns to Lender (a) Borrower’s rights to any insurance proceeds in an amount not to exceed the amounts unpaid under the Note or this Security Instrument, and (b) any other of Borrower’s rights (other than the right to any refund of unearned premiums paid by Borrower) under all insurance policies covering the Property, insofar as such rights are applicable to the coverage of the Property. Lender may use the insurance proceeds either to repair or restore the Property or to pay amounts unpaid under the Note or this Security Instrument, whether or not then due.</w:t>
      </w:r>
    </w:p>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2"/>
        </w:numPr>
        <w:tabs>
          <w:tab w:val="clear" w:pos="720"/>
          <w:tab w:val="left" w:pos="1380" w:leader="none"/>
        </w:tabs>
        <w:spacing w:lineRule="auto" w:line="244"/>
        <w:ind w:firstLine="720" w:start="360" w:end="620"/>
        <w:rPr>
          <w:rFonts w:ascii="Times New Roman" w:hAnsi="Times New Roman" w:eastAsia="Times New Roman" w:cs="Times New Roman"/>
          <w:b/>
          <w:sz w:val="24"/>
        </w:rPr>
      </w:pPr>
      <w:r>
        <w:rPr>
          <w:rFonts w:eastAsia="Times New Roman" w:cs="Times New Roman" w:ascii="Times New Roman" w:hAnsi="Times New Roman"/>
          <w:b/>
          <w:sz w:val="24"/>
        </w:rPr>
        <w:t>Occupancy.</w:t>
      </w:r>
      <w:r>
        <w:rPr>
          <w:rFonts w:eastAsia="Times New Roman" w:cs="Times New Roman" w:ascii="Times New Roman" w:hAnsi="Times New Roman"/>
          <w:sz w:val="24"/>
        </w:rPr>
        <w:t xml:space="preserve"> Borrower shall occupy, establish, and use the Property as Borrower’s principal residence within 60 days after the execution of this Security Instrument and shall continue to occupy the Property as Borrower’s principal residence for at least one year after the date of occupancy, unless Lender otherwise agrees in writing, which consent shall not be unreasonably withheld, or unless extenuating circumstances exist which are beyond Borrower’s control.</w:t>
      </w:r>
    </w:p>
    <w:p>
      <w:pPr>
        <w:pStyle w:val="Normal"/>
        <w:spacing w:lineRule="exact" w:line="22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2"/>
        </w:numPr>
        <w:tabs>
          <w:tab w:val="clear" w:pos="720"/>
          <w:tab w:val="left" w:pos="1380" w:leader="none"/>
        </w:tabs>
        <w:spacing w:lineRule="auto" w:line="240"/>
        <w:ind w:firstLine="720" w:start="360" w:end="420"/>
        <w:rPr>
          <w:rFonts w:ascii="Times New Roman" w:hAnsi="Times New Roman" w:eastAsia="Times New Roman" w:cs="Times New Roman"/>
          <w:b/>
          <w:sz w:val="24"/>
        </w:rPr>
      </w:pPr>
      <w:r>
        <w:rPr>
          <w:rFonts w:eastAsia="Times New Roman" w:cs="Times New Roman" w:ascii="Times New Roman" w:hAnsi="Times New Roman"/>
          <w:b/>
          <w:sz w:val="24"/>
        </w:rPr>
        <w:t xml:space="preserve">Preservation, Maintenance and Protection of the Property; Inspections. </w:t>
      </w:r>
      <w:r>
        <w:rPr>
          <w:rFonts w:eastAsia="Times New Roman" w:cs="Times New Roman" w:ascii="Times New Roman" w:hAnsi="Times New Roman"/>
          <w:sz w:val="24"/>
        </w:rPr>
        <w:t>Borrower shall not destroy, damage or impair the Property, allow the Property to deteriorate or commit waste on the Property. Whether or not Borrower is residing in the Property, Borrower shall maintain the Property in order to prevent the Property from deteriorating or decreasing in value due to its condition. Unless it is determined pursuant to Section 5 that repair or restoration is not economically feasible, Borrower shall promptly repair the Property if damaged to avoid further deterioration or damage. If insurance or condemnation proceeds are paid in connection with damage to, or the taking of, the Property, Borrower shall be responsible for repairing or restoring the Property only if Lender has released proceeds for such purposes. Lender may disburse proceeds for the repairs and restoration in a single payment or in a series of progress payments as the work is completed. If the insurance or condemnation proceeds are not sufficient to repair or restore the Property, Borrower is not relieved of Borrower’s obligation for the completion of such repair or restoration.</w:t>
      </w:r>
    </w:p>
    <w:p>
      <w:pPr>
        <w:pStyle w:val="Normal"/>
        <w:spacing w:lineRule="exact" w:line="248"/>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2240" w:h="15840"/>
          <w:pgMar w:left="1440" w:right="1440" w:gutter="0" w:header="0" w:top="1420" w:footer="0" w:bottom="1440"/>
          <w:pgNumType w:fmt="decimal"/>
          <w:formProt w:val="false"/>
          <w:textDirection w:val="lrTb"/>
          <w:docGrid w:type="default" w:linePitch="360" w:charSpace="0"/>
        </w:sectPr>
        <w:pStyle w:val="Normal"/>
        <w:spacing w:lineRule="auto" w:line="249"/>
        <w:ind w:firstLine="720" w:start="360" w:end="400"/>
        <w:rPr>
          <w:rFonts w:ascii="Times New Roman" w:hAnsi="Times New Roman" w:eastAsia="Times New Roman" w:cs="Times New Roman"/>
          <w:sz w:val="24"/>
        </w:rPr>
      </w:pPr>
      <w:r>
        <w:rPr>
          <w:rFonts w:eastAsia="Times New Roman" w:cs="Times New Roman" w:ascii="Times New Roman" w:hAnsi="Times New Roman"/>
          <w:sz w:val="24"/>
        </w:rPr>
        <w:t>Lender or its agent may make reasonable entries upon and inspections of the Property. If it has reasonable cause, Lender may inspect the interior of the improvements on the Property. Lender shall give Borrower notice at the time of or prior to such an interior inspection specifying such reasonable cause.</w:t>
      </w:r>
    </w:p>
    <w:p>
      <w:pPr>
        <w:pStyle w:val="Normal"/>
        <w:numPr>
          <w:ilvl w:val="0"/>
          <w:numId w:val="13"/>
        </w:numPr>
        <w:tabs>
          <w:tab w:val="clear" w:pos="720"/>
          <w:tab w:val="left" w:pos="1380" w:leader="none"/>
        </w:tabs>
        <w:spacing w:lineRule="auto" w:line="244"/>
        <w:ind w:firstLine="720" w:start="360" w:end="440"/>
        <w:rPr>
          <w:rFonts w:ascii="Times New Roman" w:hAnsi="Times New Roman" w:eastAsia="Times New Roman" w:cs="Times New Roman"/>
          <w:b/>
          <w:sz w:val="24"/>
        </w:rPr>
      </w:pPr>
      <w:bookmarkStart w:id="9" w:name="page9"/>
      <w:bookmarkEnd w:id="9"/>
      <w:r>
        <w:rPr>
          <w:rFonts w:eastAsia="Times New Roman" w:cs="Times New Roman" w:ascii="Times New Roman" w:hAnsi="Times New Roman"/>
          <w:b/>
          <w:sz w:val="24"/>
        </w:rPr>
        <w:t>Borrower’s Loan Application.</w:t>
      </w:r>
      <w:r>
        <w:rPr>
          <w:rFonts w:eastAsia="Times New Roman" w:cs="Times New Roman" w:ascii="Times New Roman" w:hAnsi="Times New Roman"/>
          <w:sz w:val="24"/>
        </w:rPr>
        <w:t xml:space="preserve"> Borrower shall be in default if, during the Loan application process, Borrower or any persons or entities acting at the direction of Borrower or with Borrower’s knowledge or consent gave materially false, misleading, or inaccurate information or statements to Lender (or failed to provide Lender with material information) in connection with the Loan. Material representations include, but are not limited to, representations concerning Borrower’s occupancy of the Property as Borrower’s principal residence.</w:t>
      </w:r>
    </w:p>
    <w:p>
      <w:pPr>
        <w:pStyle w:val="Normal"/>
        <w:spacing w:lineRule="exact" w:line="2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3"/>
        </w:numPr>
        <w:tabs>
          <w:tab w:val="clear" w:pos="720"/>
          <w:tab w:val="left" w:pos="1380" w:leader="none"/>
        </w:tabs>
        <w:spacing w:lineRule="auto" w:line="240"/>
        <w:ind w:firstLine="720" w:start="360" w:end="360"/>
        <w:rPr>
          <w:rFonts w:ascii="Times New Roman" w:hAnsi="Times New Roman" w:eastAsia="Times New Roman" w:cs="Times New Roman"/>
          <w:b/>
          <w:sz w:val="24"/>
        </w:rPr>
      </w:pPr>
      <w:r>
        <w:rPr>
          <w:rFonts w:eastAsia="Times New Roman" w:cs="Times New Roman" w:ascii="Times New Roman" w:hAnsi="Times New Roman"/>
          <w:b/>
          <w:sz w:val="24"/>
        </w:rPr>
        <w:t>Protection of Lender’s Interest in the Property and Rights Under this Security Instrument.</w:t>
      </w:r>
      <w:r>
        <w:rPr>
          <w:rFonts w:eastAsia="Times New Roman" w:cs="Times New Roman" w:ascii="Times New Roman" w:hAnsi="Times New Roman"/>
          <w:sz w:val="24"/>
        </w:rPr>
        <w:t xml:space="preserve"> If (a) Borrower fails to perform the covenants and agreements contained in this Security Instrument, (b) there is a legal proceeding that might significantly affect Lender’s interest in the Property and/or rights under this Security Instrument (such as a proceeding in bankruptcy, probate, for condemnation or forfeiture, for enforcement of a lien which may attain priority over this Security Instrument or to enforce laws or regulations), or (c) Borrower has abandoned the Property, then Lender may do and pay for whatever is reasonable or appropriate to protect Lender’s interest in the Property and rights under this Security Instrument, including protecting and/or assessing the value of the Property, and securing and/or repairing the Property. Lender’s actions can include, but are not limited to: (a) paying any sums secured by a lien which has priority over this Security Instrument; (b) appearing in court; and (c) paying reasonable attorneys’ fees to protect its interest in the Property and/or rights under this Security Instrument, including its secured position in a bankruptcy proceeding. Securing the Property includes, but is not limited to, entering the Property to make repairs, change locks, replace or board up doors and windows, drain water from pipes, eliminate building or other code violations or dangerous conditions, and have utilities turned on or off. Although Lender may take action under this Section 9, Lender does not have to do so and is not under any duty or obligation to do so. It is agreed that Lender incurs no liability for not taking any or all actions authorized under this Section 9.</w:t>
      </w:r>
    </w:p>
    <w:p>
      <w:pPr>
        <w:pStyle w:val="Normal"/>
        <w:spacing w:lineRule="exact" w:line="25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9"/>
        <w:ind w:firstLine="720" w:start="360" w:end="500"/>
        <w:rPr>
          <w:rFonts w:ascii="Times New Roman" w:hAnsi="Times New Roman" w:eastAsia="Times New Roman" w:cs="Times New Roman"/>
          <w:sz w:val="24"/>
        </w:rPr>
      </w:pPr>
      <w:r>
        <w:rPr>
          <w:rFonts w:eastAsia="Times New Roman" w:cs="Times New Roman" w:ascii="Times New Roman" w:hAnsi="Times New Roman"/>
          <w:sz w:val="24"/>
        </w:rPr>
        <w:t>Any amounts disbursed by Lender under this Section 9 shall become additional debt of Borrower secured by this Security Instrument. These amounts shall bear interest at the Note rate from the date of disbursement and shall be payable, with such interest, upon notice from Lender to Borrower requesting payment.</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720" w:start="360" w:end="600"/>
        <w:jc w:val="both"/>
        <w:rPr>
          <w:rFonts w:ascii="Times New Roman" w:hAnsi="Times New Roman" w:eastAsia="Times New Roman" w:cs="Times New Roman"/>
          <w:sz w:val="24"/>
        </w:rPr>
      </w:pPr>
      <w:r>
        <w:rPr>
          <w:rFonts w:eastAsia="Times New Roman" w:cs="Times New Roman" w:ascii="Times New Roman" w:hAnsi="Times New Roman"/>
          <w:sz w:val="24"/>
        </w:rPr>
        <w:t>If this Security Instrument is on a leasehold, Borrower shall comply with all the provisions of the lease. If Borrower acquires fee title to the Property, the leasehold and the fee title shall not merge unless Lender agrees to the merger in writing.</w:t>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14" w:footer="0" w:bottom="1120"/>
          <w:pgNumType w:fmt="decimal"/>
          <w:formProt w:val="false"/>
          <w:textDirection w:val="lrTb"/>
          <w:docGrid w:type="default" w:linePitch="360" w:charSpace="0"/>
        </w:sectPr>
        <w:pStyle w:val="Normal"/>
        <w:numPr>
          <w:ilvl w:val="0"/>
          <w:numId w:val="14"/>
        </w:numPr>
        <w:tabs>
          <w:tab w:val="clear" w:pos="720"/>
          <w:tab w:val="left" w:pos="1500" w:leader="none"/>
        </w:tabs>
        <w:spacing w:lineRule="auto" w:line="244"/>
        <w:ind w:firstLine="720" w:start="360" w:end="380"/>
        <w:rPr>
          <w:rFonts w:ascii="Times New Roman" w:hAnsi="Times New Roman" w:eastAsia="Times New Roman" w:cs="Times New Roman"/>
          <w:b/>
          <w:sz w:val="24"/>
        </w:rPr>
      </w:pPr>
      <w:r>
        <w:rPr>
          <w:rFonts w:eastAsia="Times New Roman" w:cs="Times New Roman" w:ascii="Times New Roman" w:hAnsi="Times New Roman"/>
          <w:b/>
          <w:sz w:val="24"/>
        </w:rPr>
        <w:t>Mortgage Insurance.</w:t>
      </w:r>
      <w:r>
        <w:rPr>
          <w:rFonts w:eastAsia="Times New Roman" w:cs="Times New Roman" w:ascii="Times New Roman" w:hAnsi="Times New Roman"/>
          <w:sz w:val="24"/>
        </w:rPr>
        <w:t xml:space="preserve"> If Lender required Mortgage Insurance as a condition of making the Loan, Borrower shall pay the premiums required to maintain the Mortgage Insurance in effect. If, for any reason, the Mortgage Insurance coverage required by Lender ceases to be available from the mortgage insurer that previously provided such insurance and Borrower was required to make separately designated payments toward the premiums for Mortgage Insurance, Borrower shall pay the premiums required to obtain coverage substantially equivalent to the Mortgage Insurance previously in effect, at a cost substantially equivalent to the cost to Borrower of the Mortgage Insurance previously in</w:t>
      </w:r>
    </w:p>
    <w:p>
      <w:pPr>
        <w:pStyle w:val="Normal"/>
        <w:spacing w:lineRule="auto" w:line="240"/>
        <w:ind w:start="360" w:end="360"/>
        <w:rPr/>
      </w:pPr>
      <w:bookmarkStart w:id="10" w:name="page10"/>
      <w:bookmarkEnd w:id="10"/>
      <w:r>
        <w:rPr>
          <w:rFonts w:eastAsia="Times New Roman" w:cs="Times New Roman" w:ascii="Times New Roman" w:hAnsi="Times New Roman"/>
          <w:sz w:val="24"/>
        </w:rPr>
        <w:t>effect, from an alternate mortgage insurer selected by Lender. If substantially equivalent Mortgage Insurance coverage is not available, Borrower shall continue to pay to Lender the amount of the separately designated payments that were due when the insurance coverage ceased to be in effect. Lender will accept, use and retain these payments as a non-refundable loss reserve in lieu of Mortgage Insurance. Such loss reserve shall be non-refundable, notwithstanding the fact that the Loan is ultimately paid in full, and Lender shall not be required to pay Borrower any interest or earnings on such loss reserve. Lender can 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 If Lender required Mortgage Insurance as a condition of making the Loan and Borrower was required to make separately designated payments toward the premiums for Mortgage Insurance, Borrower shall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10 affects Borrower’s obligation to pay interest at the rate provided in the Note.</w:t>
      </w:r>
    </w:p>
    <w:p>
      <w:pPr>
        <w:pStyle w:val="Normal"/>
        <w:spacing w:lineRule="exact" w:line="2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720" w:start="360" w:end="420"/>
        <w:rPr>
          <w:rFonts w:ascii="Times New Roman" w:hAnsi="Times New Roman" w:eastAsia="Times New Roman" w:cs="Times New Roman"/>
          <w:sz w:val="24"/>
        </w:rPr>
      </w:pPr>
      <w:r>
        <w:rPr>
          <w:rFonts w:eastAsia="Times New Roman" w:cs="Times New Roman" w:ascii="Times New Roman" w:hAnsi="Times New Roman"/>
          <w:sz w:val="24"/>
        </w:rPr>
        <w:t>Mortgage Insurance reimburses Lender (or any entity that purchases the Note) for certain losses it may incur if Borrower does not repay the Loan as agreed. Borrower is not a party to the Mortgage Insurance.</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720" w:start="360" w:end="360"/>
        <w:rPr>
          <w:rFonts w:ascii="Times New Roman" w:hAnsi="Times New Roman" w:eastAsia="Times New Roman" w:cs="Times New Roman"/>
          <w:sz w:val="24"/>
        </w:rPr>
      </w:pPr>
      <w:r>
        <w:rPr>
          <w:rFonts w:eastAsia="Times New Roman" w:cs="Times New Roman" w:ascii="Times New Roman" w:hAnsi="Times New Roman"/>
          <w:sz w:val="24"/>
        </w:rPr>
        <w:t>Mortgage insurers evaluate their total risk on all such insurance in force from time to time, and may enter into agreements with other parties that share or modify their risk, or reduce losses. These agreements are on terms and conditions that are satisfactory to the mortgage insurer and the other party (or parties) to these agreements. These agreements may require the mortgage insurer to make payments using any source of funds that the mortgage insurer may have available (which may include funds obtained from Mortgage Insurance premiums).</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720" w:start="360" w:end="420"/>
        <w:rPr/>
      </w:pPr>
      <w:r>
        <w:rPr>
          <w:rFonts w:eastAsia="Times New Roman" w:cs="Times New Roman" w:ascii="Times New Roman" w:hAnsi="Times New Roman"/>
          <w:sz w:val="24"/>
        </w:rPr>
        <w:t>As a result of these agreements, Lender, any purchaser of the Note,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If such agreement provides that an affiliate of Lender takes a share of the insurer’s risk in exchange for a share of the premiums paid to the insurer, the arrangement is often termed “captive reinsurance.” Further:</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20" w:footer="0" w:bottom="1440"/>
          <w:pgNumType w:fmt="decimal"/>
          <w:formProt w:val="false"/>
          <w:textDirection w:val="lrTb"/>
          <w:docGrid w:type="default" w:linePitch="360" w:charSpace="0"/>
        </w:sectPr>
        <w:pStyle w:val="Normal"/>
        <w:numPr>
          <w:ilvl w:val="0"/>
          <w:numId w:val="15"/>
        </w:numPr>
        <w:tabs>
          <w:tab w:val="clear" w:pos="720"/>
          <w:tab w:val="left" w:pos="1480" w:leader="none"/>
        </w:tabs>
        <w:spacing w:lineRule="auto" w:line="252"/>
        <w:ind w:firstLine="720" w:start="360" w:end="980"/>
        <w:rPr>
          <w:rFonts w:ascii="Times New Roman" w:hAnsi="Times New Roman" w:eastAsia="Times New Roman" w:cs="Times New Roman"/>
          <w:b/>
          <w:sz w:val="24"/>
        </w:rPr>
      </w:pPr>
      <w:r>
        <w:rPr>
          <w:rFonts w:eastAsia="Times New Roman" w:cs="Times New Roman" w:ascii="Times New Roman" w:hAnsi="Times New Roman"/>
          <w:b/>
          <w:sz w:val="24"/>
        </w:rPr>
        <w:t>Any such agreements will not affect the amounts that Borrower has agreed to pay for Mortgage Insurance, or any other terms of the Loan. Such agreements will not increase the amount Borrower will owe for Mortgage Insurance, and they will not entitle Borrower to any refund.</w:t>
      </w:r>
    </w:p>
    <w:p>
      <w:pPr>
        <w:pStyle w:val="Normal"/>
        <w:numPr>
          <w:ilvl w:val="0"/>
          <w:numId w:val="16"/>
        </w:numPr>
        <w:tabs>
          <w:tab w:val="clear" w:pos="720"/>
          <w:tab w:val="left" w:pos="1494" w:leader="none"/>
        </w:tabs>
        <w:spacing w:lineRule="auto" w:line="244"/>
        <w:ind w:firstLine="720" w:start="360" w:end="360"/>
        <w:rPr>
          <w:rFonts w:ascii="Times New Roman" w:hAnsi="Times New Roman" w:eastAsia="Times New Roman" w:cs="Times New Roman"/>
          <w:b/>
          <w:sz w:val="24"/>
        </w:rPr>
      </w:pPr>
      <w:bookmarkStart w:id="11" w:name="page11"/>
      <w:bookmarkEnd w:id="11"/>
      <w:r>
        <w:rPr>
          <w:rFonts w:eastAsia="Times New Roman" w:cs="Times New Roman" w:ascii="Times New Roman" w:hAnsi="Times New Roman"/>
          <w:b/>
          <w:sz w:val="24"/>
        </w:rPr>
        <w:t>Any such agreements will not affect the rights Borrower has--if any--with respect to the Mortgage Insurance under the Homeowners Protection Act of 1998 or any other law. These rights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pPr>
        <w:pStyle w:val="Normal"/>
        <w:spacing w:lineRule="exact" w:line="22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7"/>
        </w:numPr>
        <w:tabs>
          <w:tab w:val="clear" w:pos="720"/>
          <w:tab w:val="left" w:pos="1500" w:leader="none"/>
        </w:tabs>
        <w:spacing w:lineRule="auto" w:line="276"/>
        <w:ind w:firstLine="720" w:start="360" w:end="800"/>
        <w:rPr>
          <w:rFonts w:ascii="Times New Roman" w:hAnsi="Times New Roman" w:eastAsia="Times New Roman" w:cs="Times New Roman"/>
          <w:b/>
          <w:sz w:val="24"/>
        </w:rPr>
      </w:pPr>
      <w:r>
        <w:rPr>
          <w:rFonts w:eastAsia="Times New Roman" w:cs="Times New Roman" w:ascii="Times New Roman" w:hAnsi="Times New Roman"/>
          <w:b/>
          <w:sz w:val="24"/>
        </w:rPr>
        <w:t>Assignment of Miscellaneous Proceeds; Forfeiture.</w:t>
      </w:r>
      <w:r>
        <w:rPr>
          <w:rFonts w:eastAsia="Times New Roman" w:cs="Times New Roman" w:ascii="Times New Roman" w:hAnsi="Times New Roman"/>
          <w:sz w:val="24"/>
        </w:rPr>
        <w:t xml:space="preserve"> All Miscellaneous Proceeds are hereby assigned to and shall be paid to Lender.</w:t>
      </w:r>
    </w:p>
    <w:p>
      <w:pPr>
        <w:pStyle w:val="Normal"/>
        <w:spacing w:lineRule="exact" w:line="19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0"/>
        <w:ind w:firstLine="720" w:start="360" w:end="360"/>
        <w:rPr/>
      </w:pPr>
      <w:r>
        <w:rPr>
          <w:rFonts w:eastAsia="Times New Roman" w:cs="Times New Roman" w:ascii="Times New Roman" w:hAnsi="Times New Roman"/>
          <w:sz w:val="24"/>
        </w:rPr>
        <w:t>If the Property is damaged, such Miscellaneous Proceeds shall be applied to restoration or repair of the Property, if the restoration or repair is economically feasible and Lender’s security is not lessened. During such repair and restoration period, Lender shall have the right to hold such Miscellaneous Proceeds until Lender has had an opportunity to inspect such Property to ensure the work has been completed to Lender’s satisfaction, provided that such inspection shall be undertaken promptly. Lender may pay for the repairs and restoration in a single disbursement or in a series of progress payments as the work is completed. Unless an agreement is made in writing or Applicable Law requires interest to be paid on such Miscellaneous Proceeds, Lender shall not be required to pay Borrower any interest or earnings on such Miscellaneous Proceeds. If the restoration or repair is not economically feasible or Lender’s security would be lessened, the Miscellaneous Proceeds shall be applied to the sums secured by this Security Instrument, whether or not then due, with the excess, if any, paid to Borrower. Such Miscellaneous Proceeds shall be applied in the order provided for in Section 2.</w:t>
      </w:r>
    </w:p>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720" w:start="360" w:end="440"/>
        <w:rPr>
          <w:rFonts w:ascii="Times New Roman" w:hAnsi="Times New Roman" w:eastAsia="Times New Roman" w:cs="Times New Roman"/>
          <w:sz w:val="24"/>
        </w:rPr>
      </w:pPr>
      <w:r>
        <w:rPr>
          <w:rFonts w:eastAsia="Times New Roman" w:cs="Times New Roman" w:ascii="Times New Roman" w:hAnsi="Times New Roman"/>
          <w:sz w:val="24"/>
        </w:rPr>
        <w:t>In the event of a total taking, destruction, or loss in value of the Property, the Miscellaneous Proceeds shall be applied to the sums secured by this Security Instrument, whether or not then due, with the excess, if any, paid to Borrower.</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720" w:start="360" w:end="440"/>
        <w:rPr>
          <w:rFonts w:ascii="Times New Roman" w:hAnsi="Times New Roman" w:eastAsia="Times New Roman" w:cs="Times New Roman"/>
          <w:sz w:val="24"/>
        </w:rPr>
      </w:pPr>
      <w:r>
        <w:rPr>
          <w:rFonts w:eastAsia="Times New Roman" w:cs="Times New Roman" w:ascii="Times New Roman" w:hAnsi="Times New Roman"/>
          <w:sz w:val="24"/>
        </w:rPr>
        <w:t>In the event of a partial taking, destruction, or loss in value of the Property in which the fair market value of the Property immediately before the partial taking, destruction, or loss in value is equal to or greater than the amount of the sums secured by this Security Instrument immediately before the partial taking, destruction, or loss in value, unless Borrower and Lender otherwise agree in writing, the sums secured by this Security Instrument shall be reduced by the amount of the Miscellaneous Proceeds multiplied by the following fraction: (a) the total amount of the sums secured immediately before the partial taking, destruction, or loss in value divided by (b) the fair market value of the Property immediately before the partial taking, destruction, or loss in value. Any balance shall be paid to Borrower.</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17" w:footer="0" w:bottom="1440"/>
          <w:pgNumType w:fmt="decimal"/>
          <w:formProt w:val="false"/>
          <w:textDirection w:val="lrTb"/>
          <w:docGrid w:type="default" w:linePitch="360" w:charSpace="0"/>
        </w:sectPr>
        <w:pStyle w:val="Normal"/>
        <w:spacing w:lineRule="auto" w:line="249"/>
        <w:ind w:firstLine="720" w:start="360" w:end="880"/>
        <w:rPr>
          <w:rFonts w:ascii="Times New Roman" w:hAnsi="Times New Roman" w:eastAsia="Times New Roman" w:cs="Times New Roman"/>
          <w:sz w:val="24"/>
        </w:rPr>
      </w:pPr>
      <w:r>
        <w:rPr>
          <w:rFonts w:eastAsia="Times New Roman" w:cs="Times New Roman" w:ascii="Times New Roman" w:hAnsi="Times New Roman"/>
          <w:sz w:val="24"/>
        </w:rPr>
        <w:t>In the event of a partial taking, destruction, or loss in value of the Property in which the fair market value of the Property immediately before the partial taking, destruction, or loss in value is less than the amount of the sums secured immediately before the partial taking, destruction, or loss in value, unless Borrower and Lender</w:t>
      </w:r>
    </w:p>
    <w:p>
      <w:pPr>
        <w:pStyle w:val="Normal"/>
        <w:spacing w:lineRule="auto" w:line="268"/>
        <w:ind w:start="360" w:end="980"/>
        <w:rPr>
          <w:rFonts w:ascii="Times New Roman" w:hAnsi="Times New Roman" w:eastAsia="Times New Roman" w:cs="Times New Roman"/>
          <w:sz w:val="24"/>
        </w:rPr>
      </w:pPr>
      <w:bookmarkStart w:id="12" w:name="page12"/>
      <w:bookmarkEnd w:id="12"/>
      <w:r>
        <w:rPr>
          <w:rFonts w:eastAsia="Times New Roman" w:cs="Times New Roman" w:ascii="Times New Roman" w:hAnsi="Times New Roman"/>
          <w:sz w:val="24"/>
        </w:rPr>
        <w:t>otherwise agree in writing, the Miscellaneous Proceeds shall be applied to the sums secured by this Security Instrument whether or not the sums are then due.</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720" w:start="360" w:end="560"/>
        <w:rPr/>
      </w:pPr>
      <w:r>
        <w:rPr>
          <w:rFonts w:eastAsia="Times New Roman" w:cs="Times New Roman" w:ascii="Times New Roman" w:hAnsi="Times New Roman"/>
          <w:sz w:val="24"/>
        </w:rPr>
        <w:t>If the Property is abandoned by Borrower, or if, after notice by Lender to Borrower that the Opposing Party (as defined in the next sentence) offers to make an award to settle a claim for damages, Borrower fails to respond to Lender within 30 days after the date the notice is given, Lender is authorized to collect and apply the Miscellaneous Proceeds either to restoration or repair of the Property or to the sums secured by this Security Instrument, whether or not then due. “Opposing Party” means the third party that owes Borrower Miscellaneous Proceeds or the party against whom Borrower has a right of action in regard to Miscellaneous Proceeds.</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720" w:start="360" w:end="380"/>
        <w:rPr/>
      </w:pPr>
      <w:r>
        <w:rPr>
          <w:rFonts w:eastAsia="Times New Roman" w:cs="Times New Roman" w:ascii="Times New Roman" w:hAnsi="Times New Roman"/>
          <w:sz w:val="24"/>
        </w:rPr>
        <w:t>Borrower shall be in default if any action or proceeding, whether civil or criminal, is begun that, in Lender’s judgment, could result in forfeiture of the Property or other material impairment of Lender’s interest in the Property or rights under this Security Instrument. Borrower can cure such a default and, if acceleration has occurred, reinstate as provided in Section 19, by causing the action or proceeding to be dismissed with a ruling that, in Lender’s judgment, precludes forfeiture of the Property or other material impairment of Lender’s interest in the Property or rights under this Security Instrument. The proceeds of any award or claim for damages that are attributable to the impairment of Lender’s interest in the Property are hereby assigned and shall be paid to Lender.</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firstLine="720" w:start="360" w:end="860"/>
        <w:rPr>
          <w:rFonts w:ascii="Times New Roman" w:hAnsi="Times New Roman" w:eastAsia="Times New Roman" w:cs="Times New Roman"/>
          <w:sz w:val="24"/>
        </w:rPr>
      </w:pPr>
      <w:r>
        <w:rPr>
          <w:rFonts w:eastAsia="Times New Roman" w:cs="Times New Roman" w:ascii="Times New Roman" w:hAnsi="Times New Roman"/>
          <w:sz w:val="24"/>
        </w:rPr>
        <w:t>All Miscellaneous Proceeds that are not applied to restoration or repair of the Property shall be applied in the order provided for in Section 2.</w:t>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8"/>
        </w:numPr>
        <w:tabs>
          <w:tab w:val="clear" w:pos="720"/>
          <w:tab w:val="left" w:pos="1500" w:leader="none"/>
        </w:tabs>
        <w:spacing w:lineRule="auto" w:line="242"/>
        <w:ind w:firstLine="720" w:start="360" w:end="380"/>
        <w:rPr>
          <w:rFonts w:ascii="Times New Roman" w:hAnsi="Times New Roman" w:eastAsia="Times New Roman" w:cs="Times New Roman"/>
          <w:b/>
          <w:sz w:val="24"/>
        </w:rPr>
      </w:pPr>
      <w:r>
        <w:rPr>
          <w:rFonts w:eastAsia="Times New Roman" w:cs="Times New Roman" w:ascii="Times New Roman" w:hAnsi="Times New Roman"/>
          <w:b/>
          <w:sz w:val="24"/>
        </w:rPr>
        <w:t xml:space="preserve">Borrower Not Released; Forbearance By Lender Not a Waiver. </w:t>
      </w:r>
      <w:r>
        <w:rPr>
          <w:rFonts w:eastAsia="Times New Roman" w:cs="Times New Roman" w:ascii="Times New Roman" w:hAnsi="Times New Roman"/>
          <w:sz w:val="24"/>
        </w:rPr>
        <w:t>Extension of the time for payment or modification of amortization of the sums secured by this Security Instrument granted by Lender to Borrower or any Successor in Interest of Borrower shall not operate to release the liability of Borrower or any Successors in Interest of Borrower. Lender shall not be required to commence proceedings against any Successor in Interest of Borrower or to refuse to extend time for payment or otherwise modify amortization of the sums secured by this Security Instrument by reason of any demand made by the original Borrower or any Successors in Interest of Borrower. Any forbearance by Lender in exercising any right or remedy including, without limitation, Lender’s acceptance of payments from third persons, entities or Successors in Interest of Borrower or in amounts less than the amount then due, shall not be a waiver of or preclude the exercise of any right or remedy.</w:t>
      </w:r>
    </w:p>
    <w:p>
      <w:pPr>
        <w:pStyle w:val="Normal"/>
        <w:spacing w:lineRule="exact" w:line="233"/>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2240" w:h="15840"/>
          <w:pgMar w:left="1440" w:right="1440" w:gutter="0" w:header="0" w:top="1420" w:footer="0" w:bottom="1440"/>
          <w:pgNumType w:fmt="decimal"/>
          <w:formProt w:val="false"/>
          <w:textDirection w:val="lrTb"/>
          <w:docGrid w:type="default" w:linePitch="360" w:charSpace="0"/>
        </w:sectPr>
        <w:pStyle w:val="Normal"/>
        <w:numPr>
          <w:ilvl w:val="0"/>
          <w:numId w:val="18"/>
        </w:numPr>
        <w:tabs>
          <w:tab w:val="clear" w:pos="720"/>
          <w:tab w:val="left" w:pos="1500" w:leader="none"/>
        </w:tabs>
        <w:spacing w:lineRule="auto" w:line="244"/>
        <w:ind w:firstLine="720" w:start="360" w:end="360"/>
        <w:rPr>
          <w:rFonts w:ascii="Times New Roman" w:hAnsi="Times New Roman" w:eastAsia="Times New Roman" w:cs="Times New Roman"/>
          <w:b/>
          <w:sz w:val="24"/>
        </w:rPr>
      </w:pPr>
      <w:r>
        <w:rPr>
          <w:rFonts w:eastAsia="Times New Roman" w:cs="Times New Roman" w:ascii="Times New Roman" w:hAnsi="Times New Roman"/>
          <w:b/>
          <w:sz w:val="24"/>
        </w:rPr>
        <w:t xml:space="preserve">Joint and Several Liability; Co-signers; Successors and Assigns Bound. </w:t>
      </w:r>
      <w:r>
        <w:rPr>
          <w:rFonts w:eastAsia="Times New Roman" w:cs="Times New Roman" w:ascii="Times New Roman" w:hAnsi="Times New Roman"/>
          <w:sz w:val="24"/>
        </w:rPr>
        <w:t>Borrower covenants and agrees that Borrower’s obligations and liability shall be joint and several. However, any Borrower who co-signs this Security Instrument but does not execute the Note (a “co-signer”): (a) is co-signing this Security Instrument only to mortgage, grant and convey the co-signer’s interest in the Property under the terms of this Security Instrument; (b) is not personally obligated to pay the sums secured by this Security Instrument; and (c) agrees that Lender and any other Borrower can agree to</w:t>
      </w:r>
    </w:p>
    <w:p>
      <w:pPr>
        <w:pStyle w:val="Normal"/>
        <w:spacing w:lineRule="auto" w:line="268"/>
        <w:ind w:start="360" w:end="780"/>
        <w:rPr/>
      </w:pPr>
      <w:bookmarkStart w:id="13" w:name="page13"/>
      <w:bookmarkEnd w:id="13"/>
      <w:r>
        <w:rPr>
          <w:rFonts w:eastAsia="Times New Roman" w:cs="Times New Roman" w:ascii="Times New Roman" w:hAnsi="Times New Roman"/>
          <w:sz w:val="24"/>
        </w:rPr>
        <w:t>extend, modify, forbear or make any accommodations with regard to the terms of this Security Instrument or the Note without the co-signer’s consent.</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720" w:start="360" w:end="420"/>
        <w:rPr/>
      </w:pPr>
      <w:r>
        <w:rPr>
          <w:rFonts w:eastAsia="Times New Roman" w:cs="Times New Roman" w:ascii="Times New Roman" w:hAnsi="Times New Roman"/>
          <w:sz w:val="24"/>
        </w:rPr>
        <w:t>Subject to the provisions of Section 18, any Successor in Interest of Borrower who assumes Borrower’s obligations under this Security Instrument in writing, and is approved by Lender, shall obtain all of Borrower’s rights and benefits under this Security Instrument. Borrower shall not be released from Borrower’s obligations and liability under this Security Instrument unless Lender agrees to such release in writing. The covenants and agreements of this Security Instrument shall bind (except as provided in Section 20) and benefit the successors and assigns of Lender.</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9"/>
        </w:numPr>
        <w:tabs>
          <w:tab w:val="clear" w:pos="720"/>
          <w:tab w:val="left" w:pos="1500" w:leader="none"/>
        </w:tabs>
        <w:spacing w:lineRule="auto" w:line="244"/>
        <w:ind w:firstLine="720" w:start="360" w:end="380"/>
        <w:rPr>
          <w:rFonts w:ascii="Times New Roman" w:hAnsi="Times New Roman" w:eastAsia="Times New Roman" w:cs="Times New Roman"/>
          <w:b/>
          <w:sz w:val="24"/>
        </w:rPr>
      </w:pPr>
      <w:r>
        <w:rPr>
          <w:rFonts w:eastAsia="Times New Roman" w:cs="Times New Roman" w:ascii="Times New Roman" w:hAnsi="Times New Roman"/>
          <w:b/>
          <w:sz w:val="24"/>
        </w:rPr>
        <w:t>Loan Charges.</w:t>
      </w:r>
      <w:r>
        <w:rPr>
          <w:rFonts w:eastAsia="Times New Roman" w:cs="Times New Roman" w:ascii="Times New Roman" w:hAnsi="Times New Roman"/>
          <w:sz w:val="24"/>
        </w:rPr>
        <w:t xml:space="preserve"> Lender may charge Borrower fees for services performed in connection with Borrower’s default, for the purpose of protecting Lender’s interest in the Property and rights under this Security Instrument, including, but not limited to, attorneys’ fees, property inspection and valuation fees. In regard to any other fees, the absence of express authority in this Security Instrument to charge a specific fee to Borrower shall not be construed as a prohibition on the charging of such fee. Lender may not charge fees that are expressly prohibited by this Security Instrument or by Applicable Law.</w:t>
      </w:r>
    </w:p>
    <w:p>
      <w:pPr>
        <w:pStyle w:val="Normal"/>
        <w:spacing w:lineRule="exact" w:line="23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2"/>
        <w:ind w:firstLine="720" w:start="360" w:end="360"/>
        <w:rPr/>
      </w:pPr>
      <w:r>
        <w:rPr>
          <w:rFonts w:eastAsia="Times New Roman" w:cs="Times New Roman" w:ascii="Times New Roman" w:hAnsi="Times New Roman"/>
          <w:sz w:val="24"/>
        </w:rPr>
        <w:t>If the Loan is subject to a law which sets maximum loan charges, and that law is finally interpreted so that the interest or other loan charges collected or to be collected in connection with the Loan exceed the permitted limits, then: (a) any such loan charge shall be reduced by the amount necessary to reduce the charge to the permitted limit; and (b)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Borrower’s acceptance of any such refund made by direct payment to Borrower will constitute a waiver of any right of action Borrower might have arising out of such overcharge.</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20" w:footer="0" w:bottom="1134"/>
          <w:pgNumType w:fmt="decimal"/>
          <w:formProt w:val="false"/>
          <w:textDirection w:val="lrTb"/>
          <w:docGrid w:type="default" w:linePitch="360" w:charSpace="0"/>
        </w:sectPr>
        <w:pStyle w:val="Normal"/>
        <w:numPr>
          <w:ilvl w:val="0"/>
          <w:numId w:val="20"/>
        </w:numPr>
        <w:tabs>
          <w:tab w:val="clear" w:pos="720"/>
          <w:tab w:val="left" w:pos="1500" w:leader="none"/>
        </w:tabs>
        <w:spacing w:lineRule="auto" w:line="240"/>
        <w:ind w:firstLine="720" w:start="360" w:end="360"/>
        <w:rPr>
          <w:rFonts w:ascii="Times New Roman" w:hAnsi="Times New Roman" w:eastAsia="Times New Roman" w:cs="Times New Roman"/>
          <w:b/>
          <w:sz w:val="24"/>
        </w:rPr>
      </w:pPr>
      <w:r>
        <w:rPr>
          <w:rFonts w:eastAsia="Times New Roman" w:cs="Times New Roman" w:ascii="Times New Roman" w:hAnsi="Times New Roman"/>
          <w:b/>
          <w:sz w:val="24"/>
        </w:rPr>
        <w:t>Notices.</w:t>
      </w:r>
      <w:r>
        <w:rPr>
          <w:rFonts w:eastAsia="Times New Roman" w:cs="Times New Roman" w:ascii="Times New Roman" w:hAnsi="Times New Roman"/>
          <w:sz w:val="24"/>
        </w:rPr>
        <w:t xml:space="preserve"> All notices given by Borrower or Lender in connection with this Security Instrument must be in writing. Any notice to Borrower in connection with this Security Instrument shall be deemed to have been given to Borrower when mailed by first class mail or when actually delivered to Borrower’s notice address if sent by other means. Notice to any one Borrower shall constitute notice to all Borrowers unless Applicable Law expressly requires otherwise. The notice address shall be the Property Address unless Borrower has designated a substitute notice address by notice to Lender. Borrower shall promptly notify Lender of Borrower’s change of address. If Lender specifies a procedure for reporting Borrower’s change of address, then Borrower shall only report a change of address through that specified procedure. There may be only one designated notice address under this Security Instrument at any one time. Any notice to Lender shall be given by delivering it or by mailing it by first class mail to Lender’s address stated herein unless Lender has designated another address by notice to Borrower. Any notice in connection with this Security Instrument shall not be deemed to</w:t>
      </w:r>
    </w:p>
    <w:p>
      <w:pPr>
        <w:pStyle w:val="Normal"/>
        <w:spacing w:lineRule="auto" w:line="254"/>
        <w:ind w:start="360" w:end="660"/>
        <w:rPr>
          <w:rFonts w:ascii="Times New Roman" w:hAnsi="Times New Roman" w:eastAsia="Times New Roman" w:cs="Times New Roman"/>
          <w:sz w:val="24"/>
        </w:rPr>
      </w:pPr>
      <w:bookmarkStart w:id="14" w:name="page14"/>
      <w:bookmarkEnd w:id="14"/>
      <w:r>
        <w:rPr>
          <w:rFonts w:eastAsia="Times New Roman" w:cs="Times New Roman" w:ascii="Times New Roman" w:hAnsi="Times New Roman"/>
          <w:sz w:val="24"/>
        </w:rPr>
        <w:t>have been given to Lender until actually received by Lender. If any notice required by this Security Instrument is also required under Applicable Law, the Applicable Law requirement will satisfy the corresponding requirement under this Security Instrument.</w:t>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1"/>
        </w:numPr>
        <w:tabs>
          <w:tab w:val="clear" w:pos="720"/>
          <w:tab w:val="left" w:pos="1500" w:leader="none"/>
        </w:tabs>
        <w:spacing w:lineRule="auto" w:line="242"/>
        <w:ind w:firstLine="720" w:start="360" w:end="360"/>
        <w:rPr>
          <w:rFonts w:ascii="Times New Roman" w:hAnsi="Times New Roman" w:eastAsia="Times New Roman" w:cs="Times New Roman"/>
          <w:b/>
          <w:sz w:val="24"/>
        </w:rPr>
      </w:pPr>
      <w:r>
        <w:rPr>
          <w:rFonts w:eastAsia="Times New Roman" w:cs="Times New Roman" w:ascii="Times New Roman" w:hAnsi="Times New Roman"/>
          <w:b/>
          <w:sz w:val="24"/>
        </w:rPr>
        <w:t>Governing Law; Severability; Rules of Construction.</w:t>
      </w:r>
      <w:r>
        <w:rPr>
          <w:rFonts w:eastAsia="Times New Roman" w:cs="Times New Roman" w:ascii="Times New Roman" w:hAnsi="Times New Roman"/>
          <w:sz w:val="24"/>
        </w:rPr>
        <w:t xml:space="preserve"> This Security Instrument shall be governed by federal law and the law of the jurisdiction in which the Property is located. All rights and obligations contained in this Security Instrument are subject to any requirements and limitations of Applicable Law. Applicable Law might explicitly or implicitly allow the parties to agree by contract or it might be silent, but such silence shall not be construed as a prohibition against agreement by contract. In the event that any provision or clause of this Security Instrument or the Note conflicts with Applicable Law, such conflict shall not affect other provisions of this Security Instrument or the Note which can be given effect without the conflicting provision.</w:t>
      </w:r>
    </w:p>
    <w:p>
      <w:pPr>
        <w:pStyle w:val="Normal"/>
        <w:spacing w:lineRule="exact" w:line="24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9"/>
        <w:ind w:firstLine="720" w:start="360" w:end="400"/>
        <w:rPr/>
      </w:pPr>
      <w:r>
        <w:rPr>
          <w:rFonts w:eastAsia="Times New Roman" w:cs="Times New Roman" w:ascii="Times New Roman" w:hAnsi="Times New Roman"/>
          <w:sz w:val="24"/>
        </w:rPr>
        <w:t>As used in this Security Instrument: (a) words of the masculine gender shall mean and include corresponding neuter words or words of the feminine gender; (b) words in the singular shall mean and include the plural and vice versa; and (c) the word “may” gives sole discretion without any obligation to take any action.</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2"/>
        </w:numPr>
        <w:tabs>
          <w:tab w:val="clear" w:pos="720"/>
          <w:tab w:val="left" w:pos="1500" w:leader="none"/>
        </w:tabs>
        <w:spacing w:lineRule="auto" w:line="276"/>
        <w:ind w:firstLine="720" w:start="360" w:end="440"/>
        <w:rPr>
          <w:rFonts w:ascii="Times New Roman" w:hAnsi="Times New Roman" w:eastAsia="Times New Roman" w:cs="Times New Roman"/>
          <w:b/>
          <w:sz w:val="24"/>
        </w:rPr>
      </w:pPr>
      <w:r>
        <w:rPr>
          <w:rFonts w:eastAsia="Times New Roman" w:cs="Times New Roman" w:ascii="Times New Roman" w:hAnsi="Times New Roman"/>
          <w:b/>
          <w:sz w:val="24"/>
        </w:rPr>
        <w:t>Borrower’s Copy.</w:t>
      </w:r>
      <w:r>
        <w:rPr>
          <w:rFonts w:eastAsia="Times New Roman" w:cs="Times New Roman" w:ascii="Times New Roman" w:hAnsi="Times New Roman"/>
          <w:sz w:val="24"/>
        </w:rPr>
        <w:t xml:space="preserve"> Borrower shall be given one copy of the Note and of this Security Instrument.</w:t>
      </w:r>
    </w:p>
    <w:p>
      <w:pPr>
        <w:pStyle w:val="Normal"/>
        <w:spacing w:lineRule="exact" w:line="19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2"/>
        </w:numPr>
        <w:tabs>
          <w:tab w:val="clear" w:pos="720"/>
          <w:tab w:val="left" w:pos="1500" w:leader="none"/>
        </w:tabs>
        <w:spacing w:lineRule="auto" w:line="247"/>
        <w:ind w:firstLine="720" w:start="360" w:end="420"/>
        <w:rPr>
          <w:rFonts w:ascii="Times New Roman" w:hAnsi="Times New Roman" w:eastAsia="Times New Roman" w:cs="Times New Roman"/>
          <w:b/>
          <w:sz w:val="24"/>
        </w:rPr>
      </w:pPr>
      <w:r>
        <w:rPr>
          <w:rFonts w:eastAsia="Times New Roman" w:cs="Times New Roman" w:ascii="Times New Roman" w:hAnsi="Times New Roman"/>
          <w:b/>
          <w:sz w:val="24"/>
        </w:rPr>
        <w:t>Transfer of the Property or a Beneficial Interest in Borrower.</w:t>
      </w:r>
      <w:r>
        <w:rPr>
          <w:rFonts w:eastAsia="Times New Roman" w:cs="Times New Roman" w:ascii="Times New Roman" w:hAnsi="Times New Roman"/>
          <w:sz w:val="24"/>
        </w:rPr>
        <w:t xml:space="preserve"> As used in this Section 18, “Interest in the Property” means any legal or beneficial interest in the Property, including, but not limited to, those beneficial interests transferred in a bond for deed, contract for deed, installment sales contract or escrow agreement, the intent of which is the transfer of title by Borrower at a future date to a purchaser.</w:t>
      </w:r>
    </w:p>
    <w:p>
      <w:pPr>
        <w:pStyle w:val="Normal"/>
        <w:spacing w:lineRule="exact" w:line="23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ind w:firstLine="720" w:start="360" w:end="360"/>
        <w:rPr/>
      </w:pPr>
      <w:r>
        <w:rPr>
          <w:rFonts w:eastAsia="Times New Roman" w:cs="Times New Roman" w:ascii="Times New Roman" w:hAnsi="Times New Roman"/>
          <w:sz w:val="24"/>
        </w:rPr>
        <w:t>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this option shall not be exercised by Lender if such exercise is prohibited by Applicable Law.</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720" w:start="360" w:end="360"/>
        <w:rPr>
          <w:rFonts w:ascii="Times New Roman" w:hAnsi="Times New Roman" w:eastAsia="Times New Roman" w:cs="Times New Roman"/>
          <w:sz w:val="24"/>
        </w:rPr>
      </w:pPr>
      <w:r>
        <w:rPr>
          <w:rFonts w:eastAsia="Times New Roman" w:cs="Times New Roman" w:ascii="Times New Roman" w:hAnsi="Times New Roman"/>
          <w:sz w:val="24"/>
        </w:rPr>
        <w:t>If Lender exercises this option, Lender shall give Borrower notice of acceleration. The notice shall provide a period of not less than 30 days from the date the notice is given in accordance with Section 15 within which Borrower must pay all sums secured by this Security Instrument. If Borrower fails to pay these sums prior to the expiration of this period, Lender may invoke any remedies permitted by this Security Instrument without further notice or demand on Borrower.</w:t>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20" w:footer="0" w:bottom="1114"/>
          <w:pgNumType w:fmt="decimal"/>
          <w:formProt w:val="false"/>
          <w:textDirection w:val="lrTb"/>
          <w:docGrid w:type="default" w:linePitch="360" w:charSpace="0"/>
        </w:sectPr>
        <w:pStyle w:val="Normal"/>
        <w:numPr>
          <w:ilvl w:val="0"/>
          <w:numId w:val="23"/>
        </w:numPr>
        <w:tabs>
          <w:tab w:val="clear" w:pos="720"/>
          <w:tab w:val="left" w:pos="1500" w:leader="none"/>
        </w:tabs>
        <w:spacing w:lineRule="auto" w:line="247"/>
        <w:ind w:firstLine="720" w:start="360" w:end="360"/>
        <w:rPr>
          <w:rFonts w:ascii="Times New Roman" w:hAnsi="Times New Roman" w:eastAsia="Times New Roman" w:cs="Times New Roman"/>
          <w:b/>
          <w:sz w:val="24"/>
        </w:rPr>
      </w:pPr>
      <w:r>
        <w:rPr>
          <w:rFonts w:eastAsia="Times New Roman" w:cs="Times New Roman" w:ascii="Times New Roman" w:hAnsi="Times New Roman"/>
          <w:b/>
          <w:sz w:val="24"/>
        </w:rPr>
        <w:t>Borrower’s Right to Reinstate After Acceleration.</w:t>
      </w:r>
      <w:r>
        <w:rPr>
          <w:rFonts w:eastAsia="Times New Roman" w:cs="Times New Roman" w:ascii="Times New Roman" w:hAnsi="Times New Roman"/>
          <w:sz w:val="24"/>
        </w:rPr>
        <w:t xml:space="preserve"> If Borrower meets certain conditions, Borrower shall have the right to have enforcement of this Security Instrument discontinued at any time prior to the earliest of: (a) five days before sale of the Property pursuant to any power of sale contained in this Security Instrument; (b ) such other period as Applicable Law might specify for the termination of Borrower’s right to</w:t>
      </w:r>
    </w:p>
    <w:p>
      <w:pPr>
        <w:pStyle w:val="Normal"/>
        <w:spacing w:lineRule="auto" w:line="240"/>
        <w:ind w:start="360" w:end="360"/>
        <w:rPr/>
      </w:pPr>
      <w:bookmarkStart w:id="15" w:name="page15"/>
      <w:bookmarkEnd w:id="15"/>
      <w:r>
        <w:rPr>
          <w:rFonts w:eastAsia="Times New Roman" w:cs="Times New Roman" w:ascii="Times New Roman" w:hAnsi="Times New Roman"/>
          <w:sz w:val="24"/>
        </w:rPr>
        <w:t>reinstate; or (c) entry of a judgment enforcing this Security Instrument. Those conditions are that Borrower: (a) pays Lender all sums which then would be due under this Security Instrument and the Note as if no acceleration had occurred; (b) cures any default of any other covenants or agreements; (c) pays all expenses incurred in enforcing this Security Instrument, including, but not limited to, reasonable attorneys’ fees, property inspection and valuation fees, and other fees incurred for the purpose of protecting Lender’s interest in the Property and rights under this Security Instrument; and (d) takes such action as Lender may reasonably require to assure that Lender’s interest in the Property and rights under this Security Instrument, and Borrower’s obligation to pay the sums secured by this Security Instrument, shall continue unchanged. Lender may require that Borrower pay such reinstatement sums and expenses in one or more of the following forms, as selected by Lender: (a) cash; (b) money order; (c) certified check, bank check, treasurer’s check or cashier’s check, provided any such check is drawn upon an institution whose deposits are insured by a federal agency, instrumentality or entity; or (d) Electronic Funds Transfer. Upon reinstatement by Borrower, this Security Instrument and obligations secured hereby shall remain fully effective as if no acceleration had occurred. However, this right to reinstate shall not apply in the case of acceleration under Section 18.</w:t>
      </w:r>
    </w:p>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4"/>
        </w:numPr>
        <w:tabs>
          <w:tab w:val="clear" w:pos="720"/>
          <w:tab w:val="left" w:pos="1500" w:leader="none"/>
        </w:tabs>
        <w:spacing w:lineRule="auto" w:line="240"/>
        <w:ind w:firstLine="720" w:start="360" w:end="380"/>
        <w:rPr>
          <w:rFonts w:ascii="Times New Roman" w:hAnsi="Times New Roman" w:eastAsia="Times New Roman" w:cs="Times New Roman"/>
          <w:b/>
          <w:sz w:val="24"/>
        </w:rPr>
      </w:pPr>
      <w:r>
        <w:rPr>
          <w:rFonts w:eastAsia="Times New Roman" w:cs="Times New Roman" w:ascii="Times New Roman" w:hAnsi="Times New Roman"/>
          <w:b/>
          <w:sz w:val="24"/>
        </w:rPr>
        <w:t>Sale of Note; Change of Loan Servicer; Notice of Grievance.</w:t>
      </w:r>
      <w:r>
        <w:rPr>
          <w:rFonts w:eastAsia="Times New Roman" w:cs="Times New Roman" w:ascii="Times New Roman" w:hAnsi="Times New Roman"/>
          <w:sz w:val="24"/>
        </w:rPr>
        <w:t xml:space="preserve"> The Note or a partial interest in the Note (together with this Security Instrument) can be sold one or more times without prior notice to Borrower. A sale might result in a change in the entity (known as the “Loan Servicer”) that collects Periodic Payments due under the Note and this Security Instrument and performs other mortgage loan servicing obligations under the Note, this Security Instrument, and Applicable Law. There also might be one or more changes of the Loan Servicer unrelated to a sale of the Note. If there is a change of the Loan Servicer, Borrower will be given written notice of the change which will state the name and address of the new Loan Servicer, the address to which payments should be made and any other information RESPA requires in connection with a notice of transfer of servicing. If the Note is sold and thereafter the Loan is serviced by a Loan Servicer other than the purchaser of the Note, the mortgage loan servicing obligations to Borrower will remain with the Loan Servicer or be transferred to a successor Loan Servicer and are not assumed by the Note purchaser unless otherwise provided by the Note purchaser.</w:t>
      </w:r>
    </w:p>
    <w:p>
      <w:pPr>
        <w:pStyle w:val="Normal"/>
        <w:spacing w:lineRule="exact" w:line="249"/>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2240" w:h="15840"/>
          <w:pgMar w:left="1440" w:right="1440" w:gutter="0" w:header="0" w:top="1420" w:footer="0" w:bottom="1130"/>
          <w:pgNumType w:fmt="decimal"/>
          <w:formProt w:val="false"/>
          <w:textDirection w:val="lrTb"/>
          <w:docGrid w:type="default" w:linePitch="360" w:charSpace="0"/>
        </w:sectPr>
        <w:pStyle w:val="Normal"/>
        <w:spacing w:lineRule="auto" w:line="240"/>
        <w:ind w:firstLine="720" w:start="360" w:end="400"/>
        <w:rPr/>
      </w:pPr>
      <w:r>
        <w:rPr>
          <w:rFonts w:eastAsia="Times New Roman" w:cs="Times New Roman" w:ascii="Times New Roman" w:hAnsi="Times New Roman"/>
          <w:sz w:val="24"/>
        </w:rPr>
        <w:t>Neither Borrower nor Lender may commence, join, or be joined to any judicial action (as either an individual litigant or the member of a class) that arises from the other party’s actions pursuant to this Security Instrument or that alleges that the other party has breached any provision of, or any duty owed by reason of, this Security Instrument, until such Borrower or Lender has notified the other party (with such notice given in compliance with the requirements of Section 15) of such alleged breach and afforded the other party hereto a reasonable period after the giving of such notice to take corrective action. If Applicable Law provides a time period which must elapse before certain action can be taken, that time period will be deemed to be reasonable for purposes of this paragraph. The notice of acceleration and opportunity to cure given to Borrower pursuant to Section 22 and the notice of acceleration given to Borrower pursuant to Section 18 shall be deemed to satisfy the notice and opportunity to take corrective action provisions of this Section 20.</w:t>
      </w:r>
    </w:p>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r>
      <w:bookmarkStart w:id="16" w:name="page16"/>
      <w:bookmarkStart w:id="17" w:name="page16"/>
      <w:bookmarkEnd w:id="17"/>
    </w:p>
    <w:p>
      <w:pPr>
        <w:pStyle w:val="Normal"/>
        <w:numPr>
          <w:ilvl w:val="0"/>
          <w:numId w:val="25"/>
        </w:numPr>
        <w:tabs>
          <w:tab w:val="clear" w:pos="720"/>
          <w:tab w:val="left" w:pos="1500" w:leader="none"/>
        </w:tabs>
        <w:spacing w:lineRule="auto" w:line="242"/>
        <w:ind w:firstLine="720" w:start="360" w:end="420"/>
        <w:rPr>
          <w:rFonts w:ascii="Times New Roman" w:hAnsi="Times New Roman" w:eastAsia="Times New Roman" w:cs="Times New Roman"/>
          <w:b/>
          <w:sz w:val="24"/>
        </w:rPr>
      </w:pPr>
      <w:r>
        <w:rPr>
          <w:rFonts w:eastAsia="Times New Roman" w:cs="Times New Roman" w:ascii="Times New Roman" w:hAnsi="Times New Roman"/>
          <w:b/>
          <w:sz w:val="24"/>
        </w:rPr>
        <w:t>Hazardous Substances.</w:t>
      </w:r>
      <w:r>
        <w:rPr>
          <w:rFonts w:eastAsia="Times New Roman" w:cs="Times New Roman" w:ascii="Times New Roman" w:hAnsi="Times New Roman"/>
          <w:sz w:val="24"/>
        </w:rPr>
        <w:t xml:space="preserve"> As used in this Section 21: (a) “Hazardous Substances” are those substances defined as toxic or hazardous substances, pollutants, or wastes by Environmental Law and the following substances: gasoline, kerosene, other flammable or toxic petroleum products, toxic pesticides and herbicides, volatile solvents, materials containing asbestos or formaldehyde, and radioactive materials; (b) “Environmental Law” means federal laws and laws of the jurisdiction where the Property is located that relate to health, safety or environmental protection; (c) “Environmental Cleanup” includes any response action, remedial action, or removal action, as defined in Environmental Law; and (d) an “Environmental Condition” means a condition that can cause, contribute to, or otherwise trigger an Environmental Cleanup.</w:t>
      </w:r>
    </w:p>
    <w:p>
      <w:pPr>
        <w:pStyle w:val="Normal"/>
        <w:spacing w:lineRule="exact" w:line="23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2"/>
        <w:ind w:firstLine="720" w:start="360" w:end="420"/>
        <w:rPr>
          <w:rFonts w:ascii="Times New Roman" w:hAnsi="Times New Roman" w:eastAsia="Times New Roman" w:cs="Times New Roman"/>
          <w:sz w:val="24"/>
        </w:rPr>
      </w:pPr>
      <w:r>
        <w:rPr>
          <w:rFonts w:eastAsia="Times New Roman" w:cs="Times New Roman" w:ascii="Times New Roman" w:hAnsi="Times New Roman"/>
          <w:sz w:val="24"/>
        </w:rPr>
        <w:t>Borrower shall not cause or permit the presence, use, disposal, storage, or release of any Hazardous Substances, or threaten to release any Hazardous Substances, on or in the Property. Borrower shall not do, nor allow anyone else to do, anything affecting the Property (a) that is in violation of any Environmental Law, (b) which creates an Environmental Condition, or (c) which, due to the presence, use, or release of a Hazardous Substance, creates a condition that adversely affects the value of the Property. The preceding two sentences shall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720" w:start="360" w:end="400"/>
        <w:rPr>
          <w:rFonts w:ascii="Times New Roman" w:hAnsi="Times New Roman" w:eastAsia="Times New Roman" w:cs="Times New Roman"/>
          <w:sz w:val="24"/>
        </w:rPr>
      </w:pPr>
      <w:r>
        <w:rPr>
          <w:rFonts w:eastAsia="Times New Roman" w:cs="Times New Roman" w:ascii="Times New Roman" w:hAnsi="Times New Roman"/>
          <w:sz w:val="24"/>
        </w:rPr>
        <w:t>Borrower shall promptly give Lender written notice of (a) any investigation, claim, demand, lawsuit or other action by any governmental or regulatory agency or private party involving the Property and any Hazardous Substance or Environmental Law of which Borrower has actual knowledge, (b) any Environmental Condition, including but not limited to, any spilling, leaking, discharge, release or threat of release of any Hazardous Substance, and (c) any condition caused by the presence, use or release of a Hazardous Substance which adversely affects the value of the Property. If Borrower learns, or is notified by any governmental or regulatory authority, or any private party, that any removal or other remediation of any Hazardous Substance affecting the Property is necessary, Borrower shall promptly take all necessary remedial actions in accordance with Environmental Law. Nothing herein shall create any obligation on Lender for an Environmental Cleanup.</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firstLine="720" w:start="360" w:end="760"/>
        <w:rPr>
          <w:rFonts w:ascii="Times New Roman" w:hAnsi="Times New Roman" w:eastAsia="Times New Roman" w:cs="Times New Roman"/>
          <w:sz w:val="24"/>
        </w:rPr>
      </w:pPr>
      <w:r>
        <w:rPr>
          <w:rFonts w:eastAsia="Times New Roman" w:cs="Times New Roman" w:ascii="Times New Roman" w:hAnsi="Times New Roman"/>
          <w:sz w:val="24"/>
        </w:rPr>
        <w:t>NON-UNIFORM COVENANTS. Borrower and Lender further covenant and agree as follows:</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118"/>
          <w:pgNumType w:fmt="decimal"/>
          <w:formProt w:val="false"/>
          <w:textDirection w:val="lrTb"/>
          <w:docGrid w:type="default" w:linePitch="360" w:charSpace="0"/>
        </w:sectPr>
        <w:pStyle w:val="Normal"/>
        <w:numPr>
          <w:ilvl w:val="0"/>
          <w:numId w:val="26"/>
        </w:numPr>
        <w:tabs>
          <w:tab w:val="clear" w:pos="720"/>
          <w:tab w:val="left" w:pos="1500" w:leader="none"/>
        </w:tabs>
        <w:spacing w:lineRule="auto" w:line="244"/>
        <w:ind w:firstLine="720" w:start="360" w:end="560"/>
        <w:rPr>
          <w:rFonts w:ascii="Times New Roman" w:hAnsi="Times New Roman" w:eastAsia="Times New Roman" w:cs="Times New Roman"/>
          <w:b/>
          <w:sz w:val="24"/>
        </w:rPr>
      </w:pPr>
      <w:r>
        <w:rPr>
          <w:rFonts w:eastAsia="Times New Roman" w:cs="Times New Roman" w:ascii="Times New Roman" w:hAnsi="Times New Roman"/>
          <w:b/>
          <w:sz w:val="24"/>
        </w:rPr>
        <w:t>Acceleration; Remedies.</w:t>
      </w:r>
      <w:r>
        <w:rPr>
          <w:rFonts w:eastAsia="Times New Roman" w:cs="Times New Roman" w:ascii="Times New Roman" w:hAnsi="Times New Roman"/>
          <w:sz w:val="24"/>
        </w:rPr>
        <w:t xml:space="preserve"> Lender shall give notice to Borrower prior to acceleration following Borrower’s breach of any covenant or agreement in this Security Instrument (but not prior to acceleration under Section 18 unless Applicable Law provides otherwise). The notice shall specify: (a) the default; (b) the action required to cure the default; (c) a date, not less than 30 days from the date the notice is given to Borrower, by which the default must be cured; and (d) that failure to cure the default on or before the date specified in the notice may result in acceleration of the sums secured</w:t>
      </w:r>
    </w:p>
    <w:p>
      <w:pPr>
        <w:pStyle w:val="Normal"/>
        <w:spacing w:lineRule="auto" w:line="242"/>
        <w:ind w:start="360" w:end="420"/>
        <w:rPr/>
      </w:pPr>
      <w:bookmarkStart w:id="18" w:name="page17"/>
      <w:bookmarkEnd w:id="18"/>
      <w:r>
        <w:rPr>
          <w:rFonts w:eastAsia="Times New Roman" w:cs="Times New Roman" w:ascii="Times New Roman" w:hAnsi="Times New Roman"/>
          <w:sz w:val="24"/>
        </w:rPr>
        <w:t>by this Security Instrument and sale of the Property. The notice shall further inform Borrower of the right to reinstate after acceleration and the right to bring a court action to assert the non-existence of a default or any other defense of Borrower to acceleration and sale. If the default is not cured on or before the date specified in the notice, Lender at its option may require immediate payment in full of all sums secured by this Security Instrument without further demand and may invoke the power of sale and any other remedies permitted by Applicable Law. Lender shall be entitled to collect all expenses incurred in pursuing the remedies provided in this Section 22, including, but not limited to, reasonable attorneys’ fees and costs of title evidence.</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1440" w:start="360" w:end="420"/>
        <w:rPr/>
      </w:pPr>
      <w:r>
        <w:rPr>
          <w:rFonts w:eastAsia="Times New Roman" w:cs="Times New Roman" w:ascii="Times New Roman" w:hAnsi="Times New Roman"/>
          <w:sz w:val="24"/>
        </w:rPr>
        <w:t>If Lender invokes the power of sale, Lender shall execute or cause Trustee to execute a written notice of the occurrence of an event of default and of Lender’s election to cause the Property to be sold. Trustee shall cause this notice to be recorded in each county in which any part of the Property is located. Lender or Trustee shall mail copies of the notice as prescribed by Applicable Law to Borrower and to the other persons prescribed by Applicable Law. Trustee shall give public notice of sale to the persons and in the manner prescribed by Applicable Law. After the time required by Applicable Law, Trustee, without demand on Borrower, shall sell the Property at public auction to the highest bidder at the time and place and under the terms designated in the notice of sale in one or more parcels and in any order Trustee determines. Trustee may postpone sale of all or any parcel of the Property by public announcement at the time and place of any previously scheduled sale. Lender or its designee may purchase the Property at any sale.</w:t>
      </w:r>
    </w:p>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720" w:start="360" w:end="420"/>
        <w:rPr/>
      </w:pPr>
      <w:r>
        <w:rPr>
          <w:rFonts w:eastAsia="Times New Roman" w:cs="Times New Roman" w:ascii="Times New Roman" w:hAnsi="Times New Roman"/>
          <w:b/>
          <w:sz w:val="24"/>
        </w:rPr>
        <w:t>Trustee shall deliver to the purchaser Trustee’s deed conveying the Property without any covenant or warranty, expressed or implied. The recitals in the Trustee’s deed shall be prima facie evidence of the truth of the statements made therein. Trustee shall apply the proceeds of the sale in the following order: (a) to all expenses of the sale, including, but not limited to, reasonable Trustee’s and attorneys’ fees; (b) to all sums secured by this Security Instrument; and (c) any excess to the person or persons legally entitled to it.</w:t>
      </w:r>
    </w:p>
    <w:p>
      <w:pPr>
        <w:pStyle w:val="Normal"/>
        <w:spacing w:lineRule="exact" w:line="2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7"/>
        </w:numPr>
        <w:tabs>
          <w:tab w:val="clear" w:pos="720"/>
          <w:tab w:val="left" w:pos="1500" w:leader="none"/>
        </w:tabs>
        <w:spacing w:lineRule="auto" w:line="242"/>
        <w:ind w:firstLine="720" w:start="360" w:end="400"/>
        <w:rPr>
          <w:rFonts w:ascii="Times New Roman" w:hAnsi="Times New Roman" w:eastAsia="Times New Roman" w:cs="Times New Roman"/>
          <w:b/>
          <w:sz w:val="24"/>
        </w:rPr>
      </w:pPr>
      <w:r>
        <w:rPr>
          <w:rFonts w:eastAsia="Times New Roman" w:cs="Times New Roman" w:ascii="Times New Roman" w:hAnsi="Times New Roman"/>
          <w:b/>
          <w:sz w:val="24"/>
        </w:rPr>
        <w:t>Reconveyance.</w:t>
      </w:r>
      <w:r>
        <w:rPr>
          <w:rFonts w:eastAsia="Times New Roman" w:cs="Times New Roman" w:ascii="Times New Roman" w:hAnsi="Times New Roman"/>
          <w:sz w:val="24"/>
        </w:rPr>
        <w:t xml:space="preserve"> Upon payment of all sums secured by this Security Instrument, Lender shall request Trustee to reconvey the Property and shall surrender this Security Instrument and all notes evidencing debt secured by this Security Instrument to Trustee. Trustee shall reconvey the Property without warranty to the person or persons legally entitled to it. Lender may charge such person or persons a reasonable fee for reconveying the Property, but only if the fee is paid to a third party (such as the Trustee) for services rendered and the charging of the fee is permitted under Applicable Law. If the fee charged does not exceed the fee set by Applicable Law, the fee is conclusively presumed to be reasonable.</w:t>
      </w:r>
    </w:p>
    <w:p>
      <w:pPr>
        <w:pStyle w:val="Normal"/>
        <w:spacing w:lineRule="exact" w:line="234"/>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2240" w:h="15840"/>
          <w:pgMar w:left="1440" w:right="1440" w:gutter="0" w:header="0" w:top="1420" w:footer="0" w:bottom="1111"/>
          <w:pgNumType w:fmt="decimal"/>
          <w:formProt w:val="false"/>
          <w:textDirection w:val="lrTb"/>
          <w:docGrid w:type="default" w:linePitch="360" w:charSpace="0"/>
        </w:sectPr>
        <w:pStyle w:val="Normal"/>
        <w:numPr>
          <w:ilvl w:val="0"/>
          <w:numId w:val="27"/>
        </w:numPr>
        <w:tabs>
          <w:tab w:val="clear" w:pos="720"/>
          <w:tab w:val="left" w:pos="1500" w:leader="none"/>
        </w:tabs>
        <w:spacing w:lineRule="auto" w:line="252"/>
        <w:ind w:firstLine="720" w:start="360" w:end="640"/>
        <w:rPr>
          <w:rFonts w:ascii="Times New Roman" w:hAnsi="Times New Roman" w:eastAsia="Times New Roman" w:cs="Times New Roman"/>
          <w:b/>
          <w:sz w:val="24"/>
        </w:rPr>
      </w:pPr>
      <w:r>
        <w:rPr>
          <w:rFonts w:eastAsia="Times New Roman" w:cs="Times New Roman" w:ascii="Times New Roman" w:hAnsi="Times New Roman"/>
          <w:b/>
          <w:sz w:val="24"/>
        </w:rPr>
        <w:t>Substitute Trustee.</w:t>
      </w:r>
      <w:r>
        <w:rPr>
          <w:rFonts w:eastAsia="Times New Roman" w:cs="Times New Roman" w:ascii="Times New Roman" w:hAnsi="Times New Roman"/>
          <w:sz w:val="24"/>
        </w:rPr>
        <w:t xml:space="preserve"> Lender, at its option, may from time to time appoint a successor trustee to any Trustee appointed hereunder by an instrument executed and acknowledged by Lender and recorded in the office of the Recorder of the county in which the Property is located. The instrument shall contain the name of the original</w:t>
      </w:r>
    </w:p>
    <w:p>
      <w:pPr>
        <w:pStyle w:val="Normal"/>
        <w:spacing w:lineRule="auto" w:line="244"/>
        <w:ind w:start="360" w:end="560"/>
        <w:rPr>
          <w:rFonts w:ascii="Times New Roman" w:hAnsi="Times New Roman" w:eastAsia="Times New Roman" w:cs="Times New Roman"/>
          <w:sz w:val="24"/>
        </w:rPr>
      </w:pPr>
      <w:bookmarkStart w:id="19" w:name="page18"/>
      <w:bookmarkEnd w:id="19"/>
      <w:r>
        <w:rPr>
          <w:rFonts w:eastAsia="Times New Roman" w:cs="Times New Roman" w:ascii="Times New Roman" w:hAnsi="Times New Roman"/>
          <w:sz w:val="24"/>
        </w:rPr>
        <w:t>Lender, Trustee and Borrower, the book and page where this Security Instrument is recorded and the name and address of the successor trustee. Without conveyance of the Property, the successor trustee shall succeed to all the title, powers and duties conferred upon the Trustee herein and by Applicable Law. This procedure for substitution of trustee shall govern to the exclusion of all other provisions for substitution.</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8"/>
        </w:numPr>
        <w:tabs>
          <w:tab w:val="clear" w:pos="720"/>
          <w:tab w:val="left" w:pos="1500" w:leader="none"/>
        </w:tabs>
        <w:spacing w:lineRule="auto" w:line="256"/>
        <w:ind w:firstLine="720" w:start="360" w:end="740"/>
        <w:rPr>
          <w:rFonts w:ascii="Times New Roman" w:hAnsi="Times New Roman" w:eastAsia="Times New Roman" w:cs="Times New Roman"/>
          <w:b/>
          <w:sz w:val="24"/>
        </w:rPr>
      </w:pPr>
      <w:r>
        <w:rPr>
          <w:rFonts w:eastAsia="Times New Roman" w:cs="Times New Roman" w:ascii="Times New Roman" w:hAnsi="Times New Roman"/>
          <w:b/>
          <w:sz w:val="24"/>
        </w:rPr>
        <w:t>Statement of Obligation Fee.</w:t>
      </w:r>
      <w:r>
        <w:rPr>
          <w:rFonts w:eastAsia="Times New Roman" w:cs="Times New Roman" w:ascii="Times New Roman" w:hAnsi="Times New Roman"/>
          <w:sz w:val="24"/>
        </w:rPr>
        <w:t xml:space="preserve"> Lender may collect a fee not to exceed the maximum amount permitted by Applicable Law for furnishing the statement of obligation as provided by Section 2943 of the Civil Code of California.</w:t>
      </w:r>
    </w:p>
    <w:p>
      <w:pPr>
        <w:pStyle w:val="Normal"/>
        <w:spacing w:lineRule="exact" w:line="22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4"/>
        <w:ind w:firstLine="720" w:start="360" w:end="480"/>
        <w:rPr>
          <w:rFonts w:ascii="Times New Roman" w:hAnsi="Times New Roman" w:eastAsia="Times New Roman" w:cs="Times New Roman"/>
          <w:sz w:val="24"/>
        </w:rPr>
      </w:pPr>
      <w:r>
        <w:rPr>
          <w:rFonts w:eastAsia="Times New Roman" w:cs="Times New Roman" w:ascii="Times New Roman" w:hAnsi="Times New Roman"/>
          <w:sz w:val="24"/>
        </w:rPr>
        <w:t>BY SIGNING BELOW, Borrower accepts and agrees to the terms and covenants contained in this Security Instrument and in any Rider executed by Borrower and recorded with it.</w:t>
      </w:r>
    </w:p>
    <w:sectPr>
      <w:type w:val="nextPage"/>
      <w:pgSz w:w="12240" w:h="15840"/>
      <w:pgMar w:left="1440" w:right="1440" w:gutter="0" w:header="0" w:top="142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PMingLiU">
    <w:charset w:val="88"/>
    <w:family w:val="roman"/>
    <w:pitch w:val="variable"/>
  </w:font>
  <w:font w:name="OpenSymbol">
    <w:altName w:val="Arial Unicode MS"/>
    <w:charset w:val="01"/>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Letter"/>
      <w:lvlText w:val="(%1)"/>
      <w:lvlJc w:val="start"/>
      <w:pPr>
        <w:tabs>
          <w:tab w:val="num" w:pos="0"/>
        </w:tabs>
        <w:ind w:start="0" w:hanging="0"/>
      </w:pPr>
    </w:lvl>
  </w:abstractNum>
  <w:abstractNum w:abstractNumId="2">
    <w:lvl w:ilvl="0">
      <w:start w:val="1"/>
      <w:numFmt w:val="bullet"/>
      <w:lvlText w:val=""/>
      <w:lvlJc w:val="start"/>
      <w:pPr>
        <w:tabs>
          <w:tab w:val="num" w:pos="0"/>
        </w:tabs>
        <w:ind w:start="0" w:hanging="0"/>
      </w:pPr>
      <w:rPr>
        <w:rFonts w:ascii="OpenSymbol" w:hAnsi="OpenSymbol" w:cs="OpenSymbol" w:hint="default"/>
      </w:rPr>
    </w:lvl>
  </w:abstractNum>
  <w:abstractNum w:abstractNumId="3">
    <w:lvl w:ilvl="0">
      <w:start w:val="1"/>
      <w:numFmt w:val="lowerRoman"/>
      <w:lvlText w:val="%1"/>
      <w:lvlJc w:val="start"/>
      <w:pPr>
        <w:tabs>
          <w:tab w:val="num" w:pos="0"/>
        </w:tabs>
        <w:ind w:start="0" w:hanging="0"/>
      </w:pPr>
    </w:lvl>
    <w:lvl w:ilvl="1">
      <w:start w:val="9"/>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2"/>
      <w:numFmt w:val="lowerRoman"/>
      <w:lvlText w:val="(%1)"/>
      <w:lvlJc w:val="start"/>
      <w:pPr>
        <w:tabs>
          <w:tab w:val="num" w:pos="0"/>
        </w:tabs>
        <w:ind w:start="0" w:hanging="0"/>
      </w:pPr>
    </w:lvl>
    <w:lvl w:ilvl="1">
      <w:start w:val="14"/>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
    <w:lvl w:ilvl="0">
      <w:start w:val="17"/>
      <w:numFmt w:val="upperLetter"/>
      <w:lvlText w:val="(%1)"/>
      <w:lvlJc w:val="start"/>
      <w:pPr>
        <w:tabs>
          <w:tab w:val="num" w:pos="0"/>
        </w:tabs>
        <w:ind w:start="0" w:hanging="0"/>
      </w:pPr>
    </w:lvl>
  </w:abstractNum>
  <w:abstractNum w:abstractNumId="6">
    <w:lvl w:ilvl="0">
      <w:start w:val="1"/>
      <w:numFmt w:val="decimal"/>
      <w:lvlText w:val="%1."/>
      <w:lvlJc w:val="start"/>
      <w:pPr>
        <w:tabs>
          <w:tab w:val="num" w:pos="0"/>
        </w:tabs>
        <w:ind w:start="0" w:hanging="0"/>
      </w:pPr>
    </w:lvl>
  </w:abstractNum>
  <w:abstractNum w:abstractNumId="7">
    <w:lvl w:ilvl="0">
      <w:start w:val="2"/>
      <w:numFmt w:val="decimal"/>
      <w:lvlText w:val="%1."/>
      <w:lvlJc w:val="start"/>
      <w:pPr>
        <w:tabs>
          <w:tab w:val="num" w:pos="0"/>
        </w:tabs>
        <w:ind w:start="0" w:hanging="0"/>
      </w:pPr>
    </w:lvl>
  </w:abstractNum>
  <w:abstractNum w:abstractNumId="8">
    <w:lvl w:ilvl="0">
      <w:start w:val="3"/>
      <w:numFmt w:val="decimal"/>
      <w:lvlText w:val="%1."/>
      <w:lvlJc w:val="start"/>
      <w:pPr>
        <w:tabs>
          <w:tab w:val="num" w:pos="0"/>
        </w:tabs>
        <w:ind w:start="0" w:hanging="0"/>
      </w:pPr>
    </w:lvl>
  </w:abstractNum>
  <w:abstractNum w:abstractNumId="9">
    <w:lvl w:ilvl="0">
      <w:start w:val="2"/>
      <w:numFmt w:val="lowerLetter"/>
      <w:lvlText w:val="(%1)"/>
      <w:lvlJc w:val="start"/>
      <w:pPr>
        <w:tabs>
          <w:tab w:val="num" w:pos="0"/>
        </w:tabs>
        <w:ind w:start="0" w:hanging="0"/>
      </w:pPr>
    </w:lvl>
  </w:abstractNum>
  <w:abstractNum w:abstractNumId="10">
    <w:lvl w:ilvl="0">
      <w:start w:val="4"/>
      <w:numFmt w:val="decimal"/>
      <w:lvlText w:val="%1."/>
      <w:lvlJc w:val="start"/>
      <w:pPr>
        <w:tabs>
          <w:tab w:val="num" w:pos="0"/>
        </w:tabs>
        <w:ind w:start="0" w:hanging="0"/>
      </w:pPr>
    </w:lvl>
  </w:abstractNum>
  <w:abstractNum w:abstractNumId="11">
    <w:lvl w:ilvl="0">
      <w:start w:val="5"/>
      <w:numFmt w:val="decimal"/>
      <w:lvlText w:val="%1."/>
      <w:lvlJc w:val="start"/>
      <w:pPr>
        <w:tabs>
          <w:tab w:val="num" w:pos="0"/>
        </w:tabs>
        <w:ind w:start="0" w:hanging="0"/>
      </w:pPr>
    </w:lvl>
  </w:abstractNum>
  <w:abstractNum w:abstractNumId="12">
    <w:lvl w:ilvl="0">
      <w:start w:val="6"/>
      <w:numFmt w:val="decimal"/>
      <w:lvlText w:val="%1."/>
      <w:lvlJc w:val="start"/>
      <w:pPr>
        <w:tabs>
          <w:tab w:val="num" w:pos="0"/>
        </w:tabs>
        <w:ind w:start="0" w:hanging="0"/>
      </w:pPr>
    </w:lvl>
  </w:abstractNum>
  <w:abstractNum w:abstractNumId="13">
    <w:lvl w:ilvl="0">
      <w:start w:val="8"/>
      <w:numFmt w:val="decimal"/>
      <w:lvlText w:val="%1."/>
      <w:lvlJc w:val="start"/>
      <w:pPr>
        <w:tabs>
          <w:tab w:val="num" w:pos="0"/>
        </w:tabs>
        <w:ind w:start="0" w:hanging="0"/>
      </w:pPr>
    </w:lvl>
  </w:abstractNum>
  <w:abstractNum w:abstractNumId="14">
    <w:lvl w:ilvl="0">
      <w:start w:val="10"/>
      <w:numFmt w:val="decimal"/>
      <w:lvlText w:val="%1."/>
      <w:lvlJc w:val="start"/>
      <w:pPr>
        <w:tabs>
          <w:tab w:val="num" w:pos="0"/>
        </w:tabs>
        <w:ind w:start="0" w:hanging="0"/>
      </w:pPr>
    </w:lvl>
  </w:abstractNum>
  <w:abstractNum w:abstractNumId="15">
    <w:lvl w:ilvl="0">
      <w:start w:val="1"/>
      <w:numFmt w:val="lowerLetter"/>
      <w:lvlText w:val="(%1)"/>
      <w:lvlJc w:val="start"/>
      <w:pPr>
        <w:tabs>
          <w:tab w:val="num" w:pos="0"/>
        </w:tabs>
        <w:ind w:start="0" w:hanging="0"/>
      </w:pPr>
    </w:lvl>
  </w:abstractNum>
  <w:abstractNum w:abstractNumId="16">
    <w:lvl w:ilvl="0">
      <w:start w:val="2"/>
      <w:numFmt w:val="lowerLetter"/>
      <w:lvlText w:val="(%1)"/>
      <w:lvlJc w:val="start"/>
      <w:pPr>
        <w:tabs>
          <w:tab w:val="num" w:pos="0"/>
        </w:tabs>
        <w:ind w:start="0" w:hanging="0"/>
      </w:pPr>
    </w:lvl>
  </w:abstractNum>
  <w:abstractNum w:abstractNumId="17">
    <w:lvl w:ilvl="0">
      <w:start w:val="11"/>
      <w:numFmt w:val="decimal"/>
      <w:lvlText w:val="%1."/>
      <w:lvlJc w:val="start"/>
      <w:pPr>
        <w:tabs>
          <w:tab w:val="num" w:pos="0"/>
        </w:tabs>
        <w:ind w:start="0" w:hanging="0"/>
      </w:pPr>
    </w:lvl>
  </w:abstractNum>
  <w:abstractNum w:abstractNumId="18">
    <w:lvl w:ilvl="0">
      <w:start w:val="12"/>
      <w:numFmt w:val="decimal"/>
      <w:lvlText w:val="%1."/>
      <w:lvlJc w:val="start"/>
      <w:pPr>
        <w:tabs>
          <w:tab w:val="num" w:pos="0"/>
        </w:tabs>
        <w:ind w:start="0" w:hanging="0"/>
      </w:pPr>
    </w:lvl>
  </w:abstractNum>
  <w:abstractNum w:abstractNumId="19">
    <w:lvl w:ilvl="0">
      <w:start w:val="14"/>
      <w:numFmt w:val="decimal"/>
      <w:lvlText w:val="%1."/>
      <w:lvlJc w:val="start"/>
      <w:pPr>
        <w:tabs>
          <w:tab w:val="num" w:pos="0"/>
        </w:tabs>
        <w:ind w:start="0" w:hanging="0"/>
      </w:pPr>
    </w:lvl>
  </w:abstractNum>
  <w:abstractNum w:abstractNumId="20">
    <w:lvl w:ilvl="0">
      <w:start w:val="15"/>
      <w:numFmt w:val="decimal"/>
      <w:lvlText w:val="%1."/>
      <w:lvlJc w:val="start"/>
      <w:pPr>
        <w:tabs>
          <w:tab w:val="num" w:pos="0"/>
        </w:tabs>
        <w:ind w:start="0" w:hanging="0"/>
      </w:pPr>
    </w:lvl>
  </w:abstractNum>
  <w:abstractNum w:abstractNumId="21">
    <w:lvl w:ilvl="0">
      <w:start w:val="16"/>
      <w:numFmt w:val="decimal"/>
      <w:lvlText w:val="%1."/>
      <w:lvlJc w:val="start"/>
      <w:pPr>
        <w:tabs>
          <w:tab w:val="num" w:pos="0"/>
        </w:tabs>
        <w:ind w:start="0" w:hanging="0"/>
      </w:pPr>
    </w:lvl>
  </w:abstractNum>
  <w:abstractNum w:abstractNumId="22">
    <w:lvl w:ilvl="0">
      <w:start w:val="17"/>
      <w:numFmt w:val="decimal"/>
      <w:lvlText w:val="%1."/>
      <w:lvlJc w:val="start"/>
      <w:pPr>
        <w:tabs>
          <w:tab w:val="num" w:pos="0"/>
        </w:tabs>
        <w:ind w:start="0" w:hanging="0"/>
      </w:pPr>
    </w:lvl>
  </w:abstractNum>
  <w:abstractNum w:abstractNumId="23">
    <w:lvl w:ilvl="0">
      <w:start w:val="19"/>
      <w:numFmt w:val="decimal"/>
      <w:lvlText w:val="%1."/>
      <w:lvlJc w:val="start"/>
      <w:pPr>
        <w:tabs>
          <w:tab w:val="num" w:pos="0"/>
        </w:tabs>
        <w:ind w:start="0" w:hanging="0"/>
      </w:pPr>
    </w:lvl>
  </w:abstractNum>
  <w:abstractNum w:abstractNumId="24">
    <w:lvl w:ilvl="0">
      <w:start w:val="20"/>
      <w:numFmt w:val="decimal"/>
      <w:lvlText w:val="%1."/>
      <w:lvlJc w:val="start"/>
      <w:pPr>
        <w:tabs>
          <w:tab w:val="num" w:pos="0"/>
        </w:tabs>
        <w:ind w:start="0" w:hanging="0"/>
      </w:pPr>
    </w:lvl>
  </w:abstractNum>
  <w:abstractNum w:abstractNumId="25">
    <w:lvl w:ilvl="0">
      <w:start w:val="21"/>
      <w:numFmt w:val="decimal"/>
      <w:lvlText w:val="%1."/>
      <w:lvlJc w:val="start"/>
      <w:pPr>
        <w:tabs>
          <w:tab w:val="num" w:pos="0"/>
        </w:tabs>
        <w:ind w:start="0" w:hanging="0"/>
      </w:pPr>
    </w:lvl>
  </w:abstractNum>
  <w:abstractNum w:abstractNumId="26">
    <w:lvl w:ilvl="0">
      <w:start w:val="22"/>
      <w:numFmt w:val="decimal"/>
      <w:lvlText w:val="%1."/>
      <w:lvlJc w:val="start"/>
      <w:pPr>
        <w:tabs>
          <w:tab w:val="num" w:pos="0"/>
        </w:tabs>
        <w:ind w:start="0" w:hanging="0"/>
      </w:pPr>
    </w:lvl>
  </w:abstractNum>
  <w:abstractNum w:abstractNumId="27">
    <w:lvl w:ilvl="0">
      <w:start w:val="23"/>
      <w:numFmt w:val="decimal"/>
      <w:lvlText w:val="%1."/>
      <w:lvlJc w:val="start"/>
      <w:pPr>
        <w:tabs>
          <w:tab w:val="num" w:pos="0"/>
        </w:tabs>
        <w:ind w:start="0" w:hanging="0"/>
      </w:pPr>
    </w:lvl>
  </w:abstractNum>
  <w:abstractNum w:abstractNumId="28">
    <w:lvl w:ilvl="0">
      <w:start w:val="25"/>
      <w:numFmt w:val="decimal"/>
      <w:lvlText w:val="%1."/>
      <w:lvlJc w:val="start"/>
      <w:pPr>
        <w:tabs>
          <w:tab w:val="num" w:pos="0"/>
        </w:tabs>
        <w:ind w:start="0" w:hanging="0"/>
      </w:pPr>
    </w:lvl>
  </w:abstractNum>
  <w:abstractNum w:abstractNumId="29">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