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1.jpeg" ContentType="image/jpeg"/>
  <Override PartName="/word/media/image10.png" ContentType="image/png"/>
  <Override PartName="/word/media/image6.png" ContentType="image/png"/>
  <Override PartName="/word/media/image15.png" ContentType="image/png"/>
  <Override PartName="/word/media/image14.png" ContentType="image/png"/>
  <Override PartName="/word/media/image5.png" ContentType="image/png"/>
  <Override PartName="/word/media/image16.png" ContentType="image/png"/>
  <Override PartName="/word/media/image7.png" ContentType="image/png"/>
  <Override PartName="/word/media/image11.png" ContentType="image/png"/>
  <Override PartName="/word/media/image2.png" ContentType="image/png"/>
  <Override PartName="/word/media/image17.png" ContentType="image/png"/>
  <Override PartName="/word/media/image8.png" ContentType="image/png"/>
  <Override PartName="/word/media/image1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rPr>
          <w:rFonts w:ascii="Arial" w:hAnsi="Arial" w:eastAsia="Arial" w:cs="Arial"/>
          <w:b/>
          <w:sz w:val="24"/>
        </w:rPr>
      </w:pPr>
      <w:r>
        <w:rPr>
          <w:rFonts w:eastAsia="Arial" w:cs="Arial" w:ascii="Arial" w:hAnsi="Arial"/>
          <w:b/>
          <w:sz w:val="24"/>
        </w:rPr>
        <w:t>The Yale Law Journal Company, Inc.</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201930</wp:posOffset>
                </wp:positionV>
                <wp:extent cx="6858000" cy="0"/>
                <wp:effectExtent l="0" t="6350" r="0" b="6350"/>
                <wp:wrapNone/>
                <wp:docPr id="1" name=""/>
                <a:graphic xmlns:a="http://schemas.openxmlformats.org/drawingml/2006/main">
                  <a:graphicData uri="http://schemas.microsoft.com/office/word/2010/wordprocessingShape">
                    <wps:wsp>
                      <wps:cNvSpPr/>
                      <wps:spPr>
                        <a:xfrm>
                          <a:off x="0" y="0"/>
                          <a:ext cx="68580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5.9pt" to="539.95pt,15.9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right="480"/>
        <w:rPr>
          <w:rFonts w:ascii="Arial" w:hAnsi="Arial" w:eastAsia="Arial" w:cs="Arial"/>
          <w:sz w:val="24"/>
        </w:rPr>
      </w:pPr>
      <w:r>
        <w:rPr>
          <w:rFonts w:eastAsia="Arial" w:cs="Arial" w:ascii="Arial" w:hAnsi="Arial"/>
          <w:sz w:val="24"/>
        </w:rPr>
        <w:t>What Performance Entitles a Real Estate Broker to Commission. The New York Law Author(s): Lee J. Perrin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 xml:space="preserve">Source: </w:t>
      </w:r>
      <w:r>
        <w:rPr>
          <w:rFonts w:eastAsia="Arial" w:cs="Arial" w:ascii="Arial" w:hAnsi="Arial"/>
          <w:i/>
          <w:sz w:val="24"/>
        </w:rPr>
        <w:t>The Yale Law Journal,</w:t>
      </w:r>
      <w:r>
        <w:rPr>
          <w:rFonts w:eastAsia="Arial" w:cs="Arial" w:ascii="Arial" w:hAnsi="Arial"/>
          <w:sz w:val="24"/>
        </w:rPr>
        <w:t xml:space="preserve"> Vol. 23, No. 4 (Feb., 1914), pp. 339-355</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Published by: The Yale Law Journal Company, Inc.</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Stable URL: https://www.jstor.org/stable/785014</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Accessed: 05-08-2019 11:02 UTC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227330</wp:posOffset>
                </wp:positionV>
                <wp:extent cx="6858000" cy="0"/>
                <wp:effectExtent l="0" t="6350" r="0" b="6350"/>
                <wp:wrapNone/>
                <wp:docPr id="2" name=""/>
                <a:graphic xmlns:a="http://schemas.openxmlformats.org/drawingml/2006/main">
                  <a:graphicData uri="http://schemas.microsoft.com/office/word/2010/wordprocessingShape">
                    <wps:wsp>
                      <wps:cNvSpPr/>
                      <wps:spPr>
                        <a:xfrm>
                          <a:off x="0" y="0"/>
                          <a:ext cx="68580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7.9pt" to="539.95pt,17.9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1"/>
        <w:jc w:val="both"/>
        <w:rPr>
          <w:rFonts w:ascii="Arial" w:hAnsi="Arial" w:eastAsia="Arial" w:cs="Arial"/>
          <w:sz w:val="18"/>
        </w:rPr>
      </w:pPr>
      <w:r>
        <w:rPr>
          <w:rFonts w:eastAsia="Arial" w:cs="Arial" w:ascii="Arial" w:hAnsi="Arial"/>
          <w:sz w:val="18"/>
        </w:rPr>
        <w: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3"/>
        <w:ind w:right="1160"/>
        <w:rPr>
          <w:rFonts w:ascii="Arial" w:hAnsi="Arial" w:eastAsia="Arial" w:cs="Arial"/>
          <w:sz w:val="18"/>
        </w:rPr>
      </w:pPr>
      <w:r>
        <w:rPr>
          <w:rFonts w:eastAsia="Arial" w:cs="Arial" w:ascii="Arial" w:hAnsi="Arial"/>
          <w:sz w:val="18"/>
        </w:rPr>
        <w:t>Your use of the JSTOR archive indicates your acceptance of the Terms &amp; Conditions of Use, available at https://about.jstor.org/terms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0</wp:posOffset>
            </wp:positionH>
            <wp:positionV relativeFrom="paragraph">
              <wp:posOffset>4266565</wp:posOffset>
            </wp:positionV>
            <wp:extent cx="625475" cy="84772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29" t="-21" r="-29" b="-21"/>
                    <a:stretch>
                      <a:fillRect/>
                    </a:stretch>
                  </pic:blipFill>
                  <pic:spPr bwMode="auto">
                    <a:xfrm>
                      <a:off x="0" y="0"/>
                      <a:ext cx="625475" cy="84772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left="1520" w:right="500"/>
        <w:rPr/>
      </w:pPr>
      <w:r>
        <w:rPr>
          <w:rFonts w:eastAsia="Arial" w:cs="Arial" w:ascii="Arial" w:hAnsi="Arial"/>
          <w:i/>
        </w:rPr>
        <w:t>The Yale Law Journal Company, Inc.</w:t>
      </w:r>
      <w:r>
        <w:rPr>
          <w:rFonts w:eastAsia="Arial" w:cs="Arial" w:ascii="Arial" w:hAnsi="Arial"/>
          <w:sz w:val="18"/>
        </w:rPr>
        <w:t xml:space="preserve"> is collaborating with JSTOR to digitize, preserve and extend access to</w:t>
      </w:r>
      <w:r>
        <w:rPr>
          <w:rFonts w:eastAsia="Arial" w:cs="Arial" w:ascii="Arial" w:hAnsi="Arial"/>
        </w:rPr>
        <w:t xml:space="preserve"> </w:t>
      </w:r>
      <w:r>
        <w:rPr>
          <w:rFonts w:eastAsia="Arial" w:cs="Arial" w:ascii="Arial" w:hAnsi="Arial"/>
          <w:i/>
        </w:rPr>
        <w:t>The Yale Law Journal</w:t>
      </w:r>
    </w:p>
    <w:p>
      <w:pPr>
        <w:sectPr>
          <w:type w:val="nextPage"/>
          <w:pgSz w:w="12240" w:h="16073"/>
          <w:pgMar w:left="720" w:right="1160" w:gutter="0" w:header="0" w:top="80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439"/>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439"/>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12240" w:h="16073"/>
          <w:pgMar w:left="720" w:right="1160" w:gutter="0" w:header="0" w:top="805"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5">
            <wp:simplePos x="0" y="0"/>
            <wp:positionH relativeFrom="page">
              <wp:posOffset>0</wp:posOffset>
            </wp:positionH>
            <wp:positionV relativeFrom="page">
              <wp:posOffset>0</wp:posOffset>
            </wp:positionV>
            <wp:extent cx="4885690" cy="802513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rcRect l="-4" t="-2" r="-4" b="-2"/>
                    <a:stretch>
                      <a:fillRect/>
                    </a:stretch>
                  </pic:blipFill>
                  <pic:spPr bwMode="auto">
                    <a:xfrm>
                      <a:off x="0" y="0"/>
                      <a:ext cx="4885690" cy="8025130"/>
                    </a:xfrm>
                    <a:prstGeom prst="rect">
                      <a:avLst/>
                    </a:prstGeom>
                  </pic:spPr>
                </pic:pic>
              </a:graphicData>
            </a:graphic>
          </wp:anchor>
        </w:drawing>
      </w:r>
      <w:bookmarkStart w:id="2" w:name="page2"/>
      <w:bookmarkStart w:id="3" w:name="page2"/>
      <w:bookmarkEnd w:id="3"/>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40" w:right="0"/>
        <w:rPr>
          <w:rFonts w:ascii="Arial" w:hAnsi="Arial" w:eastAsia="Arial" w:cs="Arial"/>
        </w:rPr>
      </w:pPr>
      <w:r>
        <w:rPr>
          <w:rFonts w:eastAsia="Arial" w:cs="Arial" w:ascii="Arial" w:hAnsi="Arial"/>
        </w:rPr>
        <w:t>WHAT PERFORMANCE ENTITLES A REAL</w:t>
      </w:r>
    </w:p>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40" w:right="0"/>
        <w:rPr>
          <w:rFonts w:ascii="Arial" w:hAnsi="Arial" w:eastAsia="Arial" w:cs="Arial"/>
          <w:sz w:val="19"/>
        </w:rPr>
      </w:pPr>
      <w:r>
        <w:rPr>
          <w:rFonts w:eastAsia="Arial" w:cs="Arial" w:ascii="Arial" w:hAnsi="Arial"/>
          <w:sz w:val="19"/>
        </w:rPr>
        <w:t>ESTATE BROKER TO COMMISSION</w:t>
      </w:r>
    </w:p>
    <w:p>
      <w:pPr>
        <w:pStyle w:val="Normal"/>
        <w:spacing w:lineRule="exact" w:line="10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1500" w:right="0"/>
        <w:rPr>
          <w:rFonts w:ascii="Arial" w:hAnsi="Arial" w:eastAsia="Arial" w:cs="Arial"/>
          <w:sz w:val="19"/>
        </w:rPr>
      </w:pPr>
      <w:r>
        <w:rPr>
          <w:rFonts w:eastAsia="Arial" w:cs="Arial" w:ascii="Arial" w:hAnsi="Arial"/>
          <w:sz w:val="19"/>
        </w:rPr>
        <w:t>THE NEW YORK LAW</w:t>
      </w:r>
    </w:p>
    <w:p>
      <w:pPr>
        <w:pStyle w:val="Normal"/>
        <w:spacing w:lineRule="exact" w:line="28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97"/>
        <w:ind w:firstLine="203" w:left="40" w:right="-5"/>
        <w:rPr/>
      </w:pPr>
      <w:r>
        <w:rPr>
          <w:rFonts w:eastAsia="Arial" w:cs="Arial" w:ascii="Arial" w:hAnsi="Arial"/>
          <w:sz w:val="18"/>
        </w:rPr>
        <w:t xml:space="preserve">"There are many reported cases of suits by real estate b </w:t>
      </w:r>
      <w:r>
        <w:rPr>
          <w:rFonts w:eastAsia="Arial" w:cs="Arial" w:ascii="Arial" w:hAnsi="Arial"/>
          <w:sz w:val="17"/>
        </w:rPr>
        <w:t>for their commissions, and the opinions of learned judges</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8"/>
        </w:rPr>
      </w:pPr>
      <w:r>
        <w:rPr>
          <w:rFonts w:eastAsia="Arial" w:cs="Arial" w:ascii="Arial" w:hAnsi="Arial"/>
          <w:sz w:val="18"/>
        </w:rPr>
        <w:t>always in harmony with each other." In less judically m</w:t>
      </w:r>
    </w:p>
    <w:p>
      <w:pPr>
        <w:pStyle w:val="Normal"/>
        <w:spacing w:lineRule="exact" w:line="5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7"/>
        </w:rPr>
      </w:pPr>
      <w:r>
        <w:rPr>
          <w:rFonts w:eastAsia="Arial" w:cs="Arial" w:ascii="Arial" w:hAnsi="Arial"/>
          <w:sz w:val="17"/>
        </w:rPr>
        <w:t>language than these words, quoted from the opinion of Ea</w:t>
      </w:r>
    </w:p>
    <w:p>
      <w:pPr>
        <w:pStyle w:val="Normal"/>
        <w:spacing w:lineRule="exact" w:line="4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40" w:right="0"/>
        <w:rPr>
          <w:rFonts w:ascii="Arial" w:hAnsi="Arial" w:eastAsia="Arial" w:cs="Arial"/>
          <w:sz w:val="19"/>
        </w:rPr>
      </w:pPr>
      <w:r>
        <w:rPr>
          <w:rFonts w:eastAsia="Arial" w:cs="Arial" w:ascii="Arial" w:hAnsi="Arial"/>
          <w:sz w:val="19"/>
        </w:rPr>
        <w:t>in Wylie v. Marine National Bank, 61 N. Y., 415, it m</w:t>
      </w:r>
    </w:p>
    <w:p>
      <w:pPr>
        <w:pStyle w:val="Normal"/>
        <w:spacing w:lineRule="exact" w:line="4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20" w:right="0"/>
        <w:rPr>
          <w:rFonts w:ascii="Arial" w:hAnsi="Arial" w:eastAsia="Arial" w:cs="Arial"/>
          <w:sz w:val="18"/>
        </w:rPr>
      </w:pPr>
      <w:r>
        <w:rPr>
          <w:rFonts w:eastAsia="Arial" w:cs="Arial" w:ascii="Arial" w:hAnsi="Arial"/>
          <w:sz w:val="18"/>
        </w:rPr>
        <w:t>said with equal truth that, with the single exception of</w:t>
      </w:r>
    </w:p>
    <w:p>
      <w:pPr>
        <w:pStyle w:val="Normal"/>
        <w:spacing w:lineRule="exact" w:line="5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called "accident cases" there is probably no one kind of li</w:t>
      </w:r>
    </w:p>
    <w:p>
      <w:pPr>
        <w:pStyle w:val="Normal"/>
        <w:spacing w:lineRule="exact" w:line="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more frequently appearing in the New York reports tha</w:t>
      </w:r>
    </w:p>
    <w:p>
      <w:pPr>
        <w:pStyle w:val="Normal"/>
        <w:spacing w:lineRule="exact" w:line="2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6"/>
        </w:rPr>
      </w:pPr>
      <w:r>
        <w:rPr>
          <w:rFonts w:eastAsia="Arial" w:cs="Arial" w:ascii="Arial" w:hAnsi="Arial"/>
          <w:sz w:val="16"/>
        </w:rPr>
        <w:t>action for the real estate broker's commission. That this should</w:t>
      </w:r>
    </w:p>
    <w:p>
      <w:pPr>
        <w:pStyle w:val="Normal"/>
        <w:spacing w:lineRule="exact" w:line="8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8"/>
        </w:rPr>
      </w:pPr>
      <w:r>
        <w:rPr>
          <w:rFonts w:eastAsia="Arial" w:cs="Arial" w:ascii="Arial" w:hAnsi="Arial"/>
          <w:sz w:val="18"/>
        </w:rPr>
        <w:t>be so is due not so much, it is believed, to the intricacy of the</w:t>
      </w:r>
    </w:p>
    <w:p>
      <w:pPr>
        <w:pStyle w:val="Normal"/>
        <w:spacing w:lineRule="exact" w:line="4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3"/>
        <w:ind w:hanging="5" w:left="20" w:right="254"/>
        <w:rPr>
          <w:rFonts w:ascii="Arial" w:hAnsi="Arial" w:eastAsia="Arial" w:cs="Arial"/>
          <w:sz w:val="18"/>
        </w:rPr>
      </w:pPr>
      <w:r>
        <w:rPr>
          <w:rFonts w:eastAsia="Arial" w:cs="Arial" w:ascii="Arial" w:hAnsi="Arial"/>
          <w:sz w:val="18"/>
        </w:rPr>
        <w:t>governing legal principles, as to a growing tendency on the part of the courts to fall back upon certain technical expressions and</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rules of thumb which have become current in the law of real</w:t>
      </w:r>
    </w:p>
    <w:p>
      <w:pPr>
        <w:pStyle w:val="Normal"/>
        <w:spacing w:lineRule="exact" w:line="8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8"/>
        </w:rPr>
      </w:pPr>
      <w:r>
        <w:rPr>
          <w:rFonts w:eastAsia="Arial" w:cs="Arial" w:ascii="Arial" w:hAnsi="Arial"/>
          <w:sz w:val="18"/>
        </w:rPr>
        <w:t>estate brokerage, without sufficient analysis and understanding</w:t>
      </w:r>
    </w:p>
    <w:p>
      <w:pPr>
        <w:pStyle w:val="Normal"/>
        <w:spacing w:lineRule="exact" w:line="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of their precise application.</w:t>
      </w:r>
    </w:p>
    <w:p>
      <w:pPr>
        <w:pStyle w:val="Normal"/>
        <w:spacing w:lineRule="exact" w:line="4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20" w:right="0"/>
        <w:rPr>
          <w:rFonts w:ascii="Arial" w:hAnsi="Arial" w:eastAsia="Arial" w:cs="Arial"/>
          <w:sz w:val="17"/>
        </w:rPr>
      </w:pPr>
      <w:r>
        <w:rPr>
          <w:rFonts w:eastAsia="Arial" w:cs="Arial" w:ascii="Arial" w:hAnsi="Arial"/>
          <w:sz w:val="17"/>
        </w:rPr>
        <w:t>In order to establish his right to the agreed or customary com-</w:t>
      </w:r>
    </w:p>
    <w:p>
      <w:pPr>
        <w:pStyle w:val="Normal"/>
        <w:spacing w:lineRule="exact" w:line="4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92"/>
        <w:ind w:left="20" w:right="194"/>
        <w:rPr>
          <w:rFonts w:ascii="Arial" w:hAnsi="Arial" w:eastAsia="Arial" w:cs="Arial"/>
          <w:sz w:val="18"/>
        </w:rPr>
      </w:pPr>
      <w:r>
        <w:rPr>
          <w:rFonts w:eastAsia="Arial" w:cs="Arial" w:ascii="Arial" w:hAnsi="Arial"/>
          <w:sz w:val="18"/>
        </w:rPr>
        <w:t>missions for services in connection with the sale, exchange, or lease of real estate, a real estate broker must prove (a) that he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was employed as such by the person from whom he seeks to re-</w:t>
      </w:r>
    </w:p>
    <w:p>
      <w:pPr>
        <w:pStyle w:val="Normal"/>
        <w:spacing w:lineRule="exact" w:line="3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8"/>
        <w:ind w:left="20" w:right="54"/>
        <w:rPr/>
      </w:pPr>
      <w:r>
        <w:rPr>
          <w:rFonts w:eastAsia="Arial" w:cs="Arial" w:ascii="Arial" w:hAnsi="Arial"/>
          <w:sz w:val="19"/>
        </w:rPr>
        <w:t xml:space="preserve">cover his commissions; (b) that he has acted pursuant to such </w:t>
      </w:r>
      <w:r>
        <w:rPr>
          <w:rFonts w:eastAsia="Arial" w:cs="Arial" w:ascii="Arial" w:hAnsi="Arial"/>
          <w:sz w:val="18"/>
        </w:rPr>
        <w:t>employment; (c) that a certain benefit has accrued to his em-</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ployer; (d) that such action on his part was the procuring cause</w:t>
      </w:r>
    </w:p>
    <w:p>
      <w:pPr>
        <w:pStyle w:val="Normal"/>
        <w:spacing w:lineRule="exact" w:line="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9"/>
        </w:rPr>
      </w:pPr>
      <w:r>
        <w:rPr>
          <w:rFonts w:eastAsia="Arial" w:cs="Arial" w:ascii="Arial" w:hAnsi="Arial"/>
          <w:sz w:val="19"/>
        </w:rPr>
        <w:t>of such benefit; and (e) that any special conditions precedent</w:t>
      </w:r>
    </w:p>
    <w:p>
      <w:pPr>
        <w:pStyle w:val="Normal"/>
        <w:spacing w:lineRule="exact" w:line="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8"/>
        </w:rPr>
      </w:pPr>
      <w:r>
        <w:rPr>
          <w:rFonts w:eastAsia="Arial" w:cs="Arial" w:ascii="Arial" w:hAnsi="Arial"/>
          <w:sz w:val="18"/>
        </w:rPr>
        <w:t>contained in his contract of employment have been duly per-</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7"/>
        </w:rPr>
      </w:pPr>
      <w:r>
        <w:rPr>
          <w:rFonts w:eastAsia="Arial" w:cs="Arial" w:ascii="Arial" w:hAnsi="Arial"/>
          <w:sz w:val="17"/>
        </w:rPr>
        <w:t>formed or complied with.</w:t>
      </w:r>
    </w:p>
    <w:p>
      <w:pPr>
        <w:pStyle w:val="Normal"/>
        <w:spacing w:lineRule="exact" w:line="5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0" w:right="0"/>
        <w:rPr>
          <w:rFonts w:ascii="Arial" w:hAnsi="Arial" w:eastAsia="Arial" w:cs="Arial"/>
          <w:sz w:val="18"/>
        </w:rPr>
      </w:pPr>
      <w:r>
        <w:rPr>
          <w:rFonts w:eastAsia="Arial" w:cs="Arial" w:ascii="Arial" w:hAnsi="Arial"/>
          <w:sz w:val="18"/>
        </w:rPr>
        <w:t>Upon the assumption that the broker has succeeded in proving</w:t>
      </w:r>
    </w:p>
    <w:p>
      <w:pPr>
        <w:pStyle w:val="Normal"/>
        <w:spacing w:lineRule="exact" w:line="3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0"/>
        <w:ind w:hanging="1" w:left="20" w:right="74"/>
        <w:rPr>
          <w:rFonts w:ascii="Arial" w:hAnsi="Arial" w:eastAsia="Arial" w:cs="Arial"/>
          <w:sz w:val="18"/>
        </w:rPr>
      </w:pPr>
      <w:r>
        <w:rPr>
          <w:rFonts w:eastAsia="Arial" w:cs="Arial" w:ascii="Arial" w:hAnsi="Arial"/>
          <w:sz w:val="18"/>
        </w:rPr>
        <w:t>that he was employed as such, in the ordinary way and without any special or unusual condition precedent to his right to com-</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7"/>
        <w:ind w:right="114"/>
        <w:rPr/>
      </w:pPr>
      <w:r>
        <w:rPr>
          <w:rFonts w:eastAsia="Arial" w:cs="Arial" w:ascii="Arial" w:hAnsi="Arial"/>
          <w:sz w:val="17"/>
        </w:rPr>
        <w:t>missions, by the person from whom he seeks to recover his com-missions, and that he has acted pursuant to such employment, it</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is proposed to consider, first, the nature of the benefit which must</w:t>
      </w:r>
    </w:p>
    <w:p>
      <w:pPr>
        <w:pStyle w:val="Normal"/>
        <w:spacing w:lineRule="exact" w:line="4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7"/>
        </w:rPr>
      </w:pPr>
      <w:r>
        <w:rPr>
          <w:rFonts w:eastAsia="Arial" w:cs="Arial" w:ascii="Arial" w:hAnsi="Arial"/>
          <w:sz w:val="17"/>
        </w:rPr>
        <w:t>be proved to have accrued to the employer, and second, the proof</w:t>
      </w:r>
    </w:p>
    <w:p>
      <w:pPr>
        <w:pStyle w:val="Normal"/>
        <w:spacing w:lineRule="exact" w:line="4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85"/>
        <w:ind w:firstLine="5" w:right="194"/>
        <w:rPr>
          <w:rFonts w:ascii="Arial" w:hAnsi="Arial" w:eastAsia="Arial" w:cs="Arial"/>
          <w:sz w:val="18"/>
        </w:rPr>
      </w:pPr>
      <w:r>
        <w:rPr>
          <w:rFonts w:eastAsia="Arial" w:cs="Arial" w:ascii="Arial" w:hAnsi="Arial"/>
          <w:sz w:val="18"/>
        </w:rPr>
        <w:t>required to establish the broker's action as the procuring cause of the accrual to the employer of such benefit. Under each of</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these two topics the cases involving the broker's right to commis-</w:t>
      </w:r>
    </w:p>
    <w:p>
      <w:pPr>
        <w:sectPr>
          <w:type w:val="nextPage"/>
          <w:pgSz w:w="7700" w:h="12869"/>
          <w:pgMar w:left="1080" w:right="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9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9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80" w:right="0" w:gutter="0" w:header="0" w:top="1440"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4885690" cy="8025130"/>
            <wp:effectExtent l="0" t="0" r="0" b="0"/>
            <wp:wrapNone/>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rcRect l="-4" t="-2" r="-4" b="-2"/>
                    <a:stretch>
                      <a:fillRect/>
                    </a:stretch>
                  </pic:blipFill>
                  <pic:spPr bwMode="auto">
                    <a:xfrm>
                      <a:off x="0" y="0"/>
                      <a:ext cx="4885690" cy="8025130"/>
                    </a:xfrm>
                    <a:prstGeom prst="rect">
                      <a:avLst/>
                    </a:prstGeom>
                  </pic:spPr>
                </pic:pic>
              </a:graphicData>
            </a:graphic>
          </wp:anchor>
        </w:drawing>
      </w:r>
      <w:bookmarkStart w:id="4" w:name="page3"/>
      <w:bookmarkStart w:id="5" w:name="page3"/>
      <w:bookmarkEnd w:id="5"/>
    </w:p>
    <w:p>
      <w:pPr>
        <w:pStyle w:val="Normal"/>
        <w:tabs>
          <w:tab w:val="clear" w:pos="720"/>
          <w:tab w:val="left" w:pos="1740" w:leader="none"/>
        </w:tabs>
        <w:spacing w:lineRule="atLeast" w:line="0"/>
        <w:ind w:left="20" w:right="0"/>
        <w:rPr/>
      </w:pPr>
      <w:r>
        <w:rPr>
          <w:rFonts w:eastAsia="Arial" w:cs="Arial" w:ascii="Arial" w:hAnsi="Arial"/>
          <w:sz w:val="27"/>
          <w:vertAlign w:val="subscript"/>
        </w:rPr>
        <w:t>340</w:t>
      </w:r>
      <w:r>
        <w:rPr>
          <w:rFonts w:eastAsia="Times New Roman" w:cs="Times New Roman" w:ascii="Times New Roman" w:hAnsi="Times New Roman"/>
        </w:rPr>
        <w:tab/>
      </w:r>
      <w:r>
        <w:rPr>
          <w:rFonts w:eastAsia="Arial" w:cs="Arial" w:ascii="Arial" w:hAnsi="Arial"/>
          <w:sz w:val="15"/>
        </w:rPr>
        <w:t>YALE LAW JOURNAL</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0" w:right="0"/>
        <w:rPr>
          <w:rFonts w:ascii="Arial" w:hAnsi="Arial" w:eastAsia="Arial" w:cs="Arial"/>
          <w:sz w:val="18"/>
        </w:rPr>
      </w:pPr>
      <w:r>
        <w:rPr>
          <w:rFonts w:eastAsia="Arial" w:cs="Arial" w:ascii="Arial" w:hAnsi="Arial"/>
          <w:sz w:val="18"/>
        </w:rPr>
        <w:t>sions will be classified according to their facts under</w:t>
      </w:r>
    </w:p>
    <w:p>
      <w:pPr>
        <w:pStyle w:val="Normal"/>
        <w:spacing w:lineRule="exact" w:line="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80" w:right="0"/>
        <w:rPr>
          <w:rFonts w:ascii="Arial" w:hAnsi="Arial" w:eastAsia="Arial" w:cs="Arial"/>
          <w:sz w:val="18"/>
        </w:rPr>
      </w:pPr>
      <w:r>
        <w:rPr>
          <w:rFonts w:eastAsia="Arial" w:cs="Arial" w:ascii="Arial" w:hAnsi="Arial"/>
          <w:sz w:val="18"/>
        </w:rPr>
        <w:t>ing three general heads:</w:t>
      </w:r>
    </w:p>
    <w:p>
      <w:pPr>
        <w:pStyle w:val="Normal"/>
        <w:spacing w:lineRule="exact" w:line="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300" w:right="0"/>
        <w:rPr>
          <w:rFonts w:ascii="Arial" w:hAnsi="Arial" w:eastAsia="Arial" w:cs="Arial"/>
          <w:sz w:val="19"/>
        </w:rPr>
      </w:pPr>
      <w:r>
        <w:rPr>
          <w:rFonts w:eastAsia="Arial" w:cs="Arial" w:ascii="Arial" w:hAnsi="Arial"/>
          <w:sz w:val="19"/>
        </w:rPr>
        <w:t>(A.) Where the transfer of interest1 which the</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80" w:right="0"/>
        <w:rPr>
          <w:rFonts w:ascii="Arial" w:hAnsi="Arial" w:eastAsia="Arial" w:cs="Arial"/>
          <w:sz w:val="17"/>
        </w:rPr>
      </w:pPr>
      <w:r>
        <w:rPr>
          <w:rFonts w:eastAsia="Arial" w:cs="Arial" w:ascii="Arial" w:hAnsi="Arial"/>
          <w:sz w:val="17"/>
        </w:rPr>
        <w:t>employed to facilitate has in fact been completed.</w:t>
      </w:r>
    </w:p>
    <w:p>
      <w:pPr>
        <w:pStyle w:val="Normal"/>
        <w:spacing w:lineRule="exact" w:line="5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300" w:right="0"/>
        <w:rPr>
          <w:rFonts w:ascii="Arial" w:hAnsi="Arial" w:eastAsia="Arial" w:cs="Arial"/>
          <w:sz w:val="18"/>
        </w:rPr>
      </w:pPr>
      <w:r>
        <w:rPr>
          <w:rFonts w:eastAsia="Arial" w:cs="Arial" w:ascii="Arial" w:hAnsi="Arial"/>
          <w:sz w:val="18"/>
        </w:rPr>
        <w:t>(B.) Where a final and binding contract for the tra</w:t>
      </w:r>
    </w:p>
    <w:p>
      <w:pPr>
        <w:pStyle w:val="Normal"/>
        <w:spacing w:lineRule="exact" w:line="3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interest which the broker was employed to facilitate</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been executed, but the transfer of interest itself ha</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7"/>
        </w:rPr>
      </w:pPr>
      <w:r>
        <w:rPr>
          <w:rFonts w:eastAsia="Arial" w:cs="Arial" w:ascii="Arial" w:hAnsi="Arial"/>
          <w:sz w:val="17"/>
        </w:rPr>
        <w:t>completed.</w:t>
      </w:r>
    </w:p>
    <w:p>
      <w:pPr>
        <w:pStyle w:val="Normal"/>
        <w:spacing w:lineRule="exact" w:line="4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60" w:right="0"/>
        <w:rPr>
          <w:rFonts w:ascii="Arial" w:hAnsi="Arial" w:eastAsia="Arial" w:cs="Arial"/>
          <w:sz w:val="19"/>
        </w:rPr>
      </w:pPr>
      <w:r>
        <w:rPr>
          <w:rFonts w:eastAsia="Arial" w:cs="Arial" w:ascii="Arial" w:hAnsi="Arial"/>
          <w:sz w:val="19"/>
        </w:rPr>
        <w:t>(C.) Where the terms prescribed or agreed to by the em-</w:t>
      </w:r>
    </w:p>
    <w:p>
      <w:pPr>
        <w:pStyle w:val="Normal"/>
        <w:spacing w:lineRule="exact" w:line="4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20" w:right="0"/>
        <w:rPr>
          <w:rFonts w:ascii="Arial" w:hAnsi="Arial" w:eastAsia="Arial" w:cs="Arial"/>
          <w:sz w:val="17"/>
        </w:rPr>
      </w:pPr>
      <w:r>
        <w:rPr>
          <w:rFonts w:eastAsia="Arial" w:cs="Arial" w:ascii="Arial" w:hAnsi="Arial"/>
          <w:sz w:val="17"/>
        </w:rPr>
        <w:t>ployer for the transfer o interest which the broker was employed</w:t>
      </w:r>
    </w:p>
    <w:p>
      <w:pPr>
        <w:pStyle w:val="Normal"/>
        <w:spacing w:lineRule="exact" w:line="2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8"/>
        </w:rPr>
      </w:pPr>
      <w:r>
        <w:rPr>
          <w:rFonts w:eastAsia="Arial" w:cs="Arial" w:ascii="Arial" w:hAnsi="Arial"/>
          <w:sz w:val="18"/>
        </w:rPr>
        <w:t>to facilitate, have been consented to, but the contract itself has</w:t>
      </w:r>
    </w:p>
    <w:p>
      <w:pPr>
        <w:pStyle w:val="Normal"/>
        <w:spacing w:lineRule="exact" w:line="4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not been executed.</w:t>
      </w:r>
    </w:p>
    <w:p>
      <w:pPr>
        <w:pStyle w:val="Normal"/>
        <w:spacing w:lineRule="exact" w:line="18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820" w:right="0"/>
        <w:rPr>
          <w:rFonts w:ascii="Arial" w:hAnsi="Arial" w:eastAsia="Arial" w:cs="Arial"/>
          <w:sz w:val="16"/>
        </w:rPr>
      </w:pPr>
      <w:r>
        <w:rPr>
          <w:rFonts w:eastAsia="Arial" w:cs="Arial" w:ascii="Arial" w:hAnsi="Arial"/>
          <w:sz w:val="16"/>
        </w:rPr>
        <w:t>I. THE BENEFIT TO THE EMPLOYER.</w:t>
      </w:r>
    </w:p>
    <w:p>
      <w:pPr>
        <w:pStyle w:val="Normal"/>
        <w:spacing w:lineRule="exact" w:line="20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00" w:right="0"/>
        <w:rPr>
          <w:rFonts w:ascii="Arial" w:hAnsi="Arial" w:eastAsia="Arial" w:cs="Arial"/>
          <w:sz w:val="19"/>
        </w:rPr>
      </w:pPr>
      <w:r>
        <w:rPr>
          <w:rFonts w:eastAsia="Arial" w:cs="Arial" w:ascii="Arial" w:hAnsi="Arial"/>
          <w:sz w:val="19"/>
        </w:rPr>
        <w:t>(A.) Where the transfer of interest which the b</w:t>
      </w:r>
    </w:p>
    <w:p>
      <w:pPr>
        <w:pStyle w:val="Normal"/>
        <w:spacing w:lineRule="exact" w:line="4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60" w:right="0"/>
        <w:rPr>
          <w:rFonts w:ascii="Arial" w:hAnsi="Arial" w:eastAsia="Arial" w:cs="Arial"/>
          <w:sz w:val="18"/>
        </w:rPr>
      </w:pPr>
      <w:r>
        <w:rPr>
          <w:rFonts w:eastAsia="Arial" w:cs="Arial" w:ascii="Arial" w:hAnsi="Arial"/>
          <w:sz w:val="18"/>
        </w:rPr>
        <w:t>employed to facilitate has in fact been completed.</w:t>
      </w:r>
    </w:p>
    <w:p>
      <w:pPr>
        <w:pStyle w:val="Normal"/>
        <w:spacing w:lineRule="exact" w:line="3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60" w:right="0"/>
        <w:rPr>
          <w:rFonts w:ascii="Arial" w:hAnsi="Arial" w:eastAsia="Arial" w:cs="Arial"/>
          <w:sz w:val="18"/>
        </w:rPr>
      </w:pPr>
      <w:r>
        <w:rPr>
          <w:rFonts w:eastAsia="Arial" w:cs="Arial" w:ascii="Arial" w:hAnsi="Arial"/>
          <w:sz w:val="18"/>
        </w:rPr>
        <w:t>Obviously the requirement that there must be show</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6"/>
        </w:rPr>
      </w:pPr>
      <w:r>
        <w:rPr>
          <w:rFonts w:eastAsia="Arial" w:cs="Arial" w:ascii="Arial" w:hAnsi="Arial"/>
          <w:sz w:val="16"/>
        </w:rPr>
        <w:t>accrued to the employer a certain benefit is satisfied by p</w:t>
      </w:r>
    </w:p>
    <w:p>
      <w:pPr>
        <w:pStyle w:val="Normal"/>
        <w:spacing w:lineRule="exact" w:line="6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left="60" w:right="-5"/>
        <w:rPr>
          <w:rFonts w:ascii="Arial" w:hAnsi="Arial" w:eastAsia="Arial" w:cs="Arial"/>
          <w:sz w:val="18"/>
        </w:rPr>
      </w:pPr>
      <w:r>
        <w:rPr>
          <w:rFonts w:eastAsia="Arial" w:cs="Arial" w:ascii="Arial" w:hAnsi="Arial"/>
          <w:sz w:val="18"/>
        </w:rPr>
        <w:t>the very transaction to facilitate which the broker wa has in fact been completed.</w:t>
      </w:r>
    </w:p>
    <w:p>
      <w:pPr>
        <w:pStyle w:val="Normal"/>
        <w:spacing w:lineRule="exact" w:line="26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80" w:right="0"/>
        <w:rPr>
          <w:rFonts w:ascii="Arial" w:hAnsi="Arial" w:eastAsia="Arial" w:cs="Arial"/>
          <w:sz w:val="18"/>
        </w:rPr>
      </w:pPr>
      <w:r>
        <w:rPr>
          <w:rFonts w:eastAsia="Arial" w:cs="Arial" w:ascii="Arial" w:hAnsi="Arial"/>
          <w:sz w:val="18"/>
        </w:rPr>
        <w:t>(B.) Where a final and binding contract for the tra</w:t>
      </w:r>
    </w:p>
    <w:p>
      <w:pPr>
        <w:pStyle w:val="Normal"/>
        <w:spacing w:lineRule="exact" w:line="3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interest which the broker was employed to facilitate</w:t>
      </w:r>
    </w:p>
    <w:p>
      <w:pPr>
        <w:pStyle w:val="Normal"/>
        <w:spacing w:lineRule="exact" w:line="4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been executed, but the transfer of interest itself has</w:t>
      </w:r>
    </w:p>
    <w:p>
      <w:pPr>
        <w:pStyle w:val="Normal"/>
        <w:spacing w:lineRule="exact" w:line="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7"/>
        </w:rPr>
      </w:pPr>
      <w:r>
        <w:rPr>
          <w:rFonts w:eastAsia="Arial" w:cs="Arial" w:ascii="Arial" w:hAnsi="Arial"/>
          <w:sz w:val="17"/>
        </w:rPr>
        <w:t>completed.</w:t>
      </w:r>
    </w:p>
    <w:p>
      <w:pPr>
        <w:pStyle w:val="Normal"/>
        <w:spacing w:lineRule="exact" w:line="4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20" w:right="0"/>
        <w:rPr>
          <w:rFonts w:ascii="Arial" w:hAnsi="Arial" w:eastAsia="Arial" w:cs="Arial"/>
          <w:sz w:val="18"/>
        </w:rPr>
      </w:pPr>
      <w:r>
        <w:rPr>
          <w:rFonts w:eastAsia="Arial" w:cs="Arial" w:ascii="Arial" w:hAnsi="Arial"/>
          <w:sz w:val="18"/>
        </w:rPr>
        <w:t>The real estate broker's right to commissions is not (at least</w:t>
      </w:r>
    </w:p>
    <w:p>
      <w:pPr>
        <w:pStyle w:val="Normal"/>
        <w:spacing w:lineRule="exact" w:line="5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in the absence of special provision to that effect in his contract of</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90"/>
        <w:ind w:firstLine="2" w:left="20" w:right="1314"/>
        <w:rPr/>
      </w:pPr>
      <w:r>
        <w:rPr>
          <w:rFonts w:eastAsia="Arial" w:cs="Arial" w:ascii="Arial" w:hAnsi="Arial"/>
          <w:sz w:val="18"/>
        </w:rPr>
        <w:t xml:space="preserve">employment) dependent upon the completion of the transfer of interest which he was employed to facilitate. His office being at </w:t>
      </w:r>
      <w:r>
        <w:rPr>
          <w:rFonts w:eastAsia="Arial" w:cs="Arial" w:ascii="Arial" w:hAnsi="Arial"/>
          <w:sz w:val="17"/>
        </w:rPr>
        <w:t>most that of a mediator for the purpose of bringing the employer and the customer into agreement as to the terms and conditions on the basis of which the transfer is to be completed, allegation</w:t>
      </w:r>
    </w:p>
    <w:p>
      <w:pPr>
        <w:pStyle w:val="Normal"/>
        <w:spacing w:lineRule="exact" w:line="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8"/>
        </w:rPr>
      </w:pPr>
      <w:r>
        <w:rPr>
          <w:rFonts w:eastAsia="Arial" w:cs="Arial" w:ascii="Arial" w:hAnsi="Arial"/>
          <w:sz w:val="18"/>
        </w:rPr>
        <w:t>and proof of a written contract between the employer and the</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customer for the transfer of interest may be as fully sufficient to</w:t>
      </w:r>
    </w:p>
    <w:p>
      <w:pPr>
        <w:pStyle w:val="Normal"/>
        <w:spacing w:lineRule="exact" w:line="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8"/>
        </w:rPr>
      </w:pPr>
      <w:r>
        <w:rPr>
          <w:rFonts w:eastAsia="Arial" w:cs="Arial" w:ascii="Arial" w:hAnsi="Arial"/>
          <w:sz w:val="18"/>
        </w:rPr>
        <w:t>entitle the broker to recover commissions as allegation and proof</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of the completed transfer of interest itself.2</w:t>
      </w:r>
    </w:p>
    <w:p>
      <w:pPr>
        <w:pStyle w:val="Normal"/>
        <w:spacing w:lineRule="exact" w:line="9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40" w:right="0"/>
        <w:rPr>
          <w:rFonts w:ascii="Arial" w:hAnsi="Arial" w:eastAsia="Arial" w:cs="Arial"/>
          <w:sz w:val="16"/>
        </w:rPr>
      </w:pPr>
      <w:r>
        <w:rPr>
          <w:rFonts w:eastAsia="Arial" w:cs="Arial" w:ascii="Arial" w:hAnsi="Arial"/>
          <w:sz w:val="16"/>
        </w:rPr>
        <w:t>1 The expression "transfer of interest" is used to denote a convey-</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5"/>
        </w:rPr>
      </w:pPr>
      <w:r>
        <w:rPr>
          <w:rFonts w:eastAsia="Arial" w:cs="Arial" w:ascii="Arial" w:hAnsi="Arial"/>
          <w:sz w:val="15"/>
        </w:rPr>
        <w:t>ance or a lease, as the case may be.</w:t>
      </w:r>
    </w:p>
    <w:p>
      <w:pPr>
        <w:pStyle w:val="Normal"/>
        <w:spacing w:lineRule="exact" w:line="3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4"/>
        <w:ind w:firstLine="319" w:right="1414"/>
        <w:jc w:val="both"/>
        <w:rPr>
          <w:rFonts w:ascii="Arial" w:hAnsi="Arial" w:eastAsia="Arial" w:cs="Arial"/>
          <w:sz w:val="16"/>
        </w:rPr>
      </w:pPr>
      <w:r>
        <w:rPr>
          <w:rFonts w:eastAsia="Arial" w:cs="Arial" w:ascii="Arial" w:hAnsi="Arial"/>
          <w:sz w:val="16"/>
        </w:rPr>
        <w:t>2Hodgkins v. Mead, 8 N. Y. Supp., 854; aff'd 130 N. Y., 676; Cody v. Dempsey, 86 A. D., 335; Bruce v. Hurlburt, 47 A. D., 163; Brown v. Hel-muth, 2 Misc., 566. See also cases cited post in notes 12-15 inclusive. As</w:t>
      </w:r>
    </w:p>
    <w:p>
      <w:pPr>
        <w:pStyle w:val="Normal"/>
        <w:spacing w:lineRule="atLeast" w:line="0"/>
        <w:rPr>
          <w:rFonts w:ascii="Arial" w:hAnsi="Arial" w:eastAsia="Arial" w:cs="Arial"/>
          <w:sz w:val="15"/>
        </w:rPr>
      </w:pPr>
      <w:r>
        <w:rPr>
          <w:rFonts w:eastAsia="Arial" w:cs="Arial" w:ascii="Arial" w:hAnsi="Arial"/>
          <w:sz w:val="15"/>
        </w:rPr>
        <w:t>to the effect of informality of the instrument, see Benedict v. Pincus, 191</w:t>
      </w:r>
    </w:p>
    <w:p>
      <w:pPr>
        <w:pStyle w:val="Normal"/>
        <w:spacing w:lineRule="exact" w:line="2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7"/>
        </w:rPr>
      </w:pPr>
      <w:r>
        <w:rPr>
          <w:rFonts w:eastAsia="Arial" w:cs="Arial" w:ascii="Arial" w:hAnsi="Arial"/>
          <w:sz w:val="17"/>
        </w:rPr>
        <w:t>N. Y., 377 (sub-lease); Simonson v. Kissick, 4 Daly, 143; Heinrich v.</w:t>
      </w:r>
    </w:p>
    <w:p>
      <w:pPr>
        <w:pStyle w:val="Normal"/>
        <w:spacing w:lineRule="exact" w:line="1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Korn, 4 Daly, 74.</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1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sectPr>
          <w:type w:val="nextPage"/>
          <w:pgSz w:w="7700" w:h="12869"/>
          <w:pgMar w:left="1020" w:right="0" w:gutter="0" w:header="0" w:top="727" w:footer="0" w:bottom="0"/>
          <w:pgNumType w:fmt="decimal"/>
          <w:formProt w:val="false"/>
          <w:textDirection w:val="lrTb"/>
          <w:docGrid w:type="default" w:linePitch="360" w:charSpace="0"/>
        </w:sectPr>
        <w:pStyle w:val="Normal"/>
        <w:spacing w:lineRule="auto" w:line="206"/>
        <w:ind w:right="101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7">
            <wp:simplePos x="0" y="0"/>
            <wp:positionH relativeFrom="page">
              <wp:posOffset>0</wp:posOffset>
            </wp:positionH>
            <wp:positionV relativeFrom="page">
              <wp:posOffset>0</wp:posOffset>
            </wp:positionV>
            <wp:extent cx="4885690" cy="8025130"/>
            <wp:effectExtent l="0" t="0" r="0" b="0"/>
            <wp:wrapNone/>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rcRect l="-4" t="-2" r="-4" b="-2"/>
                    <a:stretch>
                      <a:fillRect/>
                    </a:stretch>
                  </pic:blipFill>
                  <pic:spPr bwMode="auto">
                    <a:xfrm>
                      <a:off x="0" y="0"/>
                      <a:ext cx="4885690" cy="8025130"/>
                    </a:xfrm>
                    <a:prstGeom prst="rect">
                      <a:avLst/>
                    </a:prstGeom>
                  </pic:spPr>
                </pic:pic>
              </a:graphicData>
            </a:graphic>
          </wp:anchor>
        </w:drawing>
      </w:r>
      <w:bookmarkStart w:id="6" w:name="page4"/>
      <w:bookmarkStart w:id="7" w:name="page4"/>
      <w:bookmarkEnd w:id="7"/>
    </w:p>
    <w:p>
      <w:pPr>
        <w:pStyle w:val="Normal"/>
        <w:tabs>
          <w:tab w:val="clear" w:pos="720"/>
          <w:tab w:val="left" w:pos="5360" w:leader="none"/>
        </w:tabs>
        <w:spacing w:lineRule="atLeast" w:line="0"/>
        <w:ind w:left="760" w:right="0"/>
        <w:rPr/>
      </w:pPr>
      <w:r>
        <w:rPr>
          <w:rFonts w:eastAsia="Arial" w:cs="Arial" w:ascii="Arial" w:hAnsi="Arial"/>
          <w:sz w:val="16"/>
        </w:rPr>
        <w:t>REAL ESTATE BROKER COMMISSIONS</w:t>
      </w:r>
      <w:r>
        <w:rPr>
          <w:rFonts w:eastAsia="Times New Roman" w:cs="Times New Roman" w:ascii="Times New Roman" w:hAnsi="Times New Roman"/>
        </w:rPr>
        <w:tab/>
      </w:r>
      <w:r>
        <w:rPr>
          <w:rFonts w:eastAsia="Arial" w:cs="Arial" w:ascii="Arial" w:hAnsi="Arial"/>
          <w:sz w:val="19"/>
          <w:vertAlign w:val="subscript"/>
        </w:rPr>
        <w:t>341</w:t>
      </w:r>
    </w:p>
    <w:p>
      <w:pPr>
        <w:pStyle w:val="Normal"/>
        <w:spacing w:lineRule="exact" w:line="200"/>
        <w:rPr>
          <w:rFonts w:ascii="Times New Roman" w:hAnsi="Times New Roman" w:eastAsia="Times New Roman" w:cs="Times New Roman"/>
          <w:sz w:val="19"/>
          <w:vertAlign w:val="subscript"/>
        </w:rPr>
      </w:pPr>
      <w:r>
        <w:rPr>
          <w:rFonts w:eastAsia="Times New Roman" w:cs="Times New Roman" w:ascii="Times New Roman" w:hAnsi="Times New Roman"/>
          <w:sz w:val="19"/>
          <w:vertAlign w:val="subscript"/>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 w:right="0"/>
        <w:rPr>
          <w:rFonts w:ascii="Arial" w:hAnsi="Arial" w:eastAsia="Arial" w:cs="Arial"/>
          <w:sz w:val="16"/>
        </w:rPr>
      </w:pPr>
      <w:r>
        <w:rPr>
          <w:rFonts w:eastAsia="Arial" w:cs="Arial" w:ascii="Arial" w:hAnsi="Arial"/>
          <w:sz w:val="16"/>
        </w:rPr>
        <w:t>In order to be sufficient for this purpose, however, the</w:t>
      </w:r>
    </w:p>
    <w:p>
      <w:pPr>
        <w:pStyle w:val="Normal"/>
        <w:spacing w:lineRule="exact" w:line="5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8"/>
        </w:rPr>
      </w:pPr>
      <w:r>
        <w:rPr>
          <w:rFonts w:eastAsia="Arial" w:cs="Arial" w:ascii="Arial" w:hAnsi="Arial"/>
          <w:sz w:val="18"/>
        </w:rPr>
        <w:t>must be binding upon both parties and not a mere op</w:t>
      </w:r>
    </w:p>
    <w:p>
      <w:pPr>
        <w:pStyle w:val="Normal"/>
        <w:spacing w:lineRule="exact" w:line="4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26"/>
        <w:ind w:firstLine="2" w:right="-5"/>
        <w:jc w:val="both"/>
        <w:rPr/>
      </w:pPr>
      <w:r>
        <w:rPr>
          <w:rFonts w:eastAsia="Arial" w:cs="Arial" w:ascii="Arial" w:hAnsi="Arial"/>
          <w:sz w:val="18"/>
        </w:rPr>
        <w:t xml:space="preserve">mere preliminary statement setting out the terms sug </w:t>
      </w:r>
      <w:r>
        <w:rPr>
          <w:rFonts w:eastAsia="Arial" w:cs="Arial" w:ascii="Arial" w:hAnsi="Arial"/>
          <w:sz w:val="17"/>
        </w:rPr>
        <w:t>one of the parties ;4 it must not depend for its validity consent or approval of a third party,5 or upon the fulfi</w:t>
      </w:r>
    </w:p>
    <w:p>
      <w:pPr>
        <w:pStyle w:val="Normal"/>
        <w:spacing w:lineRule="exact" w:line="19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92"/>
        <w:ind w:firstLine="2" w:right="-5"/>
        <w:jc w:val="both"/>
        <w:rPr>
          <w:rFonts w:ascii="Arial" w:hAnsi="Arial" w:eastAsia="Arial" w:cs="Arial"/>
          <w:sz w:val="18"/>
        </w:rPr>
      </w:pPr>
      <w:r>
        <w:rPr>
          <w:rFonts w:eastAsia="Arial" w:cs="Arial" w:ascii="Arial" w:hAnsi="Arial"/>
          <w:sz w:val="18"/>
        </w:rPr>
        <w:t>condition not dependent upon action by the employer must be final and complete; that is, it must show a m</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6"/>
        </w:rPr>
      </w:pPr>
      <w:r>
        <w:rPr>
          <w:rFonts w:eastAsia="Arial" w:cs="Arial" w:ascii="Arial" w:hAnsi="Arial"/>
          <w:sz w:val="16"/>
        </w:rPr>
        <w:t>minds upon the material terms,7 must be more than a mer</w:t>
      </w:r>
    </w:p>
    <w:p>
      <w:pPr>
        <w:pStyle w:val="Normal"/>
        <w:spacing w:lineRule="exact" w:line="4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9"/>
        </w:rPr>
      </w:pPr>
      <w:r>
        <w:rPr>
          <w:rFonts w:eastAsia="Arial" w:cs="Arial" w:ascii="Arial" w:hAnsi="Arial"/>
          <w:sz w:val="19"/>
        </w:rPr>
        <w:t>ment as to price,8 and must leave no material detai</w:t>
      </w:r>
    </w:p>
    <w:p>
      <w:pPr>
        <w:pStyle w:val="Normal"/>
        <w:spacing w:lineRule="exact" w:line="4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20" w:right="0"/>
        <w:rPr>
          <w:rFonts w:ascii="Arial" w:hAnsi="Arial" w:eastAsia="Arial" w:cs="Arial"/>
          <w:sz w:val="17"/>
        </w:rPr>
      </w:pPr>
      <w:r>
        <w:rPr>
          <w:rFonts w:eastAsia="Arial" w:cs="Arial" w:ascii="Arial" w:hAnsi="Arial"/>
          <w:sz w:val="17"/>
        </w:rPr>
        <w:t>ranged by future negotiation.9</w:t>
      </w:r>
    </w:p>
    <w:p>
      <w:pPr>
        <w:pStyle w:val="Normal"/>
        <w:spacing w:lineRule="exact" w:line="14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320" w:right="0"/>
        <w:rPr>
          <w:rFonts w:ascii="Arial" w:hAnsi="Arial" w:eastAsia="Arial" w:cs="Arial"/>
          <w:sz w:val="18"/>
        </w:rPr>
      </w:pPr>
      <w:r>
        <w:rPr>
          <w:rFonts w:eastAsia="Arial" w:cs="Arial" w:ascii="Arial" w:hAnsi="Arial"/>
          <w:sz w:val="18"/>
        </w:rPr>
        <w:t>8Folinsbee v. Sawyer, 15 Misc., 293; 157 N. Y., 196; C</w:t>
      </w:r>
    </w:p>
    <w:p>
      <w:pPr>
        <w:pStyle w:val="Normal"/>
        <w:spacing w:lineRule="exact" w:line="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6"/>
        </w:rPr>
      </w:pPr>
      <w:r>
        <w:rPr>
          <w:rFonts w:eastAsia="Arial" w:cs="Arial" w:ascii="Arial" w:hAnsi="Arial"/>
          <w:sz w:val="16"/>
        </w:rPr>
        <w:t>Waldo, 137 N. Y., 129 (lease); Benedict v. Pincus, 109 A. D.,</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D., 903, reversed in 191 N. Y., 377, on ground that contract w</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2"/>
        <w:ind w:firstLine="22" w:right="-5"/>
        <w:jc w:val="both"/>
        <w:rPr>
          <w:rFonts w:ascii="Arial" w:hAnsi="Arial" w:eastAsia="Arial" w:cs="Arial"/>
          <w:sz w:val="16"/>
        </w:rPr>
      </w:pPr>
      <w:r>
        <w:rPr>
          <w:rFonts w:eastAsia="Arial" w:cs="Arial" w:ascii="Arial" w:hAnsi="Arial"/>
          <w:sz w:val="16"/>
        </w:rPr>
        <w:t>(sub-lease); Kampf v. Dreyer, 119 A. D., 134; Milstein v .Dor A. D., 349; Walsh v. Gay, 49 A. D., 50; Simonson v. Kissick, (instrument held to be a contract); Hess v. Investors &amp; Tra</w:t>
      </w:r>
    </w:p>
    <w:p>
      <w:pPr>
        <w:pStyle w:val="Normal"/>
        <w:spacing w:lineRule="exact" w:line="16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8"/>
        <w:ind w:firstLine="3" w:right="-5"/>
        <w:jc w:val="both"/>
        <w:rPr/>
      </w:pPr>
      <w:r>
        <w:rPr>
          <w:rFonts w:eastAsia="Arial" w:cs="Arial" w:ascii="Arial" w:hAnsi="Arial"/>
          <w:sz w:val="15"/>
        </w:rPr>
        <w:t>Co., 67 Misc., 390 (covenant by seller giving purchaser right to and get back purchase price if parcels not contiguous, held no</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to make contract a mere option.; Hough v. Baldwin, 50 Mis</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Misc., 284; Seidman v. Rauner, 51 Misc., 10; Ward v. Zborows</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8"/>
        </w:rPr>
      </w:pPr>
      <w:r>
        <w:rPr>
          <w:rFonts w:eastAsia="Arial" w:cs="Arial" w:ascii="Arial" w:hAnsi="Arial"/>
          <w:sz w:val="18"/>
        </w:rPr>
        <w:t>66 (lease); Fusco v. Bullowa, 17 Misc., 573 (lease); Levy v</w:t>
      </w:r>
    </w:p>
    <w:p>
      <w:pPr>
        <w:pStyle w:val="Normal"/>
        <w:spacing w:lineRule="atLeast" w:line="0"/>
        <w:ind w:left="20" w:right="0"/>
        <w:rPr>
          <w:rFonts w:ascii="Arial" w:hAnsi="Arial" w:eastAsia="Arial" w:cs="Arial"/>
          <w:sz w:val="16"/>
        </w:rPr>
      </w:pPr>
      <w:r>
        <w:rPr>
          <w:rFonts w:eastAsia="Arial" w:cs="Arial" w:ascii="Arial" w:hAnsi="Arial"/>
          <w:sz w:val="16"/>
        </w:rPr>
        <w:t>11 Misc., 372; Bennett v. Egan, 3 Misc., 421; Schlansky v. H</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N. Y. Supp., 696.</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4 Guthman v. Meuer, 31 Misc., 810 (letter from employer</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Montgomery v. Knickerbocker, 27 A. D., 117 (provisional offer</w:t>
      </w:r>
    </w:p>
    <w:p>
      <w:pPr>
        <w:pStyle w:val="Normal"/>
        <w:spacing w:lineRule="exact" w:line="3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by customer); see Inge v. McCreery, 60 A. D., 557 (letter from</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to customer).</w:t>
      </w:r>
    </w:p>
    <w:p>
      <w:pPr>
        <w:pStyle w:val="Normal"/>
        <w:spacing w:lineRule="exact" w:line="2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40" w:right="0"/>
        <w:rPr>
          <w:rFonts w:ascii="Arial" w:hAnsi="Arial" w:eastAsia="Arial" w:cs="Arial"/>
          <w:sz w:val="17"/>
        </w:rPr>
      </w:pPr>
      <w:r>
        <w:rPr>
          <w:rFonts w:eastAsia="Arial" w:cs="Arial" w:ascii="Arial" w:hAnsi="Arial"/>
          <w:sz w:val="17"/>
        </w:rPr>
        <w:t>5 Crombie v. Waldo, 137 N. Y., 129 (lease); Ward v. Ke</w:t>
      </w:r>
    </w:p>
    <w:p>
      <w:pPr>
        <w:pStyle w:val="Normal"/>
        <w:spacing w:lineRule="exact" w:line="3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6"/>
        </w:rPr>
      </w:pPr>
      <w:r>
        <w:rPr>
          <w:rFonts w:eastAsia="Arial" w:cs="Arial" w:ascii="Arial" w:hAnsi="Arial"/>
          <w:sz w:val="16"/>
        </w:rPr>
        <w:t>Misc., 422; Halprin v. Schachne, 21 Misc., 519. At least unle</w:t>
      </w:r>
    </w:p>
    <w:p>
      <w:pPr>
        <w:pStyle w:val="Normal"/>
        <w:spacing w:lineRule="exact" w:line="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on which such consent or approval is to be given or withheld is</w:t>
      </w:r>
    </w:p>
    <w:p>
      <w:pPr>
        <w:pStyle w:val="Normal"/>
        <w:spacing w:lineRule="exact" w:line="2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1"/>
        <w:ind w:firstLine="12" w:right="-5"/>
        <w:jc w:val="both"/>
        <w:rPr>
          <w:rFonts w:ascii="Arial" w:hAnsi="Arial" w:eastAsia="Arial" w:cs="Arial"/>
          <w:sz w:val="16"/>
        </w:rPr>
      </w:pPr>
      <w:r>
        <w:rPr>
          <w:rFonts w:eastAsia="Arial" w:cs="Arial" w:ascii="Arial" w:hAnsi="Arial"/>
          <w:sz w:val="16"/>
        </w:rPr>
        <w:t>stated. Sullivan v. Frazier, 40 A. D., 288 (conditioned on appro by customer's lawyer).</w:t>
      </w:r>
    </w:p>
    <w:p>
      <w:pPr>
        <w:pStyle w:val="Normal"/>
        <w:spacing w:lineRule="exact" w:line="2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6 Condict v. Cowdrey, 139 N. Y., 273.</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7A slight variation between the customer's acceptance pro</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31"/>
        <w:ind w:right="14"/>
        <w:jc w:val="both"/>
        <w:rPr>
          <w:rFonts w:ascii="Arial" w:hAnsi="Arial" w:eastAsia="Arial" w:cs="Arial"/>
          <w:sz w:val="15"/>
        </w:rPr>
      </w:pPr>
      <w:r>
        <w:rPr>
          <w:rFonts w:eastAsia="Arial" w:cs="Arial" w:ascii="Arial" w:hAnsi="Arial"/>
          <w:sz w:val="15"/>
        </w:rPr>
        <w:t>the broker and the offer given by the employer, which is due take of the broker in writing out the form of acceptance, will plained as such to the employer and if the customer offers to</w:t>
      </w:r>
    </w:p>
    <w:p>
      <w:pPr>
        <w:pStyle w:val="Normal"/>
        <w:spacing w:lineRule="exact" w:line="14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6"/>
        <w:ind w:right="-5"/>
        <w:jc w:val="both"/>
        <w:rPr/>
      </w:pPr>
      <w:r>
        <w:rPr>
          <w:rFonts w:eastAsia="Arial" w:cs="Arial" w:ascii="Arial" w:hAnsi="Arial"/>
          <w:sz w:val="16"/>
        </w:rPr>
        <w:t>mistake, entitle the employer to claim that no contract was v. Post, 110 N. Y. Supp., 79. But if the terms of the custome</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ance intentionally differ from those of the employer's offer, t</w:t>
      </w:r>
    </w:p>
    <w:p>
      <w:pPr>
        <w:pStyle w:val="Normal"/>
        <w:spacing w:lineRule="exact" w:line="3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59"/>
        <w:ind w:firstLine="5" w:right="14"/>
        <w:jc w:val="both"/>
        <w:rPr>
          <w:rFonts w:ascii="Arial" w:hAnsi="Arial" w:eastAsia="Arial" w:cs="Arial"/>
          <w:sz w:val="16"/>
        </w:rPr>
      </w:pPr>
      <w:r>
        <w:rPr>
          <w:rFonts w:eastAsia="Arial" w:cs="Arial" w:ascii="Arial" w:hAnsi="Arial"/>
          <w:sz w:val="16"/>
        </w:rPr>
        <w:t>may claim that no contract was made, unless he has treated ance as a counter-offer, and as such has himself accepted it.</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New &amp; Beaver St. Corp., 138 A. D., 47 (lease); Bayles v. Robi</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N. Y. Supp., 755 (lease).</w:t>
      </w:r>
    </w:p>
    <w:p>
      <w:pPr>
        <w:pStyle w:val="Normal"/>
        <w:spacing w:lineRule="exact" w:line="1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8 Peace v. Ross, 123 A. D., 611; Haase v. Schneider, 112 A</w:t>
      </w:r>
    </w:p>
    <w:p>
      <w:pPr>
        <w:pStyle w:val="Normal"/>
        <w:spacing w:lineRule="exact" w:line="1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but see Heinrich v. Korn, 4 Daly, 74.</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9 Herron v. Cameron, 144 A. D., 43 (plans of building and</w:t>
      </w:r>
    </w:p>
    <w:p>
      <w:pPr>
        <w:pStyle w:val="Normal"/>
        <w:spacing w:lineRule="exact" w:line="4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costs-lease); Haase v. Schneider, 112 A. D., 336 (time of closi</w:t>
      </w:r>
    </w:p>
    <w:p>
      <w:pPr>
        <w:pStyle w:val="Normal"/>
        <w:spacing w:lineRule="exact" w:line="37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right="105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sectPr>
          <w:type w:val="nextPage"/>
          <w:pgSz w:w="7700" w:h="12869"/>
          <w:pgMar w:left="1060" w:right="0" w:gutter="0" w:header="0" w:top="820" w:footer="0" w:bottom="0"/>
          <w:pgNumType w:fmt="decimal"/>
          <w:formProt w:val="false"/>
          <w:textDirection w:val="lrTb"/>
          <w:docGrid w:type="default" w:linePitch="360" w:charSpace="0"/>
        </w:sectPr>
        <w:pStyle w:val="Normal"/>
        <w:spacing w:lineRule="auto" w:line="206"/>
        <w:ind w:right="105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4885690" cy="8025130"/>
            <wp:effectExtent l="0" t="0" r="0" b="0"/>
            <wp:wrapNone/>
            <wp:docPr id="7"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rcRect l="-4" t="-2" r="-4" b="-2"/>
                    <a:stretch>
                      <a:fillRect/>
                    </a:stretch>
                  </pic:blipFill>
                  <pic:spPr bwMode="auto">
                    <a:xfrm>
                      <a:off x="0" y="0"/>
                      <a:ext cx="4885690" cy="8025130"/>
                    </a:xfrm>
                    <a:prstGeom prst="rect">
                      <a:avLst/>
                    </a:prstGeom>
                  </pic:spPr>
                </pic:pic>
              </a:graphicData>
            </a:graphic>
          </wp:anchor>
        </w:drawing>
      </w:r>
      <w:bookmarkStart w:id="8" w:name="page5"/>
      <w:bookmarkStart w:id="9" w:name="page5"/>
      <w:bookmarkEnd w:id="9"/>
    </w:p>
    <w:p>
      <w:pPr>
        <w:pStyle w:val="Normal"/>
        <w:tabs>
          <w:tab w:val="clear" w:pos="720"/>
          <w:tab w:val="left" w:pos="1720" w:leader="none"/>
        </w:tabs>
        <w:spacing w:lineRule="atLeast" w:line="0"/>
        <w:rPr/>
      </w:pPr>
      <w:r>
        <w:rPr>
          <w:rFonts w:eastAsia="Arial" w:cs="Arial" w:ascii="Arial" w:hAnsi="Arial"/>
          <w:sz w:val="28"/>
          <w:vertAlign w:val="subscript"/>
        </w:rPr>
        <w:t>34?2</w:t>
      </w:r>
      <w:r>
        <w:rPr>
          <w:rFonts w:eastAsia="Times New Roman" w:cs="Times New Roman" w:ascii="Times New Roman" w:hAnsi="Times New Roman"/>
        </w:rPr>
        <w:tab/>
      </w:r>
      <w:r>
        <w:rPr>
          <w:rFonts w:eastAsia="Arial" w:cs="Arial" w:ascii="Arial" w:hAnsi="Arial"/>
          <w:sz w:val="16"/>
        </w:rPr>
        <w:t>YALE LAW JOURNAL</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firstLine="204" w:left="60" w:right="-5"/>
        <w:jc w:val="both"/>
        <w:rPr>
          <w:rFonts w:ascii="Arial" w:hAnsi="Arial" w:eastAsia="Arial" w:cs="Arial"/>
          <w:sz w:val="18"/>
        </w:rPr>
      </w:pPr>
      <w:r>
        <w:rPr>
          <w:rFonts w:eastAsia="Arial" w:cs="Arial" w:ascii="Arial" w:hAnsi="Arial"/>
          <w:sz w:val="18"/>
        </w:rPr>
        <w:t>Having established such a contract. (and the employer unable to prove that it is for any reason legally void,10</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7"/>
        </w:rPr>
      </w:pPr>
      <w:r>
        <w:rPr>
          <w:rFonts w:eastAsia="Arial" w:cs="Arial" w:ascii="Arial" w:hAnsi="Arial"/>
          <w:sz w:val="17"/>
        </w:rPr>
        <w:t>varied by parol with the knowledge of the plaintiff, or</w:t>
      </w:r>
    </w:p>
    <w:p>
      <w:pPr>
        <w:pStyle w:val="Normal"/>
        <w:spacing w:lineRule="exact" w:line="6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8"/>
        </w:rPr>
      </w:pPr>
      <w:r>
        <w:rPr>
          <w:rFonts w:eastAsia="Arial" w:cs="Arial" w:ascii="Arial" w:hAnsi="Arial"/>
          <w:sz w:val="18"/>
        </w:rPr>
        <w:t>delivered,1l it is no defense to the employer, in the ab</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fraud or bad faith on the part of the broker, that the c</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subsequently failed or was unable to perform the contr</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7"/>
        </w:rPr>
      </w:pPr>
      <w:r>
        <w:rPr>
          <w:rFonts w:eastAsia="Arial" w:cs="Arial" w:ascii="Arial" w:hAnsi="Arial"/>
          <w:sz w:val="17"/>
        </w:rPr>
        <w:t>refused to perform the contract on account of misrepres</w:t>
      </w:r>
    </w:p>
    <w:p>
      <w:pPr>
        <w:pStyle w:val="Normal"/>
        <w:spacing w:lineRule="exact" w:line="6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8"/>
        </w:rPr>
      </w:pPr>
      <w:r>
        <w:rPr>
          <w:rFonts w:eastAsia="Arial" w:cs="Arial" w:ascii="Arial" w:hAnsi="Arial"/>
          <w:sz w:val="18"/>
        </w:rPr>
        <w:t>made by the employer;13 or that the employer himself</w:t>
      </w:r>
    </w:p>
    <w:p>
      <w:pPr>
        <w:pStyle w:val="Normal"/>
        <w:spacing w:lineRule="exact" w:line="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7"/>
        </w:rPr>
      </w:pPr>
      <w:r>
        <w:rPr>
          <w:rFonts w:eastAsia="Arial" w:cs="Arial" w:ascii="Arial" w:hAnsi="Arial"/>
          <w:sz w:val="17"/>
        </w:rPr>
        <w:t>or failed to perform the contract,14 or was unable to per</w:t>
      </w:r>
    </w:p>
    <w:p>
      <w:pPr>
        <w:pStyle w:val="Normal"/>
        <w:spacing w:lineRule="exact" w:line="32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00"/>
        <w:ind w:hanging="4" w:left="60" w:right="-5"/>
        <w:jc w:val="both"/>
        <w:rPr>
          <w:rFonts w:ascii="Arial" w:hAnsi="Arial" w:eastAsia="Arial" w:cs="Arial"/>
          <w:sz w:val="16"/>
        </w:rPr>
      </w:pPr>
      <w:r>
        <w:rPr>
          <w:rFonts w:eastAsia="Arial" w:cs="Arial" w:ascii="Arial" w:hAnsi="Arial"/>
          <w:sz w:val="16"/>
        </w:rPr>
        <w:t>Kahn v. Verschleiser, 57 Misc, 381 (details of mortgage); Hess 56 Misc., 480 (kind of deed to be given); Davis v. Gottschalk,</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 w:right="0"/>
        <w:rPr>
          <w:rFonts w:ascii="Arial" w:hAnsi="Arial" w:eastAsia="Arial" w:cs="Arial"/>
          <w:sz w:val="16"/>
        </w:rPr>
      </w:pPr>
      <w:r>
        <w:rPr>
          <w:rFonts w:eastAsia="Arial" w:cs="Arial" w:ascii="Arial" w:hAnsi="Arial"/>
          <w:sz w:val="16"/>
        </w:rPr>
        <w:t>Supp., 517 (exchange). Nor can such omission be supplied by th</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5"/>
        </w:rPr>
      </w:pPr>
      <w:r>
        <w:rPr>
          <w:rFonts w:eastAsia="Arial" w:cs="Arial" w:ascii="Arial" w:hAnsi="Arial"/>
          <w:sz w:val="15"/>
        </w:rPr>
        <w:t>by proof of custom. Hess v. Bloch, supra.</w:t>
      </w:r>
    </w:p>
    <w:p>
      <w:pPr>
        <w:pStyle w:val="Normal"/>
        <w:spacing w:lineRule="exact" w:line="7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60" w:right="0"/>
        <w:rPr>
          <w:rFonts w:ascii="Arial" w:hAnsi="Arial" w:eastAsia="Arial" w:cs="Arial"/>
          <w:sz w:val="15"/>
        </w:rPr>
      </w:pPr>
      <w:r>
        <w:rPr>
          <w:rFonts w:eastAsia="Arial" w:cs="Arial" w:ascii="Arial" w:hAnsi="Arial"/>
          <w:sz w:val="15"/>
        </w:rPr>
        <w:t>10 See McCormick v. Hazard, 77 Misc., 190.</w:t>
      </w:r>
    </w:p>
    <w:p>
      <w:pPr>
        <w:pStyle w:val="Normal"/>
        <w:spacing w:lineRule="exact" w:line="8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80" w:right="0"/>
        <w:rPr>
          <w:rFonts w:ascii="Arial" w:hAnsi="Arial" w:eastAsia="Arial" w:cs="Arial"/>
          <w:sz w:val="16"/>
        </w:rPr>
      </w:pPr>
      <w:r>
        <w:rPr>
          <w:rFonts w:eastAsia="Arial" w:cs="Arial" w:ascii="Arial" w:hAnsi="Arial"/>
          <w:sz w:val="16"/>
        </w:rPr>
        <w:t>11 See King v. Knowzles, 122 A. D., 414.</w:t>
      </w: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60" w:right="0"/>
        <w:rPr>
          <w:rFonts w:ascii="Arial" w:hAnsi="Arial" w:eastAsia="Arial" w:cs="Arial"/>
          <w:sz w:val="16"/>
        </w:rPr>
      </w:pPr>
      <w:r>
        <w:rPr>
          <w:rFonts w:eastAsia="Arial" w:cs="Arial" w:ascii="Arial" w:hAnsi="Arial"/>
          <w:sz w:val="16"/>
        </w:rPr>
        <w:t>12 Gilder v. Davis, 137 N. Y., 504; 41t v. Doscher, 102 A. D.,</w:t>
      </w:r>
    </w:p>
    <w:p>
      <w:pPr>
        <w:pStyle w:val="Normal"/>
        <w:spacing w:lineRule="exact" w:line="4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12"/>
        <w:ind w:firstLine="5" w:left="40" w:right="14"/>
        <w:jc w:val="both"/>
        <w:rPr>
          <w:rFonts w:ascii="Arial" w:hAnsi="Arial" w:eastAsia="Arial" w:cs="Arial"/>
          <w:sz w:val="16"/>
        </w:rPr>
      </w:pPr>
      <w:r>
        <w:rPr>
          <w:rFonts w:eastAsia="Arial" w:cs="Arial" w:ascii="Arial" w:hAnsi="Arial"/>
          <w:sz w:val="16"/>
        </w:rPr>
        <w:t>186 N. Y., 566; Kalley v. Baker, 132 N. Y., 1 (exchange); Slocu trander, 141 A. D., 380 (exchange); Tieck v. McKenna, 115 A. Charles v. Cook, 88 A. D., 81; Brady v. Foster, 72 A. D., 416;</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16"/>
        <w:ind w:firstLine="6" w:left="40" w:right="14"/>
        <w:jc w:val="both"/>
        <w:rPr/>
      </w:pPr>
      <w:r>
        <w:rPr>
          <w:rFonts w:eastAsia="Arial" w:cs="Arial" w:ascii="Arial" w:hAnsi="Arial"/>
          <w:sz w:val="16"/>
        </w:rPr>
        <w:t xml:space="preserve">Genesee Nat'l Savings Ass'n, 57 A. D., 520 (exchange); Travis v. 23 A. D., 214; Heinrich v. Korn, 4 Daly, 74; Brink v. Goodelle, </w:t>
      </w:r>
      <w:r>
        <w:rPr>
          <w:rFonts w:eastAsia="Arial" w:cs="Arial" w:ascii="Arial" w:hAnsi="Arial"/>
          <w:sz w:val="15"/>
        </w:rPr>
        <w:t>Supp., 1035; Crombie v. Waldo, 17 N. Y. Supp., 373, reversed in</w:t>
      </w:r>
    </w:p>
    <w:p>
      <w:pPr>
        <w:pStyle w:val="Normal"/>
        <w:spacing w:lineRule="exact" w:line="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5"/>
        </w:rPr>
      </w:pPr>
      <w:r>
        <w:rPr>
          <w:rFonts w:eastAsia="Arial" w:cs="Arial" w:ascii="Arial" w:hAnsi="Arial"/>
          <w:sz w:val="15"/>
        </w:rPr>
        <w:t>129, on ground that contract not binding (lease); Donohue v. Flanagan,</w:t>
      </w:r>
    </w:p>
    <w:p>
      <w:pPr>
        <w:pStyle w:val="Normal"/>
        <w:spacing w:lineRule="exact" w:line="5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19"/>
        <w:ind w:left="20" w:right="534"/>
        <w:rPr/>
      </w:pPr>
      <w:r>
        <w:rPr>
          <w:rFonts w:eastAsia="Arial" w:cs="Arial" w:ascii="Arial" w:hAnsi="Arial"/>
          <w:sz w:val="16"/>
        </w:rPr>
        <w:t xml:space="preserve">9 N. Y. Supp., 273. Unless the broker knew, but did not disclose, that </w:t>
      </w:r>
      <w:r>
        <w:rPr>
          <w:rFonts w:eastAsia="Arial" w:cs="Arial" w:ascii="Arial" w:hAnsi="Arial"/>
          <w:sz w:val="15"/>
        </w:rPr>
        <w:t>the customer was unable to perform. Wiley v. Kraslow Construction Co.,</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40" w:right="0"/>
        <w:rPr>
          <w:rFonts w:ascii="Arial" w:hAnsi="Arial" w:eastAsia="Arial" w:cs="Arial"/>
          <w:sz w:val="16"/>
        </w:rPr>
      </w:pPr>
      <w:r>
        <w:rPr>
          <w:rFonts w:eastAsia="Arial" w:cs="Arial" w:ascii="Arial" w:hAnsi="Arial"/>
          <w:sz w:val="16"/>
        </w:rPr>
        <w:t>141 A. D., 706 (exchange); see Baumann v. Nevins, 52 A. D., 290 (ex-</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change); or unless the broker assumed to sign the contract on behalf of</w:t>
      </w:r>
    </w:p>
    <w:p>
      <w:pPr>
        <w:pStyle w:val="Normal"/>
        <w:spacing w:lineRule="exact" w:line="5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his employer. See Kalley v. Baker, 132 N. Y., 1, 7; Inge v. McCreery,</w:t>
      </w:r>
    </w:p>
    <w:p>
      <w:pPr>
        <w:pStyle w:val="Normal"/>
        <w:spacing w:lineRule="exact" w:line="5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60 A. D., 557. But if the broker's employment was to effect an exchange</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21"/>
        <w:ind w:left="20" w:right="634"/>
        <w:rPr>
          <w:rFonts w:ascii="Arial" w:hAnsi="Arial" w:eastAsia="Arial" w:cs="Arial"/>
          <w:sz w:val="15"/>
        </w:rPr>
      </w:pPr>
      <w:r>
        <w:rPr>
          <w:rFonts w:eastAsia="Arial" w:cs="Arial" w:ascii="Arial" w:hAnsi="Arial"/>
          <w:sz w:val="15"/>
        </w:rPr>
        <w:t>of his employer's property for certain specified other property, then the broker must prove, in addition to the execution of the contract for the exchange, the fact that the customer had good title to the property to be</w:t>
      </w:r>
    </w:p>
    <w:p>
      <w:pPr>
        <w:pStyle w:val="Normal"/>
        <w:spacing w:lineRule="atLeast" w:line="0"/>
        <w:ind w:left="20" w:right="0"/>
        <w:rPr>
          <w:rFonts w:ascii="Arial" w:hAnsi="Arial" w:eastAsia="Arial" w:cs="Arial"/>
          <w:sz w:val="16"/>
        </w:rPr>
      </w:pPr>
      <w:r>
        <w:rPr>
          <w:rFonts w:eastAsia="Arial" w:cs="Arial" w:ascii="Arial" w:hAnsi="Arial"/>
          <w:sz w:val="16"/>
        </w:rPr>
        <w:t>conveyed by him. Barnes v. Roberts, 5 Bosw., 84; Kalley v. Baker, 132</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3"/>
        </w:rPr>
      </w:pPr>
      <w:r>
        <w:rPr>
          <w:rFonts w:eastAsia="Arial" w:cs="Arial" w:ascii="Arial" w:hAnsi="Arial"/>
          <w:sz w:val="13"/>
        </w:rPr>
        <w:t>N. Y,. 1.</w:t>
      </w:r>
    </w:p>
    <w:p>
      <w:pPr>
        <w:pStyle w:val="Normal"/>
        <w:spacing w:lineRule="exact" w:line="8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left="340" w:right="0"/>
        <w:rPr>
          <w:rFonts w:ascii="Arial" w:hAnsi="Arial" w:eastAsia="Arial" w:cs="Arial"/>
          <w:sz w:val="15"/>
        </w:rPr>
      </w:pPr>
      <w:r>
        <w:rPr>
          <w:rFonts w:eastAsia="Arial" w:cs="Arial" w:ascii="Arial" w:hAnsi="Arial"/>
          <w:sz w:val="15"/>
        </w:rPr>
        <w:t>13 Glentworth v. Luther, 21 Barb., 145; Sokolski v. Bleistift, 129 N. Y.,</w:t>
      </w:r>
    </w:p>
    <w:p>
      <w:pPr>
        <w:pStyle w:val="Normal"/>
        <w:spacing w:lineRule="exact" w:line="4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40" w:right="0"/>
        <w:rPr>
          <w:rFonts w:ascii="Arial" w:hAnsi="Arial" w:eastAsia="Arial" w:cs="Arial"/>
          <w:sz w:val="16"/>
        </w:rPr>
      </w:pPr>
      <w:r>
        <w:rPr>
          <w:rFonts w:eastAsia="Arial" w:cs="Arial" w:ascii="Arial" w:hAnsi="Arial"/>
          <w:sz w:val="16"/>
        </w:rPr>
        <w:t>Supp., 26 (misrepresentation of dimensions); Condict v. Cowdrey, 5 N.</w:t>
      </w:r>
    </w:p>
    <w:p>
      <w:pPr>
        <w:pStyle w:val="Normal"/>
        <w:spacing w:lineRule="exact" w:line="5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5"/>
        </w:rPr>
      </w:pPr>
      <w:r>
        <w:rPr>
          <w:rFonts w:eastAsia="Arial" w:cs="Arial" w:ascii="Arial" w:hAnsi="Arial"/>
          <w:sz w:val="15"/>
        </w:rPr>
        <w:t>Y. Supp., 187, 123 N. Y., 463, 139 N. Y., 273.</w:t>
      </w:r>
    </w:p>
    <w:p>
      <w:pPr>
        <w:pStyle w:val="Normal"/>
        <w:spacing w:lineRule="exact" w:line="7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40" w:right="0"/>
        <w:rPr>
          <w:rFonts w:ascii="Arial" w:hAnsi="Arial" w:eastAsia="Arial" w:cs="Arial"/>
          <w:sz w:val="16"/>
        </w:rPr>
      </w:pPr>
      <w:r>
        <w:rPr>
          <w:rFonts w:eastAsia="Arial" w:cs="Arial" w:ascii="Arial" w:hAnsi="Arial"/>
          <w:sz w:val="16"/>
        </w:rPr>
        <w:t>14 Benedict v. Pincus, 134 A. D., 555 (lease); Norton v. Genesee Nat'l</w:t>
      </w:r>
    </w:p>
    <w:p>
      <w:pPr>
        <w:pStyle w:val="Normal"/>
        <w:spacing w:lineRule="exact" w:line="4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Savings Ass'n, 57 A. D., 520 (exchange); Brown v. Grassman, 53 A. D.,</w:t>
      </w:r>
    </w:p>
    <w:p>
      <w:pPr>
        <w:pStyle w:val="Normal"/>
        <w:spacing w:lineRule="exact" w:line="4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640; Swee v. Neumann, 67 Misc., 605; Mason v. Hinds, 19 N. Y. Supp., 996</w:t>
      </w:r>
    </w:p>
    <w:p>
      <w:pPr>
        <w:pStyle w:val="Normal"/>
        <w:spacing w:lineRule="exact" w:line="5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5"/>
        </w:rPr>
      </w:pPr>
      <w:r>
        <w:rPr>
          <w:rFonts w:eastAsia="Arial" w:cs="Arial" w:ascii="Arial" w:hAnsi="Arial"/>
          <w:sz w:val="15"/>
        </w:rPr>
        <w:t>(exchange),</w:t>
      </w:r>
    </w:p>
    <w:p>
      <w:pPr>
        <w:sectPr>
          <w:type w:val="nextPage"/>
          <w:pgSz w:w="7700" w:h="12869"/>
          <w:pgMar w:left="1040" w:right="0" w:gutter="0" w:header="0" w:top="69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5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5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40" w:right="0" w:gutter="0" w:header="0" w:top="691" w:footer="0" w:bottom="0"/>
          <w:formProt w:val="false"/>
          <w:textDirection w:val="lrTb"/>
          <w:docGrid w:type="default" w:linePitch="360" w:charSpace="0"/>
        </w:sectPr>
      </w:pPr>
    </w:p>
    <w:p>
      <w:pPr>
        <w:pStyle w:val="Normal"/>
        <w:spacing w:lineRule="exact" w:line="72"/>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9">
            <wp:simplePos x="0" y="0"/>
            <wp:positionH relativeFrom="page">
              <wp:posOffset>0</wp:posOffset>
            </wp:positionH>
            <wp:positionV relativeFrom="page">
              <wp:posOffset>0</wp:posOffset>
            </wp:positionV>
            <wp:extent cx="4885690" cy="8025130"/>
            <wp:effectExtent l="0" t="0" r="0" b="0"/>
            <wp:wrapNone/>
            <wp:docPr id="8"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rcRect l="-4" t="-2" r="-4" b="-2"/>
                    <a:stretch>
                      <a:fillRect/>
                    </a:stretch>
                  </pic:blipFill>
                  <pic:spPr bwMode="auto">
                    <a:xfrm>
                      <a:off x="0" y="0"/>
                      <a:ext cx="4885690" cy="8025130"/>
                    </a:xfrm>
                    <a:prstGeom prst="rect">
                      <a:avLst/>
                    </a:prstGeom>
                  </pic:spPr>
                </pic:pic>
              </a:graphicData>
            </a:graphic>
          </wp:anchor>
        </w:drawing>
      </w:r>
      <w:bookmarkStart w:id="10" w:name="page6"/>
      <w:bookmarkStart w:id="11" w:name="page6"/>
      <w:bookmarkEnd w:id="11"/>
    </w:p>
    <w:p>
      <w:pPr>
        <w:pStyle w:val="Normal"/>
        <w:tabs>
          <w:tab w:val="clear" w:pos="720"/>
          <w:tab w:val="left" w:pos="5380" w:leader="none"/>
        </w:tabs>
        <w:spacing w:lineRule="atLeast" w:line="0"/>
        <w:ind w:left="780" w:right="0"/>
        <w:rPr/>
      </w:pPr>
      <w:r>
        <w:rPr>
          <w:rFonts w:eastAsia="Arial" w:cs="Arial" w:ascii="Arial" w:hAnsi="Arial"/>
          <w:sz w:val="16"/>
        </w:rPr>
        <w:t>REAL ESTATE BROKER COMMISSIONS</w:t>
      </w:r>
      <w:r>
        <w:rPr>
          <w:rFonts w:eastAsia="Times New Roman" w:cs="Times New Roman" w:ascii="Times New Roman" w:hAnsi="Times New Roman"/>
        </w:rPr>
        <w:tab/>
      </w:r>
      <w:r>
        <w:rPr>
          <w:rFonts w:eastAsia="Arial" w:cs="Arial" w:ascii="Arial" w:hAnsi="Arial"/>
          <w:sz w:val="21"/>
          <w:vertAlign w:val="subscript"/>
        </w:rPr>
        <w:t>343</w:t>
      </w:r>
    </w:p>
    <w:p>
      <w:pPr>
        <w:pStyle w:val="Normal"/>
        <w:spacing w:lineRule="exact" w:line="338"/>
        <w:rPr>
          <w:rFonts w:ascii="Times New Roman" w:hAnsi="Times New Roman" w:eastAsia="Times New Roman" w:cs="Times New Roman"/>
          <w:sz w:val="21"/>
          <w:vertAlign w:val="subscript"/>
        </w:rPr>
      </w:pPr>
      <w:r>
        <w:rPr>
          <w:rFonts w:eastAsia="Times New Roman" w:cs="Times New Roman" w:ascii="Times New Roman" w:hAnsi="Times New Roman"/>
          <w:sz w:val="21"/>
          <w:vertAlign w:val="subscript"/>
        </w:rPr>
      </w:r>
    </w:p>
    <w:p>
      <w:pPr>
        <w:pStyle w:val="Normal"/>
        <w:spacing w:lineRule="atLeast" w:line="0"/>
        <w:rPr>
          <w:rFonts w:ascii="Arial" w:hAnsi="Arial" w:eastAsia="Arial" w:cs="Arial"/>
          <w:sz w:val="16"/>
        </w:rPr>
      </w:pPr>
      <w:r>
        <w:rPr>
          <w:rFonts w:eastAsia="Arial" w:cs="Arial" w:ascii="Arial" w:hAnsi="Arial"/>
          <w:sz w:val="16"/>
        </w:rPr>
        <w:t>contract on account of defects in title,15 at least unless such de-</w:t>
      </w:r>
    </w:p>
    <w:p>
      <w:pPr>
        <w:pStyle w:val="Normal"/>
        <w:spacing w:lineRule="exact" w:line="6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fects were known to the broker.16</w:t>
      </w:r>
    </w:p>
    <w:p>
      <w:pPr>
        <w:pStyle w:val="Normal"/>
        <w:spacing w:lineRule="exact" w:line="9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0" w:right="0"/>
        <w:rPr>
          <w:rFonts w:ascii="Arial" w:hAnsi="Arial" w:eastAsia="Arial" w:cs="Arial"/>
          <w:sz w:val="18"/>
        </w:rPr>
      </w:pPr>
      <w:r>
        <w:rPr>
          <w:rFonts w:eastAsia="Arial" w:cs="Arial" w:ascii="Arial" w:hAnsi="Arial"/>
          <w:sz w:val="18"/>
        </w:rPr>
        <w:t>(C.) Where the terms prescribed or agreed to by the employer</w:t>
      </w:r>
    </w:p>
    <w:p>
      <w:pPr>
        <w:pStyle w:val="Normal"/>
        <w:spacing w:lineRule="exact" w:line="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for the transfer of interest which the broker was employed to</w:t>
      </w:r>
    </w:p>
    <w:p>
      <w:pPr>
        <w:pStyle w:val="Normal"/>
        <w:spacing w:lineRule="exact" w:line="3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facilitate, have been consented to, but the contract itself has not</w:t>
      </w:r>
    </w:p>
    <w:p>
      <w:pPr>
        <w:pStyle w:val="Normal"/>
        <w:spacing w:lineRule="exact" w:line="3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5"/>
        </w:rPr>
      </w:pPr>
      <w:r>
        <w:rPr>
          <w:rFonts w:eastAsia="Arial" w:cs="Arial" w:ascii="Arial" w:hAnsi="Arial"/>
          <w:sz w:val="15"/>
        </w:rPr>
        <w:t>been executed.</w:t>
      </w:r>
    </w:p>
    <w:p>
      <w:pPr>
        <w:pStyle w:val="Normal"/>
        <w:spacing w:lineRule="exact" w:line="9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0" w:right="0"/>
        <w:rPr>
          <w:rFonts w:ascii="Arial" w:hAnsi="Arial" w:eastAsia="Arial" w:cs="Arial"/>
          <w:sz w:val="18"/>
        </w:rPr>
      </w:pPr>
      <w:r>
        <w:rPr>
          <w:rFonts w:eastAsia="Arial" w:cs="Arial" w:ascii="Arial" w:hAnsi="Arial"/>
          <w:sz w:val="18"/>
        </w:rPr>
        <w:t>The real estate broker's right to commissions is not, however,</w:t>
      </w:r>
    </w:p>
    <w:p>
      <w:pPr>
        <w:pStyle w:val="Normal"/>
        <w:spacing w:lineRule="exact" w:line="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9"/>
        </w:rPr>
      </w:pPr>
      <w:r>
        <w:rPr>
          <w:rFonts w:eastAsia="Arial" w:cs="Arial" w:ascii="Arial" w:hAnsi="Arial"/>
          <w:sz w:val="19"/>
        </w:rPr>
        <w:t>necessarily dependent even upon the execution of a final and</w:t>
      </w:r>
    </w:p>
    <w:p>
      <w:pPr>
        <w:pStyle w:val="Normal"/>
        <w:spacing w:lineRule="exact" w:line="4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20" w:right="0"/>
        <w:rPr>
          <w:rFonts w:ascii="Arial" w:hAnsi="Arial" w:eastAsia="Arial" w:cs="Arial"/>
          <w:sz w:val="18"/>
        </w:rPr>
      </w:pPr>
      <w:r>
        <w:rPr>
          <w:rFonts w:eastAsia="Arial" w:cs="Arial" w:ascii="Arial" w:hAnsi="Arial"/>
          <w:sz w:val="18"/>
        </w:rPr>
        <w:t>binding contract for the transfer of interest which he was em-</w:t>
      </w:r>
    </w:p>
    <w:p>
      <w:pPr>
        <w:pStyle w:val="Normal"/>
        <w:spacing w:lineRule="exact" w:line="4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ployed to facilitate. Allegation and proof that the customer was</w:t>
      </w:r>
    </w:p>
    <w:p>
      <w:pPr>
        <w:pStyle w:val="Normal"/>
        <w:spacing w:lineRule="exact" w:line="5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6"/>
        </w:rPr>
      </w:pPr>
      <w:r>
        <w:rPr>
          <w:rFonts w:eastAsia="Arial" w:cs="Arial" w:ascii="Arial" w:hAnsi="Arial"/>
          <w:sz w:val="16"/>
        </w:rPr>
        <w:t>ready, willing and authorized17 to enter into, and able to perform,</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2"/>
        <w:ind w:firstLine="4" w:left="20" w:right="20"/>
        <w:jc w:val="both"/>
        <w:rPr/>
      </w:pPr>
      <w:r>
        <w:rPr>
          <w:rFonts w:eastAsia="Arial" w:cs="Arial" w:ascii="Arial" w:hAnsi="Arial"/>
          <w:sz w:val="17"/>
        </w:rPr>
        <w:t>such a contract upon the employer's terms, but that the contract, through the fault of the employer, was not executed, may be as fully sufficient to entitle the broker to recover commissions as</w:t>
      </w:r>
    </w:p>
    <w:p>
      <w:pPr>
        <w:pStyle w:val="Normal"/>
        <w:spacing w:lineRule="exact" w:line="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8"/>
        </w:rPr>
      </w:pPr>
      <w:r>
        <w:rPr>
          <w:rFonts w:eastAsia="Arial" w:cs="Arial" w:ascii="Arial" w:hAnsi="Arial"/>
          <w:sz w:val="18"/>
        </w:rPr>
        <w:t>allegation and proof of the execution of such a contract.18 Tes-</w:t>
      </w:r>
    </w:p>
    <w:p>
      <w:pPr>
        <w:pStyle w:val="Normal"/>
        <w:spacing w:lineRule="exact" w:line="5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6"/>
        </w:rPr>
      </w:pPr>
      <w:r>
        <w:rPr>
          <w:rFonts w:eastAsia="Arial" w:cs="Arial" w:ascii="Arial" w:hAnsi="Arial"/>
          <w:sz w:val="16"/>
        </w:rPr>
        <w:t>timony by the broker or by the customer to the simple effect that</w:t>
      </w:r>
    </w:p>
    <w:p>
      <w:pPr>
        <w:pStyle w:val="Normal"/>
        <w:spacing w:lineRule="exact" w:line="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5"/>
        <w:ind w:hanging="1" w:left="20" w:right="60"/>
        <w:rPr>
          <w:rFonts w:ascii="Arial" w:hAnsi="Arial" w:eastAsia="Arial" w:cs="Arial"/>
          <w:sz w:val="18"/>
        </w:rPr>
      </w:pPr>
      <w:r>
        <w:rPr>
          <w:rFonts w:eastAsia="Arial" w:cs="Arial" w:ascii="Arial" w:hAnsi="Arial"/>
          <w:sz w:val="18"/>
        </w:rPr>
        <w:t>the latter was so ready, willing and able to appears to be suffi-cient to make out a prima facie case.l9 But unless the employer</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has accepted the customer, or has dealt with him in such a man-</w:t>
      </w:r>
    </w:p>
    <w:p>
      <w:pPr>
        <w:pStyle w:val="Normal"/>
        <w:spacing w:lineRule="exact" w:line="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ner as to amount to an acceptance of him as being able to per-</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form,20 the broker must, when it is put in issue by, or contradicted</w:t>
      </w:r>
    </w:p>
    <w:p>
      <w:pPr>
        <w:pStyle w:val="Normal"/>
        <w:spacing w:lineRule="exact" w:line="27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15 Knapp v. Wallace, 41 N. Y., 477 (broker employed by purchaser) ;</w:t>
      </w:r>
    </w:p>
    <w:p>
      <w:pPr>
        <w:pStyle w:val="Normal"/>
        <w:spacing w:lineRule="exact" w:line="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3"/>
        <w:ind w:hanging="1" w:left="20" w:right="40"/>
        <w:rPr>
          <w:rFonts w:ascii="Arial" w:hAnsi="Arial" w:eastAsia="Arial" w:cs="Arial"/>
          <w:sz w:val="16"/>
        </w:rPr>
      </w:pPr>
      <w:r>
        <w:rPr>
          <w:rFonts w:eastAsia="Arial" w:cs="Arial" w:ascii="Arial" w:hAnsi="Arial"/>
          <w:sz w:val="16"/>
        </w:rPr>
        <w:t>King v. Knowles, 122 A. D., 414; Baumann v. Nevins, 52 A. D., 290 (ex-change); Allen v. James, 7 Daly, 13; Scott v. Neuberger, 58 Misc., 22;</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hanging="1" w:right="0"/>
        <w:rPr/>
      </w:pPr>
      <w:r>
        <w:rPr>
          <w:rFonts w:eastAsia="Arial" w:cs="Arial" w:ascii="Arial" w:hAnsi="Arial"/>
          <w:sz w:val="16"/>
        </w:rPr>
        <w:t>Finck v. Bauer, 40 Misc., 218; Landsberger v. Murray, 6 Misc., 605; Strout v. Kenny, 107 N. Y. Supp., 92; Cox v. Hawke, 93 N. Y. Supp., 1117.</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firstLine="327" w:right="160"/>
        <w:rPr>
          <w:rFonts w:ascii="Arial" w:hAnsi="Arial" w:eastAsia="Arial" w:cs="Arial"/>
          <w:sz w:val="16"/>
        </w:rPr>
      </w:pPr>
      <w:r>
        <w:rPr>
          <w:rFonts w:eastAsia="Arial" w:cs="Arial" w:ascii="Arial" w:hAnsi="Arial"/>
          <w:sz w:val="16"/>
        </w:rPr>
        <w:t>16 See Corbin v. Mechanics &amp; Traders Bank, 121 A. D., 744 (no con-tract); Folsom v. Lewis, 14 Misc., 605 (no contract); Landsberger v.</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ind w:hanging="9" w:left="20" w:right="340"/>
        <w:jc w:val="both"/>
        <w:rPr>
          <w:rFonts w:ascii="Arial" w:hAnsi="Arial" w:eastAsia="Arial" w:cs="Arial"/>
          <w:sz w:val="16"/>
        </w:rPr>
      </w:pPr>
      <w:r>
        <w:rPr>
          <w:rFonts w:eastAsia="Arial" w:cs="Arial" w:ascii="Arial" w:hAnsi="Arial"/>
          <w:sz w:val="16"/>
        </w:rPr>
        <w:t>Murray, 6 Misc., 605 (defects not known to broker); Strout v. Kenny, 107 N. Y. Supp., 92 (defects not known to broker); Cox v. Hawke, 93</w:t>
      </w:r>
    </w:p>
    <w:p>
      <w:pPr>
        <w:pStyle w:val="Normal"/>
        <w:spacing w:lineRule="atLeast" w:line="0"/>
        <w:ind w:left="20" w:right="0"/>
        <w:rPr>
          <w:rFonts w:ascii="Arial" w:hAnsi="Arial" w:eastAsia="Arial" w:cs="Arial"/>
          <w:sz w:val="16"/>
        </w:rPr>
      </w:pPr>
      <w:r>
        <w:rPr>
          <w:rFonts w:eastAsia="Arial" w:cs="Arial" w:ascii="Arial" w:hAnsi="Arial"/>
          <w:sz w:val="16"/>
        </w:rPr>
        <w:t>N. Y. Supp., 1117 (defects not known to broker).</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40" w:right="0"/>
        <w:rPr>
          <w:rFonts w:ascii="Arial" w:hAnsi="Arial" w:eastAsia="Arial" w:cs="Arial"/>
          <w:sz w:val="16"/>
        </w:rPr>
      </w:pPr>
      <w:r>
        <w:rPr>
          <w:rFonts w:eastAsia="Arial" w:cs="Arial" w:ascii="Arial" w:hAnsi="Arial"/>
          <w:sz w:val="16"/>
        </w:rPr>
        <w:t>17 Kirwan v. Barney, 27 Misc., 181, 29 Misc., 614; see Callister v.</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5"/>
        </w:rPr>
      </w:pPr>
      <w:r>
        <w:rPr>
          <w:rFonts w:eastAsia="Arial" w:cs="Arial" w:ascii="Arial" w:hAnsi="Arial"/>
          <w:sz w:val="15"/>
        </w:rPr>
        <w:t>Wichern, 147 A. D., 14.</w:t>
      </w:r>
    </w:p>
    <w:p>
      <w:pPr>
        <w:pStyle w:val="Normal"/>
        <w:spacing w:lineRule="exact" w:line="2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40" w:right="0"/>
        <w:rPr>
          <w:rFonts w:ascii="Arial" w:hAnsi="Arial" w:eastAsia="Arial" w:cs="Arial"/>
          <w:sz w:val="16"/>
        </w:rPr>
      </w:pPr>
      <w:r>
        <w:rPr>
          <w:rFonts w:eastAsia="Arial" w:cs="Arial" w:ascii="Arial" w:hAnsi="Arial"/>
          <w:sz w:val="16"/>
        </w:rPr>
        <w:t>8 Mooney v. Elder, 56 N. Y., 238; White v. Douglas, etc., Brown Co.,</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153 A. D., 776; Moore v. Macguire, 98 N. Y. Supp., 752; see also cases</w:t>
      </w:r>
    </w:p>
    <w:p>
      <w:pPr>
        <w:pStyle w:val="Normal"/>
        <w:spacing w:lineRule="exact" w:line="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cited post in notes 20, 23, 26, 27, 28, 29 and 30.</w:t>
      </w:r>
    </w:p>
    <w:p>
      <w:pPr>
        <w:pStyle w:val="Normal"/>
        <w:spacing w:lineRule="exact" w:line="2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1"/>
        <w:ind w:firstLine="326" w:right="320"/>
        <w:jc w:val="both"/>
        <w:rPr>
          <w:rFonts w:ascii="Arial" w:hAnsi="Arial" w:eastAsia="Arial" w:cs="Arial"/>
          <w:sz w:val="16"/>
        </w:rPr>
      </w:pPr>
      <w:r>
        <w:rPr>
          <w:rFonts w:eastAsia="Arial" w:cs="Arial" w:ascii="Arial" w:hAnsi="Arial"/>
          <w:sz w:val="16"/>
        </w:rPr>
        <w:t>19 See Mutchnick v. Goldstein, 130 A. D., 417 (exchange); Woolley v. Lowenstein, 83 Hun, 155 (exchange); Moskowitz v. Hornberger, 15 Misc.,</w:t>
      </w:r>
    </w:p>
    <w:p>
      <w:pPr>
        <w:pStyle w:val="Normal"/>
        <w:spacing w:lineRule="atLeast" w:line="0"/>
        <w:rPr>
          <w:rFonts w:ascii="Arial" w:hAnsi="Arial" w:eastAsia="Arial" w:cs="Arial"/>
          <w:sz w:val="16"/>
        </w:rPr>
      </w:pPr>
      <w:r>
        <w:rPr>
          <w:rFonts w:eastAsia="Arial" w:cs="Arial" w:ascii="Arial" w:hAnsi="Arial"/>
          <w:sz w:val="16"/>
        </w:rPr>
        <w:t>645, 20 Misc., 558 (exchange).</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firstLine="319" w:right="320"/>
        <w:jc w:val="both"/>
        <w:rPr/>
      </w:pPr>
      <w:r>
        <w:rPr>
          <w:rFonts w:eastAsia="Arial" w:cs="Arial" w:ascii="Arial" w:hAnsi="Arial"/>
          <w:sz w:val="16"/>
        </w:rPr>
        <w:t xml:space="preserve">o0 Brand v. Nagle, 122 A. D., 490; Krahmer v. Heilman. 16 Daly, 132; Simpson v. Smith, 36 Misc., 815; Miller v. Barth, 35 Misc., 372; Callister </w:t>
      </w:r>
      <w:r>
        <w:rPr>
          <w:rFonts w:eastAsia="Arial" w:cs="Arial" w:ascii="Arial" w:hAnsi="Arial"/>
          <w:sz w:val="15"/>
        </w:rPr>
        <w:t>v. Wichern, 147 A. D., 14 (contract); Brady v. Foster, 72 A. D., 416 (con-</w:t>
      </w:r>
    </w:p>
    <w:p>
      <w:pPr>
        <w:pStyle w:val="Normal"/>
        <w:spacing w:lineRule="atLeast" w:line="0"/>
        <w:ind w:left="20" w:right="0"/>
        <w:rPr>
          <w:rFonts w:ascii="Arial" w:hAnsi="Arial" w:eastAsia="Arial" w:cs="Arial"/>
          <w:sz w:val="16"/>
        </w:rPr>
      </w:pPr>
      <w:r>
        <w:rPr>
          <w:rFonts w:eastAsia="Arial" w:cs="Arial" w:ascii="Arial" w:hAnsi="Arial"/>
          <w:sz w:val="16"/>
        </w:rPr>
        <w:t>tract); Thain v. Philbrick, 36 Misc., 829 (contract); Brink v. Goodelle,</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138 N. Y. Supp., 1035 (contract).</w:t>
      </w:r>
    </w:p>
    <w:p>
      <w:pPr>
        <w:sectPr>
          <w:type w:val="nextPage"/>
          <w:pgSz w:w="7700" w:h="12869"/>
          <w:pgMar w:left="1040" w:right="194" w:gutter="0" w:header="0" w:top="81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left="160" w:right="1020"/>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 All use subject to https://about.jstor.org/terms</w:t>
      </w:r>
    </w:p>
    <w:p>
      <w:pPr>
        <w:sectPr>
          <w:type w:val="continuous"/>
          <w:pgSz w:w="7700" w:h="12869"/>
          <w:pgMar w:left="1040" w:right="194" w:gutter="0" w:header="0" w:top="815"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0">
            <wp:simplePos x="0" y="0"/>
            <wp:positionH relativeFrom="page">
              <wp:posOffset>0</wp:posOffset>
            </wp:positionH>
            <wp:positionV relativeFrom="page">
              <wp:posOffset>0</wp:posOffset>
            </wp:positionV>
            <wp:extent cx="4885690" cy="8025130"/>
            <wp:effectExtent l="0" t="0" r="0" b="0"/>
            <wp:wrapNone/>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8"/>
                    <a:srcRect l="-4" t="-2" r="-4" b="-2"/>
                    <a:stretch>
                      <a:fillRect/>
                    </a:stretch>
                  </pic:blipFill>
                  <pic:spPr bwMode="auto">
                    <a:xfrm>
                      <a:off x="0" y="0"/>
                      <a:ext cx="4885690" cy="8025130"/>
                    </a:xfrm>
                    <a:prstGeom prst="rect">
                      <a:avLst/>
                    </a:prstGeom>
                  </pic:spPr>
                </pic:pic>
              </a:graphicData>
            </a:graphic>
          </wp:anchor>
        </w:drawing>
      </w:r>
      <w:bookmarkStart w:id="12" w:name="page7"/>
      <w:bookmarkStart w:id="13" w:name="page7"/>
      <w:bookmarkEnd w:id="13"/>
    </w:p>
    <w:p>
      <w:pPr>
        <w:pStyle w:val="Normal"/>
        <w:tabs>
          <w:tab w:val="clear" w:pos="720"/>
          <w:tab w:val="left" w:pos="1780" w:leader="none"/>
        </w:tabs>
        <w:spacing w:lineRule="atLeast" w:line="0"/>
        <w:ind w:left="80" w:right="0"/>
        <w:rPr/>
      </w:pPr>
      <w:r>
        <w:rPr>
          <w:rFonts w:eastAsia="Arial" w:cs="Arial" w:ascii="Arial" w:hAnsi="Arial"/>
          <w:sz w:val="28"/>
          <w:vertAlign w:val="subscript"/>
        </w:rPr>
        <w:t>344</w:t>
      </w:r>
      <w:r>
        <w:rPr>
          <w:rFonts w:eastAsia="Times New Roman" w:cs="Times New Roman" w:ascii="Times New Roman" w:hAnsi="Times New Roman"/>
        </w:rPr>
        <w:tab/>
      </w:r>
      <w:r>
        <w:rPr>
          <w:rFonts w:eastAsia="Arial" w:cs="Arial" w:ascii="Arial" w:hAnsi="Arial"/>
          <w:sz w:val="16"/>
        </w:rPr>
        <w:t>YALE LAW JOURNAL</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sz w:val="17"/>
        </w:rPr>
      </w:pPr>
      <w:r>
        <w:rPr>
          <w:rFonts w:eastAsia="Arial" w:cs="Arial" w:ascii="Arial" w:hAnsi="Arial"/>
          <w:sz w:val="17"/>
        </w:rPr>
        <w:t>by evidence on behalf of the employer,21 prove that the</w:t>
      </w:r>
    </w:p>
    <w:p>
      <w:pPr>
        <w:pStyle w:val="Normal"/>
        <w:spacing w:lineRule="exact" w:line="4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00" w:right="0"/>
        <w:rPr>
          <w:rFonts w:ascii="Arial" w:hAnsi="Arial" w:eastAsia="Arial" w:cs="Arial"/>
          <w:sz w:val="18"/>
        </w:rPr>
      </w:pPr>
      <w:r>
        <w:rPr>
          <w:rFonts w:eastAsia="Arial" w:cs="Arial" w:ascii="Arial" w:hAnsi="Arial"/>
          <w:sz w:val="18"/>
        </w:rPr>
        <w:t>was, at the time of the employer's refusal,22 in fact re</w:t>
      </w:r>
    </w:p>
    <w:p>
      <w:pPr>
        <w:pStyle w:val="Normal"/>
        <w:spacing w:lineRule="exact" w:line="3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00" w:right="0"/>
        <w:rPr>
          <w:rFonts w:ascii="Arial" w:hAnsi="Arial" w:eastAsia="Arial" w:cs="Arial"/>
          <w:sz w:val="19"/>
        </w:rPr>
      </w:pPr>
      <w:r>
        <w:rPr>
          <w:rFonts w:eastAsia="Arial" w:cs="Arial" w:ascii="Arial" w:hAnsi="Arial"/>
          <w:sz w:val="19"/>
        </w:rPr>
        <w:t>willing to execute the contract, and in fact legally, a</w:t>
      </w:r>
    </w:p>
    <w:p>
      <w:pPr>
        <w:pStyle w:val="Normal"/>
        <w:spacing w:lineRule="exact" w:line="4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80" w:right="0"/>
        <w:rPr>
          <w:rFonts w:ascii="Arial" w:hAnsi="Arial" w:eastAsia="Arial" w:cs="Arial"/>
          <w:sz w:val="16"/>
        </w:rPr>
      </w:pPr>
      <w:r>
        <w:rPr>
          <w:rFonts w:eastAsia="Arial" w:cs="Arial" w:ascii="Arial" w:hAnsi="Arial"/>
          <w:sz w:val="16"/>
        </w:rPr>
        <w:t>financially, able to perform the same.28</w:t>
      </w:r>
    </w:p>
    <w:p>
      <w:pPr>
        <w:pStyle w:val="Normal"/>
        <w:spacing w:lineRule="exact" w:line="5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00" w:right="0"/>
        <w:rPr>
          <w:rFonts w:ascii="Arial" w:hAnsi="Arial" w:eastAsia="Arial" w:cs="Arial"/>
          <w:sz w:val="18"/>
        </w:rPr>
      </w:pPr>
      <w:r>
        <w:rPr>
          <w:rFonts w:eastAsia="Arial" w:cs="Arial" w:ascii="Arial" w:hAnsi="Arial"/>
          <w:sz w:val="18"/>
        </w:rPr>
        <w:t>The terms and conditions which the customer must be</w:t>
      </w:r>
    </w:p>
    <w:p>
      <w:pPr>
        <w:pStyle w:val="Normal"/>
        <w:spacing w:lineRule="exact" w:line="4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00" w:right="0"/>
        <w:rPr>
          <w:rFonts w:ascii="Arial" w:hAnsi="Arial" w:eastAsia="Arial" w:cs="Arial"/>
          <w:sz w:val="18"/>
        </w:rPr>
      </w:pPr>
      <w:r>
        <w:rPr>
          <w:rFonts w:eastAsia="Arial" w:cs="Arial" w:ascii="Arial" w:hAnsi="Arial"/>
          <w:sz w:val="18"/>
        </w:rPr>
        <w:t>and willing to have embodied in the contract, and which</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00" w:right="0"/>
        <w:rPr>
          <w:rFonts w:ascii="Arial" w:hAnsi="Arial" w:eastAsia="Arial" w:cs="Arial"/>
          <w:sz w:val="18"/>
        </w:rPr>
      </w:pPr>
      <w:r>
        <w:rPr>
          <w:rFonts w:eastAsia="Arial" w:cs="Arial" w:ascii="Arial" w:hAnsi="Arial"/>
          <w:sz w:val="18"/>
        </w:rPr>
        <w:t>be able to perform, are such terms and conditions as ha</w:t>
      </w:r>
    </w:p>
    <w:p>
      <w:pPr>
        <w:pStyle w:val="Normal"/>
        <w:spacing w:lineRule="exact" w:line="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80" w:right="0"/>
        <w:rPr>
          <w:rFonts w:ascii="Arial" w:hAnsi="Arial" w:eastAsia="Arial" w:cs="Arial"/>
          <w:sz w:val="18"/>
        </w:rPr>
      </w:pPr>
      <w:r>
        <w:rPr>
          <w:rFonts w:eastAsia="Arial" w:cs="Arial" w:ascii="Arial" w:hAnsi="Arial"/>
          <w:sz w:val="18"/>
        </w:rPr>
        <w:t>given by the employer to the broker, prior to the produ</w:t>
      </w:r>
    </w:p>
    <w:p>
      <w:pPr>
        <w:pStyle w:val="Normal"/>
        <w:spacing w:lineRule="exact" w:line="3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00" w:right="0"/>
        <w:rPr>
          <w:rFonts w:ascii="Arial" w:hAnsi="Arial" w:eastAsia="Arial" w:cs="Arial"/>
          <w:sz w:val="18"/>
        </w:rPr>
      </w:pPr>
      <w:r>
        <w:rPr>
          <w:rFonts w:eastAsia="Arial" w:cs="Arial" w:ascii="Arial" w:hAnsi="Arial"/>
          <w:sz w:val="18"/>
        </w:rPr>
        <w:t>the customer by the broker, or such as have been subse</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80" w:right="0"/>
        <w:rPr>
          <w:rFonts w:ascii="Arial" w:hAnsi="Arial" w:eastAsia="Arial" w:cs="Arial"/>
          <w:sz w:val="18"/>
        </w:rPr>
      </w:pPr>
      <w:r>
        <w:rPr>
          <w:rFonts w:eastAsia="Arial" w:cs="Arial" w:ascii="Arial" w:hAnsi="Arial"/>
          <w:sz w:val="18"/>
        </w:rPr>
        <w:t>agreed upon in a preliminary way between the employer</w:t>
      </w:r>
    </w:p>
    <w:p>
      <w:pPr>
        <w:pStyle w:val="Normal"/>
        <w:spacing w:lineRule="exact" w:line="4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80" w:right="0"/>
        <w:rPr>
          <w:rFonts w:ascii="Arial" w:hAnsi="Arial" w:eastAsia="Arial" w:cs="Arial"/>
          <w:sz w:val="18"/>
        </w:rPr>
      </w:pPr>
      <w:r>
        <w:rPr>
          <w:rFonts w:eastAsia="Arial" w:cs="Arial" w:ascii="Arial" w:hAnsi="Arial"/>
          <w:sz w:val="18"/>
        </w:rPr>
        <w:t>customer.24 They should be fully worked out, excepting</w:t>
      </w:r>
    </w:p>
    <w:p>
      <w:pPr>
        <w:pStyle w:val="Normal"/>
        <w:spacing w:lineRule="exact" w:line="4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38"/>
        <w:ind w:firstLine="4" w:left="80" w:right="-5"/>
        <w:jc w:val="both"/>
        <w:rPr/>
      </w:pPr>
      <w:r>
        <w:rPr>
          <w:rFonts w:eastAsia="Arial" w:cs="Arial" w:ascii="Arial" w:hAnsi="Arial"/>
          <w:sz w:val="17"/>
        </w:rPr>
        <w:t>party may have delegated to the other party full authori termine by his own individual decision such terms and co as may have been left indefinite.25</w:t>
      </w:r>
    </w:p>
    <w:p>
      <w:pPr>
        <w:pStyle w:val="Normal"/>
        <w:spacing w:lineRule="exact" w:line="18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80" w:right="0"/>
        <w:rPr>
          <w:rFonts w:ascii="Arial" w:hAnsi="Arial" w:eastAsia="Arial" w:cs="Arial"/>
          <w:sz w:val="18"/>
        </w:rPr>
      </w:pPr>
      <w:r>
        <w:rPr>
          <w:rFonts w:eastAsia="Arial" w:cs="Arial" w:ascii="Arial" w:hAnsi="Arial"/>
          <w:sz w:val="18"/>
        </w:rPr>
        <w:t>When the broker has so established such readiness, will</w:t>
      </w:r>
    </w:p>
    <w:p>
      <w:pPr>
        <w:pStyle w:val="Normal"/>
        <w:spacing w:lineRule="exact" w:line="4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80" w:right="0"/>
        <w:rPr>
          <w:rFonts w:ascii="Arial" w:hAnsi="Arial" w:eastAsia="Arial" w:cs="Arial"/>
          <w:sz w:val="18"/>
        </w:rPr>
      </w:pPr>
      <w:r>
        <w:rPr>
          <w:rFonts w:eastAsia="Arial" w:cs="Arial" w:ascii="Arial" w:hAnsi="Arial"/>
          <w:sz w:val="18"/>
        </w:rPr>
        <w:t>and ability on the part of the customer, it is no defens</w:t>
      </w:r>
    </w:p>
    <w:p>
      <w:pPr>
        <w:pStyle w:val="Normal"/>
        <w:spacing w:lineRule="exact" w:line="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57"/>
        <w:ind w:firstLine="10" w:left="60" w:right="-5"/>
        <w:jc w:val="both"/>
        <w:rPr/>
      </w:pPr>
      <w:r>
        <w:rPr>
          <w:rFonts w:eastAsia="Arial" w:cs="Arial" w:ascii="Arial" w:hAnsi="Arial"/>
          <w:sz w:val="17"/>
        </w:rPr>
        <w:t>employer, in the absence of fraud or bad faith on the par broker, that the customer refused to execute the contrac count of misrepresentations made by the employer,26 or</w:t>
      </w:r>
    </w:p>
    <w:p>
      <w:pPr>
        <w:pStyle w:val="Normal"/>
        <w:spacing w:lineRule="exact" w:line="35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380" w:right="0"/>
        <w:rPr>
          <w:rFonts w:ascii="Arial" w:hAnsi="Arial" w:eastAsia="Arial" w:cs="Arial"/>
          <w:sz w:val="16"/>
        </w:rPr>
      </w:pPr>
      <w:r>
        <w:rPr>
          <w:rFonts w:eastAsia="Arial" w:cs="Arial" w:ascii="Arial" w:hAnsi="Arial"/>
          <w:sz w:val="16"/>
        </w:rPr>
        <w:t>21 Barnes v. Roberts, 18 Super. Ct., 73, 84; Marshall v. Goo</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firstLine="9" w:left="60" w:right="-5"/>
        <w:jc w:val="both"/>
        <w:rPr/>
      </w:pPr>
      <w:r>
        <w:rPr>
          <w:rFonts w:eastAsia="Arial" w:cs="Arial" w:ascii="Arial" w:hAnsi="Arial"/>
          <w:sz w:val="16"/>
        </w:rPr>
        <w:t xml:space="preserve">135 N. Y. Supp., 11; Mullenhoff v. Genster, 15 N. Y. Supp., 673; </w:t>
      </w:r>
      <w:r>
        <w:rPr>
          <w:rFonts w:eastAsia="Arial" w:cs="Arial" w:ascii="Arial" w:hAnsi="Arial"/>
          <w:sz w:val="15"/>
        </w:rPr>
        <w:t>cases cited in preceding note.</w:t>
      </w:r>
    </w:p>
    <w:p>
      <w:pPr>
        <w:pStyle w:val="Normal"/>
        <w:spacing w:lineRule="exact" w:line="22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80" w:right="0"/>
        <w:rPr>
          <w:rFonts w:ascii="Arial" w:hAnsi="Arial" w:eastAsia="Arial" w:cs="Arial"/>
          <w:sz w:val="16"/>
        </w:rPr>
      </w:pPr>
      <w:r>
        <w:rPr>
          <w:rFonts w:eastAsia="Arial" w:cs="Arial" w:ascii="Arial" w:hAnsi="Arial"/>
          <w:sz w:val="16"/>
        </w:rPr>
        <w:t>22Evidence of customer's insolvency subsequent to date for</w:t>
      </w:r>
    </w:p>
    <w:p>
      <w:pPr>
        <w:pStyle w:val="Normal"/>
        <w:spacing w:lineRule="exact" w:line="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5"/>
        </w:rPr>
      </w:pPr>
      <w:r>
        <w:rPr>
          <w:rFonts w:eastAsia="Arial" w:cs="Arial" w:ascii="Arial" w:hAnsi="Arial"/>
          <w:sz w:val="15"/>
        </w:rPr>
        <w:t>the contract, irrelevant. Brady v. Foster, 72 A. D., 416.</w:t>
      </w:r>
    </w:p>
    <w:p>
      <w:pPr>
        <w:pStyle w:val="Normal"/>
        <w:spacing w:lineRule="exact" w:line="4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80" w:right="0"/>
        <w:rPr>
          <w:rFonts w:ascii="Arial" w:hAnsi="Arial" w:eastAsia="Arial" w:cs="Arial"/>
          <w:sz w:val="16"/>
        </w:rPr>
      </w:pPr>
      <w:r>
        <w:rPr>
          <w:rFonts w:eastAsia="Arial" w:cs="Arial" w:ascii="Arial" w:hAnsi="Arial"/>
          <w:sz w:val="16"/>
        </w:rPr>
        <w:t>23 Alt v. Doscher, 102 A. D., 344, aff'd 186 N. Y., 566; Gerdin</w:t>
      </w:r>
    </w:p>
    <w:p>
      <w:pPr>
        <w:pStyle w:val="Normal"/>
        <w:spacing w:lineRule="exact" w:line="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firstLine="3" w:left="40" w:right="-5"/>
        <w:jc w:val="both"/>
        <w:rPr/>
      </w:pPr>
      <w:r>
        <w:rPr>
          <w:rFonts w:eastAsia="Arial" w:cs="Arial" w:ascii="Arial" w:hAnsi="Arial"/>
          <w:sz w:val="16"/>
        </w:rPr>
        <w:t>kin, 141 N. Y., 514 (financially); Herron v. Cameron, 144 A. D., 4 cially-lease); Mutchnick v. Goldstein, 130 A. D., 417 (must prove</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tomer had good title-exchange); Schnitzler v. Price, 122 A. D., 409;</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Corbin v. Mechanics' &amp; Traders' Bank, 121 A. D., 744; Lovett v. Clench,</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3"/>
        <w:ind w:firstLine="4" w:left="20" w:right="674"/>
        <w:rPr>
          <w:rFonts w:ascii="Arial" w:hAnsi="Arial" w:eastAsia="Arial" w:cs="Arial"/>
          <w:sz w:val="16"/>
        </w:rPr>
      </w:pPr>
      <w:r>
        <w:rPr>
          <w:rFonts w:eastAsia="Arial" w:cs="Arial" w:ascii="Arial" w:hAnsi="Arial"/>
          <w:sz w:val="16"/>
        </w:rPr>
        <w:t>115 A. D., 635 (legally); Toolley v. Lowenstein, 83 Hun, 155 (legally-ex-change); Folsom v. Hesse, 24 Misc., 713 (legally-lease); Moskowitz v. Hornberger, 15 Misc., 645, 20 Misc., 558 (legally-exchange); Marshall v. Goodman, 135 N. Y. Supp., 11; Davis v. Jacobson, 110 N. Y. Supp., 1075</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firstLine="17" w:left="20" w:right="714"/>
        <w:rPr>
          <w:rFonts w:ascii="Arial" w:hAnsi="Arial" w:eastAsia="Arial" w:cs="Arial"/>
          <w:sz w:val="16"/>
        </w:rPr>
      </w:pPr>
      <w:r>
        <w:rPr>
          <w:rFonts w:eastAsia="Arial" w:cs="Arial" w:ascii="Arial" w:hAnsi="Arial"/>
          <w:sz w:val="16"/>
        </w:rPr>
        <w:t>(lease); Behrman v. Marcus, 102 N. Y. Supp., 467; but see Jaffe v. Nagel, 141 N. Y. Supp., 905 (in which part of the purchase price was to be paid</w:t>
      </w:r>
    </w:p>
    <w:p>
      <w:pPr>
        <w:pStyle w:val="Normal"/>
        <w:spacing w:lineRule="auto" w:line="278"/>
        <w:ind w:hanging="1" w:right="674"/>
        <w:rPr/>
      </w:pPr>
      <w:r>
        <w:rPr>
          <w:rFonts w:eastAsia="Arial" w:cs="Arial" w:ascii="Arial" w:hAnsi="Arial"/>
          <w:sz w:val="16"/>
        </w:rPr>
        <w:t xml:space="preserve">by the assignment of a mortgage on other property, which mortgage the </w:t>
      </w:r>
      <w:r>
        <w:rPr>
          <w:rFonts w:eastAsia="Arial" w:cs="Arial" w:ascii="Arial" w:hAnsi="Arial"/>
          <w:sz w:val="15"/>
        </w:rPr>
        <w:t>purchaser did not then own).</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right="714"/>
        <w:jc w:val="center"/>
        <w:rPr>
          <w:rFonts w:ascii="Arial" w:hAnsi="Arial" w:eastAsia="Arial" w:cs="Arial"/>
          <w:sz w:val="16"/>
        </w:rPr>
      </w:pPr>
      <w:r>
        <w:rPr>
          <w:rFonts w:eastAsia="Arial" w:cs="Arial" w:ascii="Arial" w:hAnsi="Arial"/>
          <w:sz w:val="16"/>
        </w:rPr>
        <w:t>24Redfield v. Tegg, 38 N. Y., 212; Gilder v. Davis, 137 N. Y., 504;</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Milne v. Ingersoll-Sergeant Drill Co., 120 A. D., 465; Putter v. Berger,</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right="634"/>
        <w:rPr>
          <w:rFonts w:ascii="Arial" w:hAnsi="Arial" w:eastAsia="Arial" w:cs="Arial"/>
          <w:sz w:val="16"/>
        </w:rPr>
      </w:pPr>
      <w:r>
        <w:rPr>
          <w:rFonts w:eastAsia="Arial" w:cs="Arial" w:ascii="Arial" w:hAnsi="Arial"/>
          <w:sz w:val="16"/>
        </w:rPr>
        <w:t>95 A. D., 62;;Gorman v. Scholle, 13 Daly, 516; Forrester v. Price, 6 Misc., 308; Brink v. Goodelle, 138 N. Y. Supp., 1035.</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40" w:right="0"/>
        <w:rPr>
          <w:rFonts w:ascii="Arial" w:hAnsi="Arial" w:eastAsia="Arial" w:cs="Arial"/>
          <w:sz w:val="16"/>
        </w:rPr>
      </w:pPr>
      <w:r>
        <w:rPr>
          <w:rFonts w:eastAsia="Arial" w:cs="Arial" w:ascii="Arial" w:hAnsi="Arial"/>
          <w:sz w:val="16"/>
        </w:rPr>
        <w:t>25 Beebe v. Ranger, 35 Super. Ct., 452.</w:t>
      </w:r>
    </w:p>
    <w:p>
      <w:pPr>
        <w:pStyle w:val="Normal"/>
        <w:spacing w:lineRule="exact" w:line="3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2"/>
        <w:ind w:firstLine="326" w:right="674"/>
        <w:rPr/>
      </w:pPr>
      <w:r>
        <w:rPr>
          <w:rFonts w:eastAsia="Arial" w:cs="Arial" w:ascii="Arial" w:hAnsi="Arial"/>
          <w:sz w:val="16"/>
        </w:rPr>
        <w:t>26King v. Knowles, 122 A. D., 414; Putter v. Berger, 95 A. D., 62; Lord v. Vrane, 78 Misc., 389; Goodman v. Hess, 56 Misc., 482; Seidman v.</w:t>
      </w:r>
    </w:p>
    <w:p>
      <w:pPr>
        <w:sectPr>
          <w:type w:val="nextPage"/>
          <w:pgSz w:w="7700" w:h="12869"/>
          <w:pgMar w:left="1000" w:right="0" w:gutter="0" w:header="0" w:top="71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1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1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00" w:right="0" w:gutter="0" w:header="0" w:top="716"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1">
            <wp:simplePos x="0" y="0"/>
            <wp:positionH relativeFrom="page">
              <wp:posOffset>0</wp:posOffset>
            </wp:positionH>
            <wp:positionV relativeFrom="page">
              <wp:posOffset>0</wp:posOffset>
            </wp:positionV>
            <wp:extent cx="4885690" cy="8025130"/>
            <wp:effectExtent l="0" t="0" r="0" b="0"/>
            <wp:wrapNone/>
            <wp:docPr id="10"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pic:cNvPicPr>
                      <a:picLocks noChangeAspect="1" noChangeArrowheads="1"/>
                    </pic:cNvPicPr>
                  </pic:nvPicPr>
                  <pic:blipFill>
                    <a:blip r:embed="rId9"/>
                    <a:srcRect l="-4" t="-2" r="-4" b="-2"/>
                    <a:stretch>
                      <a:fillRect/>
                    </a:stretch>
                  </pic:blipFill>
                  <pic:spPr bwMode="auto">
                    <a:xfrm>
                      <a:off x="0" y="0"/>
                      <a:ext cx="4885690" cy="8025130"/>
                    </a:xfrm>
                    <a:prstGeom prst="rect">
                      <a:avLst/>
                    </a:prstGeom>
                  </pic:spPr>
                </pic:pic>
              </a:graphicData>
            </a:graphic>
          </wp:anchor>
        </w:drawing>
      </w:r>
      <w:bookmarkStart w:id="14" w:name="page8"/>
      <w:bookmarkStart w:id="15" w:name="page8"/>
      <w:bookmarkEnd w:id="15"/>
    </w:p>
    <w:p>
      <w:pPr>
        <w:pStyle w:val="Normal"/>
        <w:tabs>
          <w:tab w:val="clear" w:pos="720"/>
          <w:tab w:val="left" w:pos="5500" w:leader="none"/>
        </w:tabs>
        <w:spacing w:lineRule="atLeast" w:line="0"/>
        <w:ind w:left="880" w:right="0"/>
        <w:rPr/>
      </w:pPr>
      <w:r>
        <w:rPr>
          <w:rFonts w:eastAsia="Arial" w:cs="Arial" w:ascii="Arial" w:hAnsi="Arial"/>
          <w:sz w:val="16"/>
        </w:rPr>
        <w:t>REAL ESTATE BROKER COMMISSIONS</w:t>
      </w:r>
      <w:r>
        <w:rPr>
          <w:rFonts w:eastAsia="Times New Roman" w:cs="Times New Roman" w:ascii="Times New Roman" w:hAnsi="Times New Roman"/>
        </w:rPr>
        <w:tab/>
      </w:r>
      <w:r>
        <w:rPr>
          <w:rFonts w:eastAsia="Arial" w:cs="Arial" w:ascii="Arial" w:hAnsi="Arial"/>
          <w:sz w:val="21"/>
          <w:vertAlign w:val="subscript"/>
        </w:rPr>
        <w:t>345</w:t>
      </w:r>
    </w:p>
    <w:p>
      <w:pPr>
        <w:pStyle w:val="Normal"/>
        <w:spacing w:lineRule="exact" w:line="382"/>
        <w:rPr>
          <w:rFonts w:ascii="Times New Roman" w:hAnsi="Times New Roman" w:eastAsia="Times New Roman" w:cs="Times New Roman"/>
          <w:sz w:val="21"/>
          <w:vertAlign w:val="subscript"/>
        </w:rPr>
      </w:pPr>
      <w:r>
        <w:rPr>
          <w:rFonts w:eastAsia="Times New Roman" w:cs="Times New Roman" w:ascii="Times New Roman" w:hAnsi="Times New Roman"/>
          <w:sz w:val="21"/>
          <w:vertAlign w:val="subscript"/>
        </w:rPr>
      </w:r>
    </w:p>
    <w:p>
      <w:pPr>
        <w:pStyle w:val="Normal"/>
        <w:spacing w:lineRule="auto" w:line="309"/>
        <w:ind w:left="100" w:right="14"/>
        <w:rPr>
          <w:rFonts w:ascii="Arial" w:hAnsi="Arial" w:eastAsia="Arial" w:cs="Arial"/>
          <w:sz w:val="17"/>
        </w:rPr>
      </w:pPr>
      <w:r>
        <w:rPr>
          <w:rFonts w:eastAsia="Arial" w:cs="Arial" w:ascii="Arial" w:hAnsi="Arial"/>
          <w:sz w:val="17"/>
        </w:rPr>
        <w:t>employer himself refused to execute the contract27 or to perform the contract by reason of the existence of</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00" w:right="0"/>
        <w:rPr>
          <w:rFonts w:ascii="Arial" w:hAnsi="Arial" w:eastAsia="Arial" w:cs="Arial"/>
          <w:sz w:val="16"/>
        </w:rPr>
      </w:pPr>
      <w:r>
        <w:rPr>
          <w:rFonts w:eastAsia="Arial" w:cs="Arial" w:ascii="Arial" w:hAnsi="Arial"/>
          <w:sz w:val="16"/>
        </w:rPr>
        <w:t>defects in title,28 or that the contract failed of execution</w:t>
      </w:r>
    </w:p>
    <w:p>
      <w:pPr>
        <w:pStyle w:val="Normal"/>
        <w:spacing w:lineRule="exact" w:line="6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100" w:right="0"/>
        <w:rPr>
          <w:rFonts w:ascii="Arial" w:hAnsi="Arial" w:eastAsia="Arial" w:cs="Arial"/>
          <w:sz w:val="17"/>
        </w:rPr>
      </w:pPr>
      <w:r>
        <w:rPr>
          <w:rFonts w:eastAsia="Arial" w:cs="Arial" w:ascii="Arial" w:hAnsi="Arial"/>
          <w:sz w:val="17"/>
        </w:rPr>
        <w:t>of the employer's insistence upon adding to or varying</w:t>
      </w:r>
    </w:p>
    <w:p>
      <w:pPr>
        <w:pStyle w:val="Normal"/>
        <w:spacing w:lineRule="exact" w:line="6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00" w:right="0"/>
        <w:rPr>
          <w:rFonts w:ascii="Arial" w:hAnsi="Arial" w:eastAsia="Arial" w:cs="Arial"/>
          <w:sz w:val="16"/>
        </w:rPr>
      </w:pPr>
      <w:r>
        <w:rPr>
          <w:rFonts w:eastAsia="Arial" w:cs="Arial" w:ascii="Arial" w:hAnsi="Arial"/>
          <w:sz w:val="16"/>
        </w:rPr>
        <w:t>rial terms previously given,29 or even by reason of the em</w:t>
      </w:r>
    </w:p>
    <w:p>
      <w:pPr>
        <w:pStyle w:val="Normal"/>
        <w:spacing w:lineRule="exact" w:line="5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100" w:right="0"/>
        <w:rPr>
          <w:rFonts w:ascii="Arial" w:hAnsi="Arial" w:eastAsia="Arial" w:cs="Arial"/>
          <w:sz w:val="18"/>
        </w:rPr>
      </w:pPr>
      <w:r>
        <w:rPr>
          <w:rFonts w:eastAsia="Arial" w:cs="Arial" w:ascii="Arial" w:hAnsi="Arial"/>
          <w:sz w:val="18"/>
        </w:rPr>
        <w:t>insistence upon varying the previous arrangement fo</w:t>
      </w:r>
    </w:p>
    <w:p>
      <w:pPr>
        <w:pStyle w:val="Normal"/>
        <w:spacing w:lineRule="exact" w:line="1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80" w:right="0"/>
        <w:rPr>
          <w:rFonts w:ascii="Arial" w:hAnsi="Arial" w:eastAsia="Arial" w:cs="Arial"/>
          <w:sz w:val="17"/>
        </w:rPr>
      </w:pPr>
      <w:r>
        <w:rPr>
          <w:rFonts w:eastAsia="Arial" w:cs="Arial" w:ascii="Arial" w:hAnsi="Arial"/>
          <w:sz w:val="17"/>
        </w:rPr>
        <w:t>ment of the broker's commissions.80 It is of course, however,</w:t>
      </w:r>
    </w:p>
    <w:p>
      <w:pPr>
        <w:pStyle w:val="Normal"/>
        <w:spacing w:lineRule="exact" w:line="23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6"/>
        </w:rPr>
      </w:pPr>
      <w:r>
        <w:rPr>
          <w:rFonts w:eastAsia="Arial" w:cs="Arial" w:ascii="Arial" w:hAnsi="Arial"/>
          <w:sz w:val="16"/>
        </w:rPr>
        <w:t>Rauner, 51 Misc., 10; Frank v. Connor, 107 N. Y. Supp., 132. For in-</w:t>
      </w:r>
    </w:p>
    <w:p>
      <w:pPr>
        <w:pStyle w:val="Normal"/>
        <w:spacing w:lineRule="exact" w:line="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5"/>
        <w:ind w:hanging="2" w:left="60" w:right="574"/>
        <w:rPr/>
      </w:pPr>
      <w:r>
        <w:rPr>
          <w:rFonts w:eastAsia="Arial" w:cs="Arial" w:ascii="Arial" w:hAnsi="Arial"/>
          <w:sz w:val="16"/>
        </w:rPr>
        <w:t xml:space="preserve">stances of immaterial misrepresentations, see Shapiro v. Nadler, 51 Misc., </w:t>
      </w:r>
      <w:r>
        <w:rPr>
          <w:rFonts w:eastAsia="Arial" w:cs="Arial" w:ascii="Arial" w:hAnsi="Arial"/>
          <w:sz w:val="15"/>
        </w:rPr>
        <w:t>13 (concealment of mortgage); Keough v. Meyer, 111 N. Y. Supp., 1 (mis-</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60" w:right="0"/>
        <w:rPr>
          <w:rFonts w:ascii="Arial" w:hAnsi="Arial" w:eastAsia="Arial" w:cs="Arial"/>
          <w:sz w:val="15"/>
        </w:rPr>
      </w:pPr>
      <w:r>
        <w:rPr>
          <w:rFonts w:eastAsia="Arial" w:cs="Arial" w:ascii="Arial" w:hAnsi="Arial"/>
          <w:sz w:val="15"/>
        </w:rPr>
        <w:t>statement of front footage); Diamond &amp; Co. v. Hartley, 38 A. D., 87, 47 A.</w:t>
      </w:r>
    </w:p>
    <w:p>
      <w:pPr>
        <w:pStyle w:val="Normal"/>
        <w:spacing w:lineRule="exact" w:line="3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60" w:right="0"/>
        <w:rPr>
          <w:rFonts w:ascii="Arial" w:hAnsi="Arial" w:eastAsia="Arial" w:cs="Arial"/>
          <w:sz w:val="16"/>
        </w:rPr>
      </w:pPr>
      <w:r>
        <w:rPr>
          <w:rFonts w:eastAsia="Arial" w:cs="Arial" w:ascii="Arial" w:hAnsi="Arial"/>
          <w:sz w:val="16"/>
        </w:rPr>
        <w:t>D., 1 (same); Hausman v. Herdtfelder, 81 A. D., 46 (same); Sotsky v. Gins-</w:t>
      </w:r>
    </w:p>
    <w:p>
      <w:pPr>
        <w:pStyle w:val="Normal"/>
        <w:spacing w:lineRule="exact" w:line="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berg, 129 A. D., 441 (same); Rohner v. Lenisch, 29 Misc., 315 (misstate-</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firstLine="1" w:left="60" w:right="674"/>
        <w:rPr>
          <w:rFonts w:ascii="Arial" w:hAnsi="Arial" w:eastAsia="Arial" w:cs="Arial"/>
          <w:sz w:val="16"/>
        </w:rPr>
      </w:pPr>
      <w:r>
        <w:rPr>
          <w:rFonts w:eastAsia="Arial" w:cs="Arial" w:ascii="Arial" w:hAnsi="Arial"/>
          <w:sz w:val="16"/>
        </w:rPr>
        <w:t>ment of rent-sale of lease); Curtiss v. Mott, 90 Hun, 439 (misstatement of rent); see also Folsom v. Lewis, 14 Misc., 605.</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firstLine="325" w:left="40" w:right="754"/>
        <w:rPr>
          <w:rFonts w:ascii="Arial" w:hAnsi="Arial" w:eastAsia="Arial" w:cs="Arial"/>
          <w:sz w:val="16"/>
        </w:rPr>
      </w:pPr>
      <w:r>
        <w:rPr>
          <w:rFonts w:eastAsia="Arial" w:cs="Arial" w:ascii="Arial" w:hAnsi="Arial"/>
          <w:sz w:val="16"/>
        </w:rPr>
        <w:t>27 Benedict v. Pincus, 134 A. D., 555 (lease); Suydam v. Healy, 93 A. D., 396 (exchange); Van Siclen v. Herbst, 30 A. D., 255; Krahmer v.</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Heilman, 16 Daly, 132; Dennis v. Charlick, 6 Hun, 21; Cook v. Kromeke,</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ind w:hanging="1" w:left="40" w:right="614"/>
        <w:jc w:val="both"/>
        <w:rPr>
          <w:rFonts w:ascii="Arial" w:hAnsi="Arial" w:eastAsia="Arial" w:cs="Arial"/>
          <w:sz w:val="16"/>
        </w:rPr>
      </w:pPr>
      <w:r>
        <w:rPr>
          <w:rFonts w:eastAsia="Arial" w:cs="Arial" w:ascii="Arial" w:hAnsi="Arial"/>
          <w:sz w:val="16"/>
        </w:rPr>
        <w:t>4 Daly, 268; Barnard v. Monnot, 3 Keyes, 203; Bucksdorf v. Bender, 80 Misc., 498 (exchange); Greenwald v. Rosen, 61 Misc., 260; Getzelsohn v.</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Donnelly, 50 Misc., 164; Michaelis v. Roffman, 37 Misc., 830 (broker em-</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ployed by purchaser); Walsh v. Stich, 36 Misc., 835 (lease); Simpson v.</w:t>
      </w:r>
    </w:p>
    <w:p>
      <w:pPr>
        <w:pStyle w:val="Normal"/>
        <w:spacing w:lineRule="exact" w:line="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Smith, 36 Misc., 815; Goldberg v. Gelles, 33 Misc., 797; Halprin v.</w:t>
      </w:r>
    </w:p>
    <w:p>
      <w:pPr>
        <w:pStyle w:val="Normal"/>
        <w:spacing w:lineRule="exact" w:line="3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Schachne, 27 Misc., 195; Auten v. Jacobus, 20 Misc., 669 (broker employed</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by purchaser); Friend v. Jetter, 18 Misc., 368, 19 Misc., 101; Moses v.</w:t>
      </w:r>
    </w:p>
    <w:p>
      <w:pPr>
        <w:pStyle w:val="Normal"/>
        <w:spacing w:lineRule="exact" w:line="3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Helmke, 18 Misc., 357; Riker v. Post, 110 N. Y. Supp., 79; Smith v. Smith,</w:t>
      </w:r>
    </w:p>
    <w:p>
      <w:pPr>
        <w:pStyle w:val="Normal"/>
        <w:spacing w:lineRule="exact" w:line="1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31 Super. Ct., 552.</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8"/>
        <w:ind w:firstLine="330" w:left="20" w:right="574"/>
        <w:rPr/>
      </w:pPr>
      <w:r>
        <w:rPr>
          <w:rFonts w:eastAsia="Arial" w:cs="Arial" w:ascii="Arial" w:hAnsi="Arial"/>
          <w:sz w:val="16"/>
        </w:rPr>
        <w:t xml:space="preserve">28 Cusack v. Ackerman, 93 A. D., 579; McQuillan v. Carpenter, 72 A. D., 595; Doty v. Miller, 43 Barb, 529; Dreyer v. Rauch, 42 How. Pr., 22; </w:t>
      </w:r>
      <w:r>
        <w:rPr>
          <w:rFonts w:eastAsia="Arial" w:cs="Arial" w:ascii="Arial" w:hAnsi="Arial"/>
          <w:sz w:val="15"/>
        </w:rPr>
        <w:t xml:space="preserve">Ranger v. Lee, 66 Misc., 144 (seller under no obligation to inform broker of covenants as to nuisances, unless asked by broker); Scott v. Neuberger, </w:t>
      </w:r>
      <w:r>
        <w:rPr>
          <w:rFonts w:eastAsia="Arial" w:cs="Arial" w:ascii="Arial" w:hAnsi="Arial"/>
          <w:sz w:val="16"/>
        </w:rPr>
        <w:t>58 Misc., 22; Cox v. Hawke, 93 N. Y. Supp., 1117.</w:t>
      </w:r>
    </w:p>
    <w:p>
      <w:pPr>
        <w:pStyle w:val="Normal"/>
        <w:spacing w:lineRule="exact" w:line="18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40" w:right="0"/>
        <w:rPr>
          <w:rFonts w:ascii="Arial" w:hAnsi="Arial" w:eastAsia="Arial" w:cs="Arial"/>
          <w:sz w:val="16"/>
        </w:rPr>
      </w:pPr>
      <w:r>
        <w:rPr>
          <w:rFonts w:eastAsia="Arial" w:cs="Arial" w:ascii="Arial" w:hAnsi="Arial"/>
          <w:sz w:val="16"/>
        </w:rPr>
        <w:t>29Davidson v. Stocky, 202 N. Y., 423; Tannenbaum v. Boehm, 111</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ind w:firstLine="11" w:left="20" w:right="594"/>
        <w:rPr/>
      </w:pPr>
      <w:r>
        <w:rPr>
          <w:rFonts w:eastAsia="Arial" w:cs="Arial" w:ascii="Arial" w:hAnsi="Arial"/>
          <w:sz w:val="16"/>
        </w:rPr>
        <w:t xml:space="preserve">N. Y. Supp., 185, 202 N. Y., 293 (lease); Phillips v. Kraft, 136 A. D., 859; Sotsky v. Ginsberg, 129 A. D., 441; Milne v. Ingersoll-Sergeant Drill Co., </w:t>
      </w:r>
      <w:r>
        <w:rPr>
          <w:rFonts w:eastAsia="Arial" w:cs="Arial" w:ascii="Arial" w:hAnsi="Arial"/>
          <w:sz w:val="15"/>
        </w:rPr>
        <w:t>120 A. D., 465; Lovett v. Clench, 115 A. D., 635; Lucas v. Smith, 113 A. D.,</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6"/>
        </w:rPr>
      </w:pPr>
      <w:r>
        <w:rPr>
          <w:rFonts w:eastAsia="Arial" w:cs="Arial" w:ascii="Arial" w:hAnsi="Arial"/>
          <w:sz w:val="16"/>
        </w:rPr>
        <w:t>31; Martin v. Werman, 107 A. D., 482; Suydam v. Healy, 93 A. D., 396</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7"/>
        </w:rPr>
      </w:pPr>
      <w:r>
        <w:rPr>
          <w:rFonts w:eastAsia="Arial" w:cs="Arial" w:ascii="Arial" w:hAnsi="Arial"/>
          <w:sz w:val="17"/>
        </w:rPr>
        <w:t>(exchange); Gorman v. Scholle, 13 Daly, 516; Levy v. Sonneborn, 78</w:t>
      </w:r>
    </w:p>
    <w:p>
      <w:pPr>
        <w:pStyle w:val="Normal"/>
        <w:spacing w:lineRule="exact" w:line="1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6"/>
        </w:rPr>
      </w:pPr>
      <w:r>
        <w:rPr>
          <w:rFonts w:eastAsia="Arial" w:cs="Arial" w:ascii="Arial" w:hAnsi="Arial"/>
          <w:sz w:val="16"/>
        </w:rPr>
        <w:t>Misc., 50 (employer's insistence upon adding words "more or less" to</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description of footage of property, will not justify customer in declining</w:t>
      </w:r>
    </w:p>
    <w:p>
      <w:pPr>
        <w:pStyle w:val="Normal"/>
        <w:spacing w:lineRule="exact" w:line="1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7"/>
        </w:rPr>
      </w:pPr>
      <w:r>
        <w:rPr>
          <w:rFonts w:eastAsia="Arial" w:cs="Arial" w:ascii="Arial" w:hAnsi="Arial"/>
          <w:sz w:val="17"/>
        </w:rPr>
        <w:t>to proceed); Mettzer v. Straus, 61 Misc., 250; Seidman v. Rauner, 51</w:t>
      </w:r>
    </w:p>
    <w:p>
      <w:pPr>
        <w:pStyle w:val="Normal"/>
        <w:spacing w:lineRule="exact" w:line="2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6"/>
        </w:rPr>
      </w:pPr>
      <w:r>
        <w:rPr>
          <w:rFonts w:eastAsia="Arial" w:cs="Arial" w:ascii="Arial" w:hAnsi="Arial"/>
          <w:sz w:val="16"/>
        </w:rPr>
        <w:t>Misc., 10; Levy v. Ruff, 4 Misc., 180; Fran kv. Connor, 107 N. Y. Supp.,</w:t>
      </w:r>
    </w:p>
    <w:p>
      <w:pPr>
        <w:pStyle w:val="Normal"/>
        <w:spacing w:lineRule="exact" w:line="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132; McGill v. Gargoula, 103 N. Y. Supp., 113; Marks v. Elliot, 90 N. Y.</w:t>
      </w:r>
    </w:p>
    <w:p>
      <w:pPr>
        <w:pStyle w:val="Normal"/>
        <w:spacing w:lineRule="exact" w:line="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Supp., 331; Hattenbach v. Gundersheimer, 13 N. Y. Supp., 814; Beebe v.</w:t>
      </w:r>
    </w:p>
    <w:p>
      <w:pPr>
        <w:pStyle w:val="Normal"/>
        <w:spacing w:lineRule="atLeast" w:line="0"/>
        <w:rPr>
          <w:rFonts w:ascii="Arial" w:hAnsi="Arial" w:eastAsia="Arial" w:cs="Arial"/>
          <w:sz w:val="16"/>
        </w:rPr>
      </w:pPr>
      <w:r>
        <w:rPr>
          <w:rFonts w:eastAsia="Arial" w:cs="Arial" w:ascii="Arial" w:hAnsi="Arial"/>
          <w:sz w:val="16"/>
        </w:rPr>
        <w:t>Ranger, 35 Super. Ct., 452.</w:t>
      </w:r>
    </w:p>
    <w:p>
      <w:pPr>
        <w:pStyle w:val="Normal"/>
        <w:spacing w:lineRule="exact" w:line="3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80Marks v. Elliot, 90 N. Y. Supp., 331; Friend v. letter, 18 Misc., 368,</w:t>
      </w:r>
    </w:p>
    <w:p>
      <w:pPr>
        <w:pStyle w:val="Normal"/>
        <w:spacing w:lineRule="atLeast" w:line="0"/>
        <w:ind w:left="20" w:right="0"/>
        <w:rPr>
          <w:rFonts w:ascii="Arial" w:hAnsi="Arial" w:eastAsia="Arial" w:cs="Arial"/>
          <w:sz w:val="15"/>
        </w:rPr>
      </w:pPr>
      <w:r>
        <w:rPr>
          <w:rFonts w:eastAsia="Arial" w:cs="Arial" w:ascii="Arial" w:hAnsi="Arial"/>
          <w:sz w:val="15"/>
        </w:rPr>
        <w:t>19 Misc., 101.</w:t>
      </w:r>
    </w:p>
    <w:p>
      <w:pPr>
        <w:sectPr>
          <w:type w:val="nextPage"/>
          <w:pgSz w:w="7700" w:h="12869"/>
          <w:pgMar w:left="1000" w:right="0" w:gutter="0" w:header="0" w:top="79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1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1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00" w:right="0" w:gutter="0" w:header="0" w:top="794"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2">
            <wp:simplePos x="0" y="0"/>
            <wp:positionH relativeFrom="page">
              <wp:posOffset>0</wp:posOffset>
            </wp:positionH>
            <wp:positionV relativeFrom="page">
              <wp:posOffset>0</wp:posOffset>
            </wp:positionV>
            <wp:extent cx="4885690" cy="8025130"/>
            <wp:effectExtent l="0" t="0" r="0" b="0"/>
            <wp:wrapNone/>
            <wp:docPr id="11"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pic:cNvPicPr>
                      <a:picLocks noChangeAspect="1" noChangeArrowheads="1"/>
                    </pic:cNvPicPr>
                  </pic:nvPicPr>
                  <pic:blipFill>
                    <a:blip r:embed="rId10"/>
                    <a:srcRect l="-4" t="-2" r="-4" b="-2"/>
                    <a:stretch>
                      <a:fillRect/>
                    </a:stretch>
                  </pic:blipFill>
                  <pic:spPr bwMode="auto">
                    <a:xfrm>
                      <a:off x="0" y="0"/>
                      <a:ext cx="4885690" cy="8025130"/>
                    </a:xfrm>
                    <a:prstGeom prst="rect">
                      <a:avLst/>
                    </a:prstGeom>
                  </pic:spPr>
                </pic:pic>
              </a:graphicData>
            </a:graphic>
          </wp:anchor>
        </w:drawing>
      </w:r>
      <w:bookmarkStart w:id="16" w:name="page9"/>
      <w:bookmarkStart w:id="17" w:name="page9"/>
      <w:bookmarkEnd w:id="17"/>
    </w:p>
    <w:p>
      <w:pPr>
        <w:pStyle w:val="Normal"/>
        <w:tabs>
          <w:tab w:val="clear" w:pos="720"/>
          <w:tab w:val="left" w:pos="1720" w:leader="none"/>
        </w:tabs>
        <w:spacing w:lineRule="atLeast" w:line="0"/>
        <w:rPr/>
      </w:pPr>
      <w:r>
        <w:rPr>
          <w:rFonts w:eastAsia="Arial" w:cs="Arial" w:ascii="Arial" w:hAnsi="Arial"/>
          <w:sz w:val="16"/>
        </w:rPr>
        <w:t>346</w:t>
      </w:r>
      <w:r>
        <w:rPr>
          <w:rFonts w:eastAsia="Times New Roman" w:cs="Times New Roman" w:ascii="Times New Roman" w:hAnsi="Times New Roman"/>
        </w:rPr>
        <w:tab/>
      </w:r>
      <w:r>
        <w:rPr>
          <w:rFonts w:eastAsia="Arial" w:cs="Arial" w:ascii="Arial" w:hAnsi="Arial"/>
          <w:sz w:val="15"/>
        </w:rPr>
        <w:t>YALE LAW JOURNAL</w:t>
      </w:r>
    </w:p>
    <w:p>
      <w:pPr>
        <w:pStyle w:val="Normal"/>
        <w:spacing w:lineRule="exact" w:line="25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07"/>
        <w:ind w:firstLine="13" w:left="60" w:right="-5"/>
        <w:jc w:val="both"/>
        <w:rPr/>
      </w:pPr>
      <w:r>
        <w:rPr>
          <w:rFonts w:eastAsia="Arial" w:cs="Arial" w:ascii="Arial" w:hAnsi="Arial"/>
          <w:sz w:val="18"/>
        </w:rPr>
        <w:t xml:space="preserve">fatal to the broker's case if, in the absence of fraud o </w:t>
      </w:r>
      <w:r>
        <w:rPr>
          <w:rFonts w:eastAsia="Arial" w:cs="Arial" w:ascii="Arial" w:hAnsi="Arial"/>
          <w:sz w:val="17"/>
        </w:rPr>
        <w:t>on the part of the employer, such contract failed of 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8"/>
        </w:rPr>
      </w:pPr>
      <w:r>
        <w:rPr>
          <w:rFonts w:eastAsia="Arial" w:cs="Arial" w:ascii="Arial" w:hAnsi="Arial"/>
          <w:sz w:val="18"/>
        </w:rPr>
        <w:t>reason of the refusal of the customer, or by reason</w:t>
      </w:r>
    </w:p>
    <w:p>
      <w:pPr>
        <w:pStyle w:val="Normal"/>
        <w:spacing w:lineRule="exact" w:line="4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tomer's insistence upon adding to or varying the mate</w:t>
      </w:r>
    </w:p>
    <w:p>
      <w:pPr>
        <w:pStyle w:val="Normal"/>
        <w:spacing w:lineRule="exact" w:line="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6"/>
        </w:rPr>
      </w:pPr>
      <w:r>
        <w:rPr>
          <w:rFonts w:eastAsia="Arial" w:cs="Arial" w:ascii="Arial" w:hAnsi="Arial"/>
          <w:sz w:val="16"/>
        </w:rPr>
        <w:t>previously given by the employer,31 or by reason of the</w:t>
      </w:r>
    </w:p>
    <w:p>
      <w:pPr>
        <w:pStyle w:val="Normal"/>
        <w:spacing w:lineRule="exact" w:line="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 w:right="0"/>
        <w:rPr>
          <w:rFonts w:ascii="Arial" w:hAnsi="Arial" w:eastAsia="Arial" w:cs="Arial"/>
          <w:sz w:val="18"/>
        </w:rPr>
      </w:pPr>
      <w:r>
        <w:rPr>
          <w:rFonts w:eastAsia="Arial" w:cs="Arial" w:ascii="Arial" w:hAnsi="Arial"/>
          <w:sz w:val="18"/>
        </w:rPr>
        <w:t>insistence upon varying the previous arrangement fo</w:t>
      </w:r>
    </w:p>
    <w:p>
      <w:pPr>
        <w:pStyle w:val="Normal"/>
        <w:spacing w:lineRule="exact" w:line="2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5"/>
        </w:rPr>
      </w:pPr>
      <w:r>
        <w:rPr>
          <w:rFonts w:eastAsia="Arial" w:cs="Arial" w:ascii="Arial" w:hAnsi="Arial"/>
          <w:sz w:val="15"/>
        </w:rPr>
        <w:t>ment of the broker's commission.82</w:t>
      </w:r>
    </w:p>
    <w:p>
      <w:pPr>
        <w:pStyle w:val="Normal"/>
        <w:spacing w:lineRule="exact" w:line="23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1600" w:right="0"/>
        <w:rPr>
          <w:rFonts w:ascii="Arial" w:hAnsi="Arial" w:eastAsia="Arial" w:cs="Arial"/>
          <w:sz w:val="15"/>
        </w:rPr>
      </w:pPr>
      <w:r>
        <w:rPr>
          <w:rFonts w:eastAsia="Arial" w:cs="Arial" w:ascii="Arial" w:hAnsi="Arial"/>
          <w:sz w:val="15"/>
        </w:rPr>
        <w:t>II. PROCURING CAUSE.</w:t>
      </w:r>
    </w:p>
    <w:p>
      <w:pPr>
        <w:pStyle w:val="Normal"/>
        <w:spacing w:lineRule="exact" w:line="18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38"/>
        <w:ind w:firstLine="199" w:left="60" w:right="-5"/>
        <w:jc w:val="both"/>
        <w:rPr/>
      </w:pPr>
      <w:r>
        <w:rPr>
          <w:rFonts w:eastAsia="Arial" w:cs="Arial" w:ascii="Arial" w:hAnsi="Arial"/>
          <w:sz w:val="17"/>
        </w:rPr>
        <w:t>As a practical matter, the cases relating to the que curing cause" are almost entirely those in which th interest has been completed, or those in which a con</w:t>
      </w:r>
    </w:p>
    <w:p>
      <w:pPr>
        <w:pStyle w:val="Normal"/>
        <w:spacing w:lineRule="exact" w:line="17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8"/>
        </w:rPr>
      </w:pPr>
      <w:r>
        <w:rPr>
          <w:rFonts w:eastAsia="Arial" w:cs="Arial" w:ascii="Arial" w:hAnsi="Arial"/>
          <w:sz w:val="18"/>
        </w:rPr>
        <w:t>transfer of interest has been executed. The reason</w:t>
      </w:r>
    </w:p>
    <w:p>
      <w:pPr>
        <w:pStyle w:val="Normal"/>
        <w:spacing w:lineRule="exact" w:line="6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sumably is that where the only benefit to the emp</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0"/>
        <w:ind w:firstLine="5" w:left="60" w:right="-5"/>
        <w:jc w:val="both"/>
        <w:rPr>
          <w:rFonts w:ascii="Arial" w:hAnsi="Arial" w:eastAsia="Arial" w:cs="Arial"/>
          <w:sz w:val="18"/>
        </w:rPr>
      </w:pPr>
      <w:r>
        <w:rPr>
          <w:rFonts w:eastAsia="Arial" w:cs="Arial" w:ascii="Arial" w:hAnsi="Arial"/>
          <w:sz w:val="18"/>
        </w:rPr>
        <w:t>customer's consent to the employer's terms, not m broker, from the very nature of the circumstanc have sufficient knowledge of such benefit on whi plausible action for commissions, and not even tha unless he was so instrumental in conferring the b leave little room for contention that any one else curing cause; whereas if the transfer of interest h</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left="60" w:right="-5"/>
        <w:jc w:val="both"/>
        <w:rPr/>
      </w:pPr>
      <w:r>
        <w:rPr>
          <w:rFonts w:eastAsia="Arial" w:cs="Arial" w:ascii="Arial" w:hAnsi="Arial"/>
          <w:sz w:val="18"/>
        </w:rPr>
        <w:t xml:space="preserve">pleted, or if a contract therefor has been executed, </w:t>
      </w:r>
      <w:r>
        <w:rPr>
          <w:rFonts w:eastAsia="Arial" w:cs="Arial" w:ascii="Arial" w:hAnsi="Arial"/>
          <w:sz w:val="17"/>
        </w:rPr>
        <w:t>apt to have become sufficiently of public record to tunity for any broker who has been at any time em</w:t>
      </w:r>
    </w:p>
    <w:p>
      <w:pPr>
        <w:pStyle w:val="Normal"/>
        <w:spacing w:lineRule="exact" w:line="18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8"/>
        </w:rPr>
      </w:pPr>
      <w:r>
        <w:rPr>
          <w:rFonts w:eastAsia="Arial" w:cs="Arial" w:ascii="Arial" w:hAnsi="Arial"/>
          <w:sz w:val="18"/>
        </w:rPr>
        <w:t>reference to the property in question to bring a m</w:t>
      </w:r>
    </w:p>
    <w:p>
      <w:pPr>
        <w:pStyle w:val="Normal"/>
        <w:spacing w:lineRule="exact" w:line="5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7"/>
        </w:rPr>
      </w:pPr>
      <w:r>
        <w:rPr>
          <w:rFonts w:eastAsia="Arial" w:cs="Arial" w:ascii="Arial" w:hAnsi="Arial"/>
          <w:sz w:val="17"/>
        </w:rPr>
        <w:t>plausible action for commissions.33</w:t>
      </w:r>
    </w:p>
    <w:p>
      <w:pPr>
        <w:pStyle w:val="Normal"/>
        <w:spacing w:lineRule="exact" w:line="4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16"/>
        <w:ind w:firstLine="199" w:left="60" w:right="-5"/>
        <w:jc w:val="both"/>
        <w:rPr>
          <w:rFonts w:ascii="Arial" w:hAnsi="Arial" w:eastAsia="Arial" w:cs="Arial"/>
          <w:sz w:val="18"/>
        </w:rPr>
      </w:pPr>
      <w:r>
        <w:rPr>
          <w:rFonts w:eastAsia="Arial" w:cs="Arial" w:ascii="Arial" w:hAnsi="Arial"/>
          <w:sz w:val="18"/>
        </w:rPr>
        <w:t>The expression "procuring cause", and its less fre equivalents, "producing cause" and "efficient cause</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380" w:right="0"/>
        <w:rPr>
          <w:rFonts w:ascii="Arial" w:hAnsi="Arial" w:eastAsia="Arial" w:cs="Arial"/>
          <w:sz w:val="16"/>
        </w:rPr>
      </w:pPr>
      <w:r>
        <w:rPr>
          <w:rFonts w:eastAsia="Arial" w:cs="Arial" w:ascii="Arial" w:hAnsi="Arial"/>
          <w:sz w:val="16"/>
        </w:rPr>
        <w:t>31 Chenkin v. Lipman, 138 A. D., 267; Weiss v. Rubins</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 w:right="0"/>
        <w:rPr>
          <w:rFonts w:ascii="Arial" w:hAnsi="Arial" w:eastAsia="Arial" w:cs="Arial"/>
          <w:sz w:val="16"/>
        </w:rPr>
      </w:pPr>
      <w:r>
        <w:rPr>
          <w:rFonts w:eastAsia="Arial" w:cs="Arial" w:ascii="Arial" w:hAnsi="Arial"/>
          <w:sz w:val="16"/>
        </w:rPr>
        <w:t>276; Sheinhouse v. Klueppel, 80 A. D., 445; Weibler v. Co</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 w:right="0"/>
        <w:rPr>
          <w:rFonts w:ascii="Arial" w:hAnsi="Arial" w:eastAsia="Arial" w:cs="Arial"/>
          <w:sz w:val="16"/>
        </w:rPr>
      </w:pPr>
      <w:r>
        <w:rPr>
          <w:rFonts w:eastAsia="Arial" w:cs="Arial" w:ascii="Arial" w:hAnsi="Arial"/>
          <w:sz w:val="16"/>
        </w:rPr>
        <w:t>637; Inge v. McCreery, 60 A. D., 557; Walsh v. Gay, 49 A.</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6"/>
        <w:ind w:firstLine="6" w:left="60" w:right="-5"/>
        <w:jc w:val="both"/>
        <w:rPr>
          <w:rFonts w:ascii="Arial" w:hAnsi="Arial" w:eastAsia="Arial" w:cs="Arial"/>
          <w:sz w:val="16"/>
        </w:rPr>
      </w:pPr>
      <w:r>
        <w:rPr>
          <w:rFonts w:eastAsia="Arial" w:cs="Arial" w:ascii="Arial" w:hAnsi="Arial"/>
          <w:sz w:val="16"/>
        </w:rPr>
        <w:t>Hurlbut, 47 A. D., 163; Pullich v. Casey, 43 A. D., 122; P 65 Hun, 557; Ranger v. Lee, 66 Misc., 144; Shapiro v. Na</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3"/>
        <w:ind w:firstLine="10" w:left="60" w:right="-5"/>
        <w:jc w:val="both"/>
        <w:rPr/>
      </w:pPr>
      <w:r>
        <w:rPr>
          <w:rFonts w:eastAsia="Arial" w:cs="Arial" w:ascii="Arial" w:hAnsi="Arial"/>
          <w:sz w:val="16"/>
        </w:rPr>
        <w:t>13; Kronenberger v. Bierling, 37 Misc., 817; Byrne v. Kor Feiner v. Kobre, 13 Misc., 499; Rosenthal v. Emerson Realt Supp., 85; Nadler v. Menschel, 110 N. Y. Supp., 384; Barn 40 Super. Ct., 102; but see Heinrich v. Korn, 4 Daly, 74.</w:t>
      </w:r>
    </w:p>
    <w:p>
      <w:pPr>
        <w:pStyle w:val="Normal"/>
        <w:spacing w:lineRule="exact" w:line="17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80" w:right="0"/>
        <w:rPr>
          <w:rFonts w:ascii="Arial" w:hAnsi="Arial" w:eastAsia="Arial" w:cs="Arial"/>
          <w:sz w:val="15"/>
        </w:rPr>
      </w:pPr>
      <w:r>
        <w:rPr>
          <w:rFonts w:eastAsia="Arial" w:cs="Arial" w:ascii="Arial" w:hAnsi="Arial"/>
          <w:sz w:val="15"/>
        </w:rPr>
        <w:t>32 Smith v. Nicoll, 91 Hun, 173, aff'd 158 N. Y., 696.</w:t>
      </w:r>
    </w:p>
    <w:p>
      <w:pPr>
        <w:pStyle w:val="Normal"/>
        <w:spacing w:lineRule="exact" w:line="2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80" w:right="0"/>
        <w:rPr>
          <w:rFonts w:ascii="Arial" w:hAnsi="Arial" w:eastAsia="Arial" w:cs="Arial"/>
          <w:sz w:val="15"/>
        </w:rPr>
      </w:pPr>
      <w:r>
        <w:rPr>
          <w:rFonts w:eastAsia="Arial" w:cs="Arial" w:ascii="Arial" w:hAnsi="Arial"/>
          <w:sz w:val="15"/>
        </w:rPr>
        <w:t>33 "It is established that Mullowney had absolutely noth</w:t>
      </w:r>
    </w:p>
    <w:p>
      <w:pPr>
        <w:pStyle w:val="Normal"/>
        <w:spacing w:lineRule="exact" w:line="3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4"/>
        <w:ind w:left="80" w:right="-5"/>
        <w:jc w:val="both"/>
        <w:rPr>
          <w:rFonts w:ascii="Arial" w:hAnsi="Arial" w:eastAsia="Arial" w:cs="Arial"/>
          <w:sz w:val="16"/>
        </w:rPr>
      </w:pPr>
      <w:r>
        <w:rPr>
          <w:rFonts w:eastAsia="Arial" w:cs="Arial" w:ascii="Arial" w:hAnsi="Arial"/>
          <w:sz w:val="16"/>
        </w:rPr>
        <w:t>the negotiations, terms, prices, or anything else out of contract between Todd and Sternfield. The first thing h</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 w:right="0"/>
        <w:rPr>
          <w:rFonts w:ascii="Arial" w:hAnsi="Arial" w:eastAsia="Arial" w:cs="Arial"/>
          <w:sz w:val="16"/>
        </w:rPr>
      </w:pPr>
      <w:r>
        <w:rPr>
          <w:rFonts w:eastAsia="Arial" w:cs="Arial" w:ascii="Arial" w:hAnsi="Arial"/>
          <w:sz w:val="16"/>
        </w:rPr>
        <w:t>was when he saw the completed transaction in the newspa</w:t>
      </w:r>
    </w:p>
    <w:p>
      <w:pPr>
        <w:pStyle w:val="Normal"/>
        <w:spacing w:lineRule="exact" w:line="1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5"/>
        </w:rPr>
      </w:pPr>
      <w:r>
        <w:rPr>
          <w:rFonts w:eastAsia="Arial" w:cs="Arial" w:ascii="Arial" w:hAnsi="Arial"/>
          <w:sz w:val="15"/>
        </w:rPr>
        <w:t>pany v. Holland Holding Co., 156 A. D., 162.</w:t>
      </w:r>
    </w:p>
    <w:p>
      <w:pPr>
        <w:sectPr>
          <w:type w:val="nextPage"/>
          <w:pgSz w:w="7700" w:h="12869"/>
          <w:pgMar w:left="1060" w:right="0" w:gutter="0" w:header="0" w:top="99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7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7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60" w:right="0" w:gutter="0" w:header="0" w:top="993"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3">
            <wp:simplePos x="0" y="0"/>
            <wp:positionH relativeFrom="page">
              <wp:posOffset>0</wp:posOffset>
            </wp:positionH>
            <wp:positionV relativeFrom="page">
              <wp:posOffset>0</wp:posOffset>
            </wp:positionV>
            <wp:extent cx="4885690" cy="8025130"/>
            <wp:effectExtent l="0" t="0" r="0" b="0"/>
            <wp:wrapNone/>
            <wp:docPr id="12"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descr=""/>
                    <pic:cNvPicPr>
                      <a:picLocks noChangeAspect="1" noChangeArrowheads="1"/>
                    </pic:cNvPicPr>
                  </pic:nvPicPr>
                  <pic:blipFill>
                    <a:blip r:embed="rId11"/>
                    <a:srcRect l="-4" t="-2" r="-4" b="-2"/>
                    <a:stretch>
                      <a:fillRect/>
                    </a:stretch>
                  </pic:blipFill>
                  <pic:spPr bwMode="auto">
                    <a:xfrm>
                      <a:off x="0" y="0"/>
                      <a:ext cx="4885690" cy="8025130"/>
                    </a:xfrm>
                    <a:prstGeom prst="rect">
                      <a:avLst/>
                    </a:prstGeom>
                  </pic:spPr>
                </pic:pic>
              </a:graphicData>
            </a:graphic>
          </wp:anchor>
        </w:drawing>
      </w:r>
      <w:bookmarkStart w:id="18" w:name="page10"/>
      <w:bookmarkStart w:id="19" w:name="page10"/>
      <w:bookmarkEnd w:id="19"/>
    </w:p>
    <w:p>
      <w:pPr>
        <w:pStyle w:val="Normal"/>
        <w:tabs>
          <w:tab w:val="clear" w:pos="720"/>
          <w:tab w:val="left" w:pos="5440" w:leader="none"/>
        </w:tabs>
        <w:spacing w:lineRule="atLeast" w:line="0"/>
        <w:ind w:left="820" w:right="0"/>
        <w:rPr/>
      </w:pPr>
      <w:r>
        <w:rPr>
          <w:rFonts w:eastAsia="Arial" w:cs="Arial" w:ascii="Arial" w:hAnsi="Arial"/>
          <w:sz w:val="16"/>
        </w:rPr>
        <w:t>REAL ESTATE BROKER COMMISSIONS</w:t>
      </w:r>
      <w:r>
        <w:rPr>
          <w:rFonts w:eastAsia="Times New Roman" w:cs="Times New Roman" w:ascii="Times New Roman" w:hAnsi="Times New Roman"/>
        </w:rPr>
        <w:tab/>
      </w:r>
      <w:r>
        <w:rPr>
          <w:rFonts w:eastAsia="Arial" w:cs="Arial" w:ascii="Arial" w:hAnsi="Arial"/>
          <w:sz w:val="26"/>
          <w:vertAlign w:val="subscript"/>
        </w:rPr>
        <w:t>347</w:t>
      </w:r>
    </w:p>
    <w:p>
      <w:pPr>
        <w:pStyle w:val="Normal"/>
        <w:spacing w:lineRule="exact" w:line="315"/>
        <w:rPr>
          <w:rFonts w:ascii="Times New Roman" w:hAnsi="Times New Roman" w:eastAsia="Times New Roman" w:cs="Times New Roman"/>
          <w:sz w:val="26"/>
          <w:vertAlign w:val="subscript"/>
        </w:rPr>
      </w:pPr>
      <w:r>
        <w:rPr>
          <w:rFonts w:eastAsia="Times New Roman" w:cs="Times New Roman" w:ascii="Times New Roman" w:hAnsi="Times New Roman"/>
          <w:sz w:val="26"/>
          <w:vertAlign w:val="subscript"/>
        </w:rPr>
      </w:r>
    </w:p>
    <w:p>
      <w:pPr>
        <w:pStyle w:val="Normal"/>
        <w:spacing w:lineRule="atLeast" w:line="0"/>
        <w:ind w:left="40" w:right="0"/>
        <w:rPr>
          <w:rFonts w:ascii="Arial" w:hAnsi="Arial" w:eastAsia="Arial" w:cs="Arial"/>
          <w:sz w:val="18"/>
        </w:rPr>
      </w:pPr>
      <w:r>
        <w:rPr>
          <w:rFonts w:eastAsia="Arial" w:cs="Arial" w:ascii="Arial" w:hAnsi="Arial"/>
          <w:sz w:val="18"/>
        </w:rPr>
        <w:t>used by the courts as though expressing some special t</w:t>
      </w:r>
    </w:p>
    <w:p>
      <w:pPr>
        <w:pStyle w:val="Normal"/>
        <w:spacing w:lineRule="exact" w:line="5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4"/>
        <w:ind w:firstLine="12" w:left="40" w:right="-5"/>
        <w:rPr/>
      </w:pPr>
      <w:r>
        <w:rPr>
          <w:rFonts w:eastAsia="Arial" w:cs="Arial" w:ascii="Arial" w:hAnsi="Arial"/>
          <w:sz w:val="18"/>
        </w:rPr>
        <w:t xml:space="preserve">rule applicable to the law of real estate brokers. When, the court declares that the broker, in order to recover h </w:t>
      </w:r>
      <w:r>
        <w:rPr>
          <w:rFonts w:eastAsia="Arial" w:cs="Arial" w:ascii="Arial" w:hAnsi="Arial"/>
          <w:sz w:val="17"/>
        </w:rPr>
        <w:t>missions, must prove that he was the procuring cause, al pears to be meant is that the broker must prove that th</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40" w:right="0"/>
        <w:rPr>
          <w:rFonts w:ascii="Arial" w:hAnsi="Arial" w:eastAsia="Arial" w:cs="Arial"/>
          <w:sz w:val="19"/>
        </w:rPr>
      </w:pPr>
      <w:r>
        <w:rPr>
          <w:rFonts w:eastAsia="Arial" w:cs="Arial" w:ascii="Arial" w:hAnsi="Arial"/>
          <w:sz w:val="19"/>
        </w:rPr>
        <w:t>which he has rendered pursuant to his employment</w:t>
      </w:r>
    </w:p>
    <w:p>
      <w:pPr>
        <w:pStyle w:val="Normal"/>
        <w:spacing w:lineRule="exact" w:line="4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20" w:right="0"/>
        <w:rPr>
          <w:rFonts w:ascii="Arial" w:hAnsi="Arial" w:eastAsia="Arial" w:cs="Arial"/>
          <w:sz w:val="17"/>
        </w:rPr>
      </w:pPr>
      <w:r>
        <w:rPr>
          <w:rFonts w:eastAsia="Arial" w:cs="Arial" w:ascii="Arial" w:hAnsi="Arial"/>
          <w:sz w:val="17"/>
        </w:rPr>
        <w:t>against the efforts of some rival claimant, the proximate</w:t>
      </w:r>
    </w:p>
    <w:p>
      <w:pPr>
        <w:pStyle w:val="Normal"/>
        <w:spacing w:lineRule="exact" w:line="6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6"/>
        </w:rPr>
      </w:pPr>
      <w:r>
        <w:rPr>
          <w:rFonts w:eastAsia="Arial" w:cs="Arial" w:ascii="Arial" w:hAnsi="Arial"/>
          <w:sz w:val="16"/>
        </w:rPr>
        <w:t>thd benefit which has admittedly accrued to the employer.</w:t>
      </w:r>
    </w:p>
    <w:p>
      <w:pPr>
        <w:pStyle w:val="Normal"/>
        <w:spacing w:lineRule="exact" w:line="5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20" w:right="0"/>
        <w:rPr>
          <w:rFonts w:ascii="Arial" w:hAnsi="Arial" w:eastAsia="Arial" w:cs="Arial"/>
          <w:sz w:val="18"/>
        </w:rPr>
      </w:pPr>
      <w:r>
        <w:rPr>
          <w:rFonts w:eastAsia="Arial" w:cs="Arial" w:ascii="Arial" w:hAnsi="Arial"/>
          <w:sz w:val="18"/>
        </w:rPr>
        <w:t>The broker is not entitled to go to the jury upon proo</w:t>
      </w:r>
    </w:p>
    <w:p>
      <w:pPr>
        <w:pStyle w:val="Normal"/>
        <w:spacing w:lineRule="exact" w:line="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mere facts that he called the customer's attention to the pro</w:t>
      </w:r>
    </w:p>
    <w:p>
      <w:pPr>
        <w:pStyle w:val="Normal"/>
        <w:spacing w:lineRule="exact" w:line="5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8"/>
        </w:rPr>
      </w:pPr>
      <w:r>
        <w:rPr>
          <w:rFonts w:eastAsia="Arial" w:cs="Arial" w:ascii="Arial" w:hAnsi="Arial"/>
          <w:sz w:val="18"/>
        </w:rPr>
        <w:t>and that subsequently there accrued to the employer the</w:t>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upon which the broker's claim for commissions is based</w:t>
      </w:r>
    </w:p>
    <w:p>
      <w:pPr>
        <w:pStyle w:val="Normal"/>
        <w:spacing w:lineRule="exact" w:line="7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7"/>
        <w:ind w:firstLine="10" w:left="20" w:right="-5"/>
        <w:rPr>
          <w:rFonts w:ascii="Arial" w:hAnsi="Arial" w:eastAsia="Arial" w:cs="Arial"/>
          <w:sz w:val="18"/>
        </w:rPr>
      </w:pPr>
      <w:r>
        <w:rPr>
          <w:rFonts w:eastAsia="Arial" w:cs="Arial" w:ascii="Arial" w:hAnsi="Arial"/>
          <w:sz w:val="18"/>
        </w:rPr>
        <w:t>the other hand, it seems to be impliedly recognized that facie case in favor of the broker is made out by proof t to the final negotiations he introduced the customer to ployer, or made the customer known to the employer as</w:t>
      </w:r>
    </w:p>
    <w:p>
      <w:pPr>
        <w:pStyle w:val="Normal"/>
        <w:spacing w:lineRule="exact" w:line="22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tomer,35 and that he was present at the final negotiations b</w:t>
      </w:r>
    </w:p>
    <w:p>
      <w:pPr>
        <w:pStyle w:val="Normal"/>
        <w:spacing w:lineRule="exact" w:line="4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9"/>
        </w:rPr>
      </w:pPr>
      <w:r>
        <w:rPr>
          <w:rFonts w:eastAsia="Arial" w:cs="Arial" w:ascii="Arial" w:hAnsi="Arial"/>
          <w:sz w:val="19"/>
        </w:rPr>
        <w:t>the employer and the customer.3 Such prima facie p</w:t>
      </w:r>
    </w:p>
    <w:p>
      <w:pPr>
        <w:pStyle w:val="Normal"/>
        <w:spacing w:lineRule="exact" w:line="3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20" w:right="0"/>
        <w:rPr>
          <w:rFonts w:ascii="Arial" w:hAnsi="Arial" w:eastAsia="Arial" w:cs="Arial"/>
          <w:sz w:val="18"/>
        </w:rPr>
      </w:pPr>
      <w:r>
        <w:rPr>
          <w:rFonts w:eastAsia="Arial" w:cs="Arial" w:ascii="Arial" w:hAnsi="Arial"/>
          <w:sz w:val="18"/>
        </w:rPr>
        <w:t>though material,37 is not, in the absence of express pro</w:t>
      </w:r>
    </w:p>
    <w:p>
      <w:pPr>
        <w:pStyle w:val="Normal"/>
        <w:spacing w:lineRule="exact" w:line="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the contrary in the contract of employment,38 indispensibl</w:t>
      </w:r>
    </w:p>
    <w:p>
      <w:pPr>
        <w:pStyle w:val="Normal"/>
        <w:spacing w:lineRule="exact" w:line="3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8"/>
        </w:rPr>
      </w:pPr>
      <w:r>
        <w:rPr>
          <w:rFonts w:eastAsia="Arial" w:cs="Arial" w:ascii="Arial" w:hAnsi="Arial"/>
          <w:sz w:val="18"/>
        </w:rPr>
        <w:t>broker's case; without it, however, the broker must cau</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8"/>
        </w:rPr>
      </w:pPr>
      <w:r>
        <w:rPr>
          <w:rFonts w:eastAsia="Arial" w:cs="Arial" w:ascii="Arial" w:hAnsi="Arial"/>
          <w:sz w:val="18"/>
        </w:rPr>
        <w:t>appear affirmatively that his efforts were in fact the p</w:t>
      </w:r>
    </w:p>
    <w:p>
      <w:pPr>
        <w:pStyle w:val="Normal"/>
        <w:spacing w:lineRule="exact" w:line="19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320" w:right="0"/>
        <w:rPr>
          <w:rFonts w:ascii="Arial" w:hAnsi="Arial" w:eastAsia="Arial" w:cs="Arial"/>
          <w:sz w:val="16"/>
        </w:rPr>
      </w:pPr>
      <w:r>
        <w:rPr>
          <w:rFonts w:eastAsia="Arial" w:cs="Arial" w:ascii="Arial" w:hAnsi="Arial"/>
          <w:sz w:val="16"/>
        </w:rPr>
        <w:t>34 Handy v. Van Cortland Realty Co., 156 A. D., 110. Even w</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14"/>
        <w:ind w:right="-5"/>
        <w:jc w:val="both"/>
        <w:rPr/>
      </w:pPr>
      <w:r>
        <w:rPr>
          <w:rFonts w:eastAsia="Arial" w:cs="Arial" w:ascii="Arial" w:hAnsi="Arial"/>
          <w:sz w:val="16"/>
        </w:rPr>
        <w:t xml:space="preserve">an inference would receive additional support from the fact th </w:t>
      </w:r>
      <w:r>
        <w:rPr>
          <w:rFonts w:eastAsia="Arial" w:cs="Arial" w:ascii="Arial" w:hAnsi="Arial"/>
          <w:sz w:val="15"/>
        </w:rPr>
        <w:t>ployer, prior to the transfer of interest, in bad faith attempted nate the broker's employment for the apparent purpose of depri</w:t>
      </w:r>
    </w:p>
    <w:p>
      <w:pPr>
        <w:pStyle w:val="Normal"/>
        <w:spacing w:lineRule="exact" w:line="15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8"/>
        <w:ind w:hanging="318" w:left="320" w:right="-5"/>
        <w:jc w:val="both"/>
        <w:rPr>
          <w:rFonts w:ascii="Arial" w:hAnsi="Arial" w:eastAsia="Arial" w:cs="Arial"/>
          <w:sz w:val="16"/>
        </w:rPr>
      </w:pPr>
      <w:r>
        <w:rPr>
          <w:rFonts w:eastAsia="Arial" w:cs="Arial" w:ascii="Arial" w:hAnsi="Arial"/>
          <w:sz w:val="16"/>
        </w:rPr>
        <w:t>of his commissions. See Blumberg v. Sterling Bronze Co., 56 M 35 Wylie v. Marine Nat'l Bank, 61 N. Y., 415; Sussdorff v. S</w:t>
      </w:r>
    </w:p>
    <w:p>
      <w:pPr>
        <w:pStyle w:val="Normal"/>
        <w:spacing w:lineRule="auto" w:line="280"/>
        <w:ind w:firstLine="11" w:right="-5"/>
        <w:jc w:val="both"/>
        <w:rPr/>
      </w:pPr>
      <w:r>
        <w:rPr>
          <w:rFonts w:eastAsia="Arial" w:cs="Arial" w:ascii="Arial" w:hAnsi="Arial"/>
          <w:sz w:val="16"/>
        </w:rPr>
        <w:t xml:space="preserve">55 N. Y., 319; Lloyd v. Matthews, 51 N. Y., 124; Kalstein v. Jac </w:t>
      </w:r>
      <w:r>
        <w:rPr>
          <w:rFonts w:eastAsia="Arial" w:cs="Arial" w:ascii="Arial" w:hAnsi="Arial"/>
          <w:sz w:val="15"/>
        </w:rPr>
        <w:t xml:space="preserve">A. D., 1; Vert v. Schlachter, 120 A. D., 559; Soztthwick v. Swavi A. D., 681; Kiernan v. Bloom, 91 A. D., 429; Mletcalfe v. Gordon 368; Michaelis v. Roffman, 37 Misc., 830 (broker employed by p </w:t>
      </w:r>
      <w:r>
        <w:rPr>
          <w:rFonts w:eastAsia="Arial" w:cs="Arial" w:ascii="Arial" w:hAnsi="Arial"/>
          <w:sz w:val="16"/>
        </w:rPr>
        <w:t>Feldman v. O'Brien, 23 Misc., 341; Bickart v. IToffman, 19 N.</w:t>
      </w:r>
    </w:p>
    <w:p>
      <w:pPr>
        <w:pStyle w:val="Normal"/>
        <w:spacing w:lineRule="exact" w:line="17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472. See also cases cited post in note 36.</w:t>
      </w:r>
    </w:p>
    <w:p>
      <w:pPr>
        <w:pStyle w:val="Normal"/>
        <w:spacing w:lineRule="exact" w:line="5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8"/>
        <w:ind w:firstLine="323" w:right="-5"/>
        <w:jc w:val="both"/>
        <w:rPr/>
      </w:pPr>
      <w:r>
        <w:rPr>
          <w:rFonts w:eastAsia="Arial" w:cs="Arial" w:ascii="Arial" w:hAnsi="Arial"/>
          <w:sz w:val="16"/>
        </w:rPr>
        <w:t xml:space="preserve">36 Travis v. Bowron, 138 A. D., 554; Walton v. Chesebrough, </w:t>
      </w:r>
      <w:r>
        <w:rPr>
          <w:rFonts w:eastAsia="Arial" w:cs="Arial" w:ascii="Arial" w:hAnsi="Arial"/>
          <w:sz w:val="15"/>
        </w:rPr>
        <w:t>665; Hobbs v. Edgar, 23 Misc., 618; Baker v. Thomas, 12 Misc., 4 bert v. Kaplan, 109 N. Y. Supp., 729; O'Shea v. Brill, 108 N. Y. Su</w:t>
      </w:r>
    </w:p>
    <w:p>
      <w:pPr>
        <w:pStyle w:val="Normal"/>
        <w:spacing w:lineRule="atLeast" w:line="0"/>
        <w:ind w:left="320" w:right="0"/>
        <w:rPr>
          <w:rFonts w:ascii="Arial" w:hAnsi="Arial" w:eastAsia="Arial" w:cs="Arial"/>
          <w:sz w:val="16"/>
        </w:rPr>
      </w:pPr>
      <w:r>
        <w:rPr>
          <w:rFonts w:eastAsia="Arial" w:cs="Arial" w:ascii="Arial" w:hAnsi="Arial"/>
          <w:sz w:val="16"/>
        </w:rPr>
        <w:t>37 McClave v. Paine, 49 N. Y., 561; Martin v. Fcgan, 95 A.</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firstLine="6" w:right="-5"/>
        <w:jc w:val="both"/>
        <w:rPr/>
      </w:pPr>
      <w:r>
        <w:rPr>
          <w:rFonts w:eastAsia="Arial" w:cs="Arial" w:ascii="Arial" w:hAnsi="Arial"/>
          <w:sz w:val="16"/>
        </w:rPr>
        <w:t xml:space="preserve">Putter v. Berger, 95 A. D., 62; Metcalfe v. Gordon, 86 A .D., 368 </w:t>
      </w:r>
      <w:r>
        <w:rPr>
          <w:rFonts w:eastAsia="Arial" w:cs="Arial" w:ascii="Arial" w:hAnsi="Arial"/>
          <w:sz w:val="15"/>
        </w:rPr>
        <w:t>v. Wheeler, 80 A. D., 58; Brown v. Snyder, 57 A. D., 413; Pullich</w:t>
      </w:r>
    </w:p>
    <w:p>
      <w:pPr>
        <w:pStyle w:val="Normal"/>
        <w:spacing w:lineRule="atLeast" w:line="0"/>
        <w:rPr>
          <w:rFonts w:ascii="Arial" w:hAnsi="Arial" w:eastAsia="Arial" w:cs="Arial"/>
          <w:sz w:val="16"/>
        </w:rPr>
      </w:pPr>
      <w:r>
        <w:rPr>
          <w:rFonts w:eastAsia="Arial" w:cs="Arial" w:ascii="Arial" w:hAnsi="Arial"/>
          <w:sz w:val="16"/>
        </w:rPr>
        <w:t>43 A. D., 122, 126; Fredel v. Baldwin, 138 N. Y. Supp., 147 (lea</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ind w:hanging="8" w:right="-5"/>
        <w:jc w:val="both"/>
        <w:rPr/>
      </w:pPr>
      <w:r>
        <w:rPr>
          <w:rFonts w:eastAsia="Arial" w:cs="Arial" w:ascii="Arial" w:hAnsi="Arial"/>
          <w:sz w:val="16"/>
        </w:rPr>
        <w:t xml:space="preserve">lard v. Ferguson, 110 N. Y. Supp., 909; Foley v. Punchard, 103 N </w:t>
      </w:r>
      <w:r>
        <w:rPr>
          <w:rFonts w:eastAsia="Arial" w:cs="Arial" w:ascii="Arial" w:hAnsi="Arial"/>
          <w:sz w:val="15"/>
        </w:rPr>
        <w:t>206; Condict v. Cowdrey, 19 N. Y. Supp., 699.</w:t>
      </w:r>
    </w:p>
    <w:p>
      <w:pPr>
        <w:pStyle w:val="Normal"/>
        <w:spacing w:lineRule="atLeast" w:line="0"/>
        <w:ind w:left="320" w:right="0"/>
        <w:rPr>
          <w:rFonts w:ascii="Arial" w:hAnsi="Arial" w:eastAsia="Arial" w:cs="Arial"/>
          <w:sz w:val="15"/>
        </w:rPr>
      </w:pPr>
      <w:r>
        <w:rPr>
          <w:rFonts w:eastAsia="Arial" w:cs="Arial" w:ascii="Arial" w:hAnsi="Arial"/>
          <w:sz w:val="15"/>
        </w:rPr>
        <w:t>88 Getzler v. Boehm, 16 Misc., 390.</w:t>
      </w:r>
    </w:p>
    <w:p>
      <w:pPr>
        <w:sectPr>
          <w:type w:val="nextPage"/>
          <w:pgSz w:w="7700" w:h="12869"/>
          <w:pgMar w:left="1040" w:right="0" w:gutter="0" w:header="0" w:top="78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5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5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40" w:right="0" w:gutter="0" w:header="0" w:top="787"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4">
            <wp:simplePos x="0" y="0"/>
            <wp:positionH relativeFrom="page">
              <wp:posOffset>0</wp:posOffset>
            </wp:positionH>
            <wp:positionV relativeFrom="page">
              <wp:posOffset>0</wp:posOffset>
            </wp:positionV>
            <wp:extent cx="4885690" cy="8025130"/>
            <wp:effectExtent l="0" t="0" r="0" b="0"/>
            <wp:wrapNone/>
            <wp:docPr id="13"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 descr=""/>
                    <pic:cNvPicPr>
                      <a:picLocks noChangeAspect="1" noChangeArrowheads="1"/>
                    </pic:cNvPicPr>
                  </pic:nvPicPr>
                  <pic:blipFill>
                    <a:blip r:embed="rId12"/>
                    <a:srcRect l="-4" t="-2" r="-4" b="-2"/>
                    <a:stretch>
                      <a:fillRect/>
                    </a:stretch>
                  </pic:blipFill>
                  <pic:spPr bwMode="auto">
                    <a:xfrm>
                      <a:off x="0" y="0"/>
                      <a:ext cx="4885690" cy="8025130"/>
                    </a:xfrm>
                    <a:prstGeom prst="rect">
                      <a:avLst/>
                    </a:prstGeom>
                  </pic:spPr>
                </pic:pic>
              </a:graphicData>
            </a:graphic>
          </wp:anchor>
        </w:drawing>
      </w:r>
      <w:bookmarkStart w:id="20" w:name="page11"/>
      <w:bookmarkStart w:id="21" w:name="page11"/>
      <w:bookmarkEnd w:id="21"/>
    </w:p>
    <w:p>
      <w:pPr>
        <w:pStyle w:val="Normal"/>
        <w:tabs>
          <w:tab w:val="clear" w:pos="720"/>
          <w:tab w:val="left" w:pos="1740" w:leader="none"/>
        </w:tabs>
        <w:spacing w:lineRule="atLeast" w:line="0"/>
        <w:ind w:left="20" w:right="0"/>
        <w:rPr/>
      </w:pPr>
      <w:r>
        <w:rPr>
          <w:rFonts w:eastAsia="Arial" w:cs="Arial" w:ascii="Arial" w:hAnsi="Arial"/>
          <w:sz w:val="35"/>
          <w:vertAlign w:val="subscript"/>
        </w:rPr>
        <w:t>348</w:t>
      </w:r>
      <w:r>
        <w:rPr>
          <w:rFonts w:eastAsia="Times New Roman" w:cs="Times New Roman" w:ascii="Times New Roman" w:hAnsi="Times New Roman"/>
        </w:rPr>
        <w:tab/>
      </w:r>
      <w:r>
        <w:rPr>
          <w:rFonts w:eastAsia="Arial" w:cs="Arial" w:ascii="Arial" w:hAnsi="Arial"/>
          <w:sz w:val="15"/>
        </w:rPr>
        <w:t>YALE LAW JOURNAL</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 w:right="0"/>
        <w:rPr>
          <w:rFonts w:ascii="Arial" w:hAnsi="Arial" w:eastAsia="Arial" w:cs="Arial"/>
          <w:sz w:val="18"/>
        </w:rPr>
      </w:pPr>
      <w:r>
        <w:rPr>
          <w:rFonts w:eastAsia="Arial" w:cs="Arial" w:ascii="Arial" w:hAnsi="Arial"/>
          <w:sz w:val="18"/>
        </w:rPr>
        <w:t>cause of such benefit to the employer29 and were int</w:t>
      </w:r>
    </w:p>
    <w:p>
      <w:pPr>
        <w:pStyle w:val="Normal"/>
        <w:spacing w:lineRule="exact" w:line="2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5"/>
        </w:rPr>
      </w:pPr>
      <w:r>
        <w:rPr>
          <w:rFonts w:eastAsia="Arial" w:cs="Arial" w:ascii="Arial" w:hAnsi="Arial"/>
          <w:sz w:val="15"/>
        </w:rPr>
        <w:t>such.40</w:t>
      </w:r>
    </w:p>
    <w:p>
      <w:pPr>
        <w:pStyle w:val="Normal"/>
        <w:spacing w:lineRule="exact" w:line="9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60" w:right="0"/>
        <w:rPr>
          <w:rFonts w:ascii="Arial" w:hAnsi="Arial" w:eastAsia="Arial" w:cs="Arial"/>
          <w:sz w:val="18"/>
        </w:rPr>
      </w:pPr>
      <w:r>
        <w:rPr>
          <w:rFonts w:eastAsia="Arial" w:cs="Arial" w:ascii="Arial" w:hAnsi="Arial"/>
          <w:sz w:val="18"/>
        </w:rPr>
        <w:t>Assuming that the broker succeeds in proving some</w:t>
      </w:r>
    </w:p>
    <w:p>
      <w:pPr>
        <w:pStyle w:val="Normal"/>
        <w:spacing w:lineRule="exact" w:line="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causal relation between the efforts which he has mad</w:t>
      </w:r>
    </w:p>
    <w:p>
      <w:pPr>
        <w:pStyle w:val="Normal"/>
        <w:spacing w:lineRule="exact" w:line="5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to his employment and the benefit which has admitte</w:t>
      </w:r>
    </w:p>
    <w:p>
      <w:pPr>
        <w:pStyle w:val="Normal"/>
        <w:spacing w:lineRule="exact" w:line="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6"/>
        </w:rPr>
      </w:pPr>
      <w:r>
        <w:rPr>
          <w:rFonts w:eastAsia="Arial" w:cs="Arial" w:ascii="Arial" w:hAnsi="Arial"/>
          <w:sz w:val="16"/>
        </w:rPr>
        <w:t>to the employer, the question whether or not he was the</w:t>
      </w:r>
    </w:p>
    <w:p>
      <w:pPr>
        <w:pStyle w:val="Normal"/>
        <w:spacing w:lineRule="exact" w:line="4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 w:right="0"/>
        <w:rPr>
          <w:rFonts w:ascii="Arial" w:hAnsi="Arial" w:eastAsia="Arial" w:cs="Arial"/>
          <w:sz w:val="18"/>
        </w:rPr>
      </w:pPr>
      <w:r>
        <w:rPr>
          <w:rFonts w:eastAsia="Arial" w:cs="Arial" w:ascii="Arial" w:hAnsi="Arial"/>
          <w:sz w:val="18"/>
        </w:rPr>
        <w:t>cause, narrows itself to one whether or not the causal</w:t>
      </w:r>
    </w:p>
    <w:p>
      <w:pPr>
        <w:pStyle w:val="Normal"/>
        <w:spacing w:lineRule="exact" w:line="5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0"/>
        <w:ind w:left="60" w:right="-5"/>
        <w:rPr>
          <w:rFonts w:ascii="Arial" w:hAnsi="Arial" w:eastAsia="Arial" w:cs="Arial"/>
          <w:sz w:val="18"/>
        </w:rPr>
      </w:pPr>
      <w:r>
        <w:rPr>
          <w:rFonts w:eastAsia="Arial" w:cs="Arial" w:ascii="Arial" w:hAnsi="Arial"/>
          <w:sz w:val="18"/>
        </w:rPr>
        <w:t>proved is remote by reason of action either (a) by th himself, or (b) by some broker other than the plaint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7"/>
        </w:rPr>
      </w:pPr>
      <w:r>
        <w:rPr>
          <w:rFonts w:eastAsia="Arial" w:cs="Arial" w:ascii="Arial" w:hAnsi="Arial"/>
          <w:sz w:val="17"/>
        </w:rPr>
        <w:t>by some customer other than the plaintiff's customer.</w:t>
      </w:r>
    </w:p>
    <w:p>
      <w:pPr>
        <w:pStyle w:val="Normal"/>
        <w:spacing w:lineRule="exact" w:line="3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80" w:right="0"/>
        <w:rPr>
          <w:rFonts w:ascii="Arial" w:hAnsi="Arial" w:eastAsia="Arial" w:cs="Arial"/>
          <w:sz w:val="19"/>
        </w:rPr>
      </w:pPr>
      <w:r>
        <w:rPr>
          <w:rFonts w:eastAsia="Arial" w:cs="Arial" w:ascii="Arial" w:hAnsi="Arial"/>
          <w:sz w:val="19"/>
        </w:rPr>
        <w:t>(A.) Where the transfer of interest which the br</w:t>
      </w:r>
    </w:p>
    <w:p>
      <w:pPr>
        <w:pStyle w:val="Normal"/>
        <w:spacing w:lineRule="exact" w:line="4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60" w:right="0"/>
        <w:rPr>
          <w:rFonts w:ascii="Arial" w:hAnsi="Arial" w:eastAsia="Arial" w:cs="Arial"/>
          <w:sz w:val="17"/>
        </w:rPr>
      </w:pPr>
      <w:r>
        <w:rPr>
          <w:rFonts w:eastAsia="Arial" w:cs="Arial" w:ascii="Arial" w:hAnsi="Arial"/>
          <w:sz w:val="17"/>
        </w:rPr>
        <w:t>employed to facilitate has in fact been completed.</w:t>
      </w:r>
    </w:p>
    <w:p>
      <w:pPr>
        <w:pStyle w:val="Normal"/>
        <w:spacing w:lineRule="exact" w:line="4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60" w:right="0"/>
        <w:rPr>
          <w:rFonts w:ascii="Arial" w:hAnsi="Arial" w:eastAsia="Arial" w:cs="Arial"/>
          <w:sz w:val="19"/>
        </w:rPr>
      </w:pPr>
      <w:r>
        <w:rPr>
          <w:rFonts w:eastAsia="Arial" w:cs="Arial" w:ascii="Arial" w:hAnsi="Arial"/>
          <w:sz w:val="19"/>
        </w:rPr>
        <w:t>B.) Where a final and binding contract for the tr</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60" w:right="0"/>
        <w:rPr>
          <w:rFonts w:ascii="Arial" w:hAnsi="Arial" w:eastAsia="Arial" w:cs="Arial"/>
          <w:sz w:val="18"/>
        </w:rPr>
      </w:pPr>
      <w:r>
        <w:rPr>
          <w:rFonts w:eastAsia="Arial" w:cs="Arial" w:ascii="Arial" w:hAnsi="Arial"/>
          <w:sz w:val="18"/>
        </w:rPr>
        <w:t>interest which the broker was employed to facilitate h</w:t>
      </w:r>
    </w:p>
    <w:p>
      <w:pPr>
        <w:pStyle w:val="Normal"/>
        <w:spacing w:lineRule="exact" w:line="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been executed, but the transfer of interest itself has</w:t>
      </w: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7"/>
        </w:rPr>
      </w:pPr>
      <w:r>
        <w:rPr>
          <w:rFonts w:eastAsia="Arial" w:cs="Arial" w:ascii="Arial" w:hAnsi="Arial"/>
          <w:sz w:val="17"/>
        </w:rPr>
        <w:t>completed.</w:t>
      </w:r>
    </w:p>
    <w:p>
      <w:pPr>
        <w:pStyle w:val="Normal"/>
        <w:spacing w:lineRule="exact" w:line="54"/>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
        </w:numPr>
        <w:tabs>
          <w:tab w:val="clear" w:pos="720"/>
          <w:tab w:val="left" w:pos="681" w:leader="none"/>
        </w:tabs>
        <w:spacing w:lineRule="auto" w:line="316"/>
        <w:ind w:firstLine="217" w:left="220" w:right="1454"/>
        <w:rPr>
          <w:rFonts w:ascii="Arial" w:hAnsi="Arial" w:eastAsia="Arial" w:cs="Arial"/>
          <w:sz w:val="17"/>
        </w:rPr>
      </w:pPr>
      <w:r>
        <w:rPr>
          <w:rFonts w:eastAsia="Arial" w:cs="Arial" w:ascii="Arial" w:hAnsi="Arial"/>
          <w:sz w:val="17"/>
        </w:rPr>
        <w:t xml:space="preserve">REMOTENESS BY REASON OF ACTION BY EMPLOYER. </w:t>
      </w:r>
      <w:r>
        <w:rPr>
          <w:rFonts w:eastAsia="Arial" w:cs="Arial" w:ascii="Arial" w:hAnsi="Arial"/>
          <w:sz w:val="16"/>
        </w:rPr>
        <w:t>Whether or not the causal relation between the efforts of the</w:t>
      </w:r>
    </w:p>
    <w:p>
      <w:pPr>
        <w:pStyle w:val="Normal"/>
        <w:spacing w:lineRule="exact" w:line="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88"/>
        <w:ind w:hanging="1" w:left="20" w:right="1414"/>
        <w:rPr>
          <w:rFonts w:ascii="Arial" w:hAnsi="Arial" w:eastAsia="Arial" w:cs="Arial"/>
          <w:sz w:val="18"/>
        </w:rPr>
      </w:pPr>
      <w:r>
        <w:rPr>
          <w:rFonts w:eastAsia="Arial" w:cs="Arial" w:ascii="Arial" w:hAnsi="Arial"/>
          <w:sz w:val="18"/>
        </w:rPr>
        <w:t>broker and the benefit to the employer is remote as against the causal relation between the efforts of the employer himself and</w:t>
      </w:r>
    </w:p>
    <w:p>
      <w:pPr>
        <w:pStyle w:val="Normal"/>
        <w:spacing w:lineRule="auto" w:line="285"/>
        <w:ind w:firstLine="6" w:left="20" w:right="1334"/>
        <w:rPr>
          <w:rFonts w:ascii="Arial" w:hAnsi="Arial" w:eastAsia="Arial" w:cs="Arial"/>
          <w:sz w:val="18"/>
        </w:rPr>
      </w:pPr>
      <w:r>
        <w:rPr>
          <w:rFonts w:eastAsia="Arial" w:cs="Arial" w:ascii="Arial" w:hAnsi="Arial"/>
          <w:sz w:val="18"/>
        </w:rPr>
        <w:t>such benefit, is a mixed question of law and fact. The employ-ment of the broker by the employer creates a legal relationship out of which arise certain correlative rights and duties, one of</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which is the right in the broker as against the employer, and the</w:t>
      </w:r>
    </w:p>
    <w:p>
      <w:pPr>
        <w:pStyle w:val="Normal"/>
        <w:spacing w:lineRule="exact" w:line="5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corresponding duty upon the employer toward the broker, and the</w:t>
      </w:r>
    </w:p>
    <w:p>
      <w:pPr>
        <w:pStyle w:val="Normal"/>
        <w:spacing w:lineRule="exact" w:line="4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5"/>
        <w:ind w:firstLine="2" w:right="1354"/>
        <w:jc w:val="both"/>
        <w:rPr>
          <w:rFonts w:ascii="Arial" w:hAnsi="Arial" w:eastAsia="Arial" w:cs="Arial"/>
          <w:sz w:val="18"/>
        </w:rPr>
      </w:pPr>
      <w:r>
        <w:rPr>
          <w:rFonts w:eastAsia="Arial" w:cs="Arial" w:ascii="Arial" w:hAnsi="Arial"/>
          <w:sz w:val="18"/>
        </w:rPr>
        <w:t>interference under certain circumstances, with the broker's cus-tomer. As a consequence, if the efforts of the employer have in-volved a violation of such right and duty of non-interference, it</w:t>
      </w:r>
    </w:p>
    <w:p>
      <w:pPr>
        <w:pStyle w:val="Normal"/>
        <w:spacing w:lineRule="atLeast" w:line="0"/>
        <w:ind w:left="20" w:right="0"/>
        <w:rPr>
          <w:rFonts w:ascii="Arial" w:hAnsi="Arial" w:eastAsia="Arial" w:cs="Arial"/>
          <w:sz w:val="18"/>
        </w:rPr>
      </w:pPr>
      <w:r>
        <w:rPr>
          <w:rFonts w:eastAsia="Arial" w:cs="Arial" w:ascii="Arial" w:hAnsi="Arial"/>
          <w:sz w:val="18"/>
        </w:rPr>
        <w:t>will not avail the employer to establish as a matter of fact the</w:t>
      </w:r>
    </w:p>
    <w:p>
      <w:pPr>
        <w:pStyle w:val="Normal"/>
        <w:spacing w:lineRule="exact" w:line="14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320" w:right="0"/>
        <w:rPr>
          <w:rFonts w:ascii="Arial" w:hAnsi="Arial" w:eastAsia="Arial" w:cs="Arial"/>
          <w:sz w:val="16"/>
        </w:rPr>
      </w:pPr>
      <w:r>
        <w:rPr>
          <w:rFonts w:eastAsia="Arial" w:cs="Arial" w:ascii="Arial" w:hAnsi="Arial"/>
          <w:sz w:val="16"/>
        </w:rPr>
        <w:t>39 Wylie v. Marine Nat'l Bank, 61 N. Y., 415; Sussdorf v. Schmidt,</w:t>
      </w:r>
    </w:p>
    <w:p>
      <w:pPr>
        <w:pStyle w:val="Normal"/>
        <w:spacing w:lineRule="exact" w:line="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55 N. Y., 319; Halterman v. Leining, 45 Misc., 397; Chilton v. Butler, 1</w:t>
      </w:r>
    </w:p>
    <w:p>
      <w:pPr>
        <w:pStyle w:val="Normal"/>
        <w:spacing w:lineRule="exact" w:line="1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4"/>
        </w:rPr>
      </w:pPr>
      <w:r>
        <w:rPr>
          <w:rFonts w:eastAsia="Arial" w:cs="Arial" w:ascii="Arial" w:hAnsi="Arial"/>
          <w:sz w:val="14"/>
        </w:rPr>
        <w:t>E. D. Smith. 150.</w:t>
      </w:r>
    </w:p>
    <w:p>
      <w:pPr>
        <w:pStyle w:val="Normal"/>
        <w:spacing w:lineRule="exact" w:line="4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left="340" w:right="0"/>
        <w:rPr>
          <w:rFonts w:ascii="Arial" w:hAnsi="Arial" w:eastAsia="Arial" w:cs="Arial"/>
          <w:sz w:val="16"/>
        </w:rPr>
      </w:pPr>
      <w:r>
        <w:rPr>
          <w:rFonts w:eastAsia="Arial" w:cs="Arial" w:ascii="Arial" w:hAnsi="Arial"/>
          <w:sz w:val="16"/>
        </w:rPr>
        <w:t>40 Although any discussion of the nature of the efforts which the</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8"/>
        <w:ind w:hanging="4" w:left="20" w:right="74"/>
        <w:jc w:val="both"/>
        <w:rPr/>
      </w:pPr>
      <w:r>
        <w:rPr>
          <w:rFonts w:eastAsia="Arial" w:cs="Arial" w:ascii="Arial" w:hAnsi="Arial"/>
          <w:sz w:val="15"/>
        </w:rPr>
        <w:t xml:space="preserve">broker must make, is without the scope of this article, it may be noted that </w:t>
      </w:r>
      <w:r>
        <w:rPr>
          <w:rFonts w:eastAsia="Arial" w:cs="Arial" w:ascii="Arial" w:hAnsi="Arial"/>
          <w:sz w:val="14"/>
        </w:rPr>
        <w:t>it is not sufficient that the broker merely tell an acquaintance who, in turn,</w:t>
      </w:r>
    </w:p>
    <w:p>
      <w:pPr>
        <w:pStyle w:val="Normal"/>
        <w:spacing w:lineRule="auto" w:line="259"/>
        <w:ind w:left="20" w:right="114"/>
        <w:rPr>
          <w:rFonts w:ascii="Arial" w:hAnsi="Arial" w:eastAsia="Arial" w:cs="Arial"/>
          <w:sz w:val="16"/>
        </w:rPr>
      </w:pPr>
      <w:r>
        <w:rPr>
          <w:rFonts w:eastAsia="Arial" w:cs="Arial" w:ascii="Arial" w:hAnsi="Arial"/>
          <w:sz w:val="16"/>
        </w:rPr>
        <w:t>tells the customer of the property. Colwell v. Thompkins, 6. A. D., 93, aff'd 158 N. Y., 690; see Kalkstein v. Jackson, 132 A. D., 1. Nor that the customer learn of the property by accidentally overhearing the broker</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speak of it to another. McCarty v. Tracy, 13 Misc., 243. Nor that the</w:t>
      </w:r>
    </w:p>
    <w:p>
      <w:pPr>
        <w:pStyle w:val="Normal"/>
        <w:spacing w:lineRule="exact" w:line="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customer learn of the property accidentally in the course of negotiations</w:t>
      </w:r>
    </w:p>
    <w:p>
      <w:pPr>
        <w:pStyle w:val="Normal"/>
        <w:spacing w:lineRule="exact" w:line="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5"/>
        </w:rPr>
      </w:pPr>
      <w:r>
        <w:rPr>
          <w:rFonts w:eastAsia="Arial" w:cs="Arial" w:ascii="Arial" w:hAnsi="Arial"/>
          <w:sz w:val="15"/>
        </w:rPr>
        <w:t>with the broker regarding other property owned by the same person. Ran-</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6"/>
        </w:rPr>
      </w:pPr>
      <w:r>
        <w:rPr>
          <w:rFonts w:eastAsia="Arial" w:cs="Arial" w:ascii="Arial" w:hAnsi="Arial"/>
          <w:sz w:val="16"/>
        </w:rPr>
        <w:t>drup v. Schroeder, 21 Misc., 52; Meyer v. Improved Property Holding</w:t>
      </w:r>
    </w:p>
    <w:p>
      <w:pPr>
        <w:pStyle w:val="Normal"/>
        <w:spacing w:lineRule="exact" w:line="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5"/>
        </w:rPr>
      </w:pPr>
      <w:r>
        <w:rPr>
          <w:rFonts w:eastAsia="Arial" w:cs="Arial" w:ascii="Arial" w:hAnsi="Arial"/>
          <w:sz w:val="15"/>
        </w:rPr>
        <w:t>Co., 137 A. D., 691 (lease).</w:t>
      </w:r>
    </w:p>
    <w:p>
      <w:pPr>
        <w:sectPr>
          <w:type w:val="nextPage"/>
          <w:pgSz w:w="7700" w:h="12869"/>
          <w:pgMar w:left="1020" w:right="0" w:gutter="0" w:header="0" w:top="51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3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3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20" w:right="0" w:gutter="0" w:header="0" w:top="518"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5">
            <wp:simplePos x="0" y="0"/>
            <wp:positionH relativeFrom="page">
              <wp:posOffset>0</wp:posOffset>
            </wp:positionH>
            <wp:positionV relativeFrom="page">
              <wp:posOffset>0</wp:posOffset>
            </wp:positionV>
            <wp:extent cx="4885690" cy="8025130"/>
            <wp:effectExtent l="0" t="0" r="0" b="0"/>
            <wp:wrapNone/>
            <wp:docPr id="14"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 descr=""/>
                    <pic:cNvPicPr>
                      <a:picLocks noChangeAspect="1" noChangeArrowheads="1"/>
                    </pic:cNvPicPr>
                  </pic:nvPicPr>
                  <pic:blipFill>
                    <a:blip r:embed="rId13"/>
                    <a:srcRect l="-4" t="-2" r="-4" b="-2"/>
                    <a:stretch>
                      <a:fillRect/>
                    </a:stretch>
                  </pic:blipFill>
                  <pic:spPr bwMode="auto">
                    <a:xfrm>
                      <a:off x="0" y="0"/>
                      <a:ext cx="4885690" cy="8025130"/>
                    </a:xfrm>
                    <a:prstGeom prst="rect">
                      <a:avLst/>
                    </a:prstGeom>
                  </pic:spPr>
                </pic:pic>
              </a:graphicData>
            </a:graphic>
          </wp:anchor>
        </w:drawing>
      </w:r>
      <w:bookmarkStart w:id="22" w:name="page12"/>
      <w:bookmarkStart w:id="23" w:name="page12"/>
      <w:bookmarkEnd w:id="23"/>
    </w:p>
    <w:p>
      <w:pPr>
        <w:pStyle w:val="Normal"/>
        <w:tabs>
          <w:tab w:val="clear" w:pos="720"/>
          <w:tab w:val="left" w:pos="5380" w:leader="none"/>
        </w:tabs>
        <w:spacing w:lineRule="atLeast" w:line="0"/>
        <w:ind w:left="760" w:right="0"/>
        <w:rPr/>
      </w:pPr>
      <w:r>
        <w:rPr>
          <w:rFonts w:eastAsia="Arial" w:cs="Arial" w:ascii="Arial" w:hAnsi="Arial"/>
          <w:sz w:val="16"/>
        </w:rPr>
        <w:t>REAL ESTATE BROKER COMMISSIONS</w:t>
      </w:r>
      <w:r>
        <w:rPr>
          <w:rFonts w:eastAsia="Times New Roman" w:cs="Times New Roman" w:ascii="Times New Roman" w:hAnsi="Times New Roman"/>
        </w:rPr>
        <w:tab/>
      </w:r>
      <w:r>
        <w:rPr>
          <w:rFonts w:eastAsia="Arial" w:cs="Arial" w:ascii="Arial" w:hAnsi="Arial"/>
          <w:sz w:val="14"/>
        </w:rPr>
        <w:t>349</w:t>
      </w:r>
    </w:p>
    <w:p>
      <w:pPr>
        <w:pStyle w:val="Normal"/>
        <w:spacing w:lineRule="exact" w:line="25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Arial" w:hAnsi="Arial" w:eastAsia="Arial" w:cs="Arial"/>
          <w:sz w:val="16"/>
        </w:rPr>
      </w:pPr>
      <w:r>
        <w:rPr>
          <w:rFonts w:eastAsia="Arial" w:cs="Arial" w:ascii="Arial" w:hAnsi="Arial"/>
          <w:sz w:val="16"/>
        </w:rPr>
        <w:t>remoteness of the causal relation between the efforts of th</w:t>
      </w:r>
    </w:p>
    <w:p>
      <w:pPr>
        <w:pStyle w:val="Normal"/>
        <w:spacing w:lineRule="exact" w:line="8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9"/>
        <w:ind w:hanging="202" w:left="220" w:right="-5"/>
        <w:jc w:val="both"/>
        <w:rPr/>
      </w:pPr>
      <w:r>
        <w:rPr>
          <w:rFonts w:eastAsia="Arial" w:cs="Arial" w:ascii="Arial" w:hAnsi="Arial"/>
          <w:sz w:val="17"/>
        </w:rPr>
        <w:t>and the benefit which has accrued to the employer. Thus, remoteness is not necessarily established by pro</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6"/>
        </w:rPr>
      </w:pPr>
      <w:r>
        <w:rPr>
          <w:rFonts w:eastAsia="Arial" w:cs="Arial" w:ascii="Arial" w:hAnsi="Arial"/>
          <w:sz w:val="16"/>
        </w:rPr>
        <w:t>mere fact that the employer and the customer, before the</w:t>
      </w:r>
    </w:p>
    <w:p>
      <w:pPr>
        <w:pStyle w:val="Normal"/>
        <w:spacing w:lineRule="exact" w:line="6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2"/>
        <w:ind w:hanging="3" w:left="20" w:right="14"/>
        <w:jc w:val="both"/>
        <w:rPr/>
      </w:pPr>
      <w:r>
        <w:rPr>
          <w:rFonts w:eastAsia="Arial" w:cs="Arial" w:ascii="Arial" w:hAnsi="Arial"/>
          <w:sz w:val="17"/>
        </w:rPr>
        <w:t>tion of negotiations and to the exclusion of the broker, ters into their own hands,41 even though the benefit t</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8"/>
        </w:rPr>
      </w:pPr>
      <w:r>
        <w:rPr>
          <w:rFonts w:eastAsia="Arial" w:cs="Arial" w:ascii="Arial" w:hAnsi="Arial"/>
          <w:sz w:val="18"/>
        </w:rPr>
        <w:t>ployer accrued upon less advantageous terms than thos</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5"/>
        <w:ind w:hanging="3" w:left="20" w:right="14"/>
        <w:jc w:val="both"/>
        <w:rPr/>
      </w:pPr>
      <w:r>
        <w:rPr>
          <w:rFonts w:eastAsia="Arial" w:cs="Arial" w:ascii="Arial" w:hAnsi="Arial"/>
          <w:sz w:val="17"/>
        </w:rPr>
        <w:t>by the broker to the customer.42 Remoteness is establis ever, by proof that the customer from the outset refus</w:t>
      </w:r>
    </w:p>
    <w:p>
      <w:pPr>
        <w:pStyle w:val="Normal"/>
        <w:spacing w:lineRule="atLeast" w:line="0"/>
        <w:ind w:left="20" w:right="0"/>
        <w:rPr>
          <w:rFonts w:ascii="Arial" w:hAnsi="Arial" w:eastAsia="Arial" w:cs="Arial"/>
          <w:sz w:val="16"/>
        </w:rPr>
      </w:pPr>
      <w:r>
        <w:rPr>
          <w:rFonts w:eastAsia="Arial" w:cs="Arial" w:ascii="Arial" w:hAnsi="Arial"/>
          <w:sz w:val="16"/>
        </w:rPr>
        <w:t>himself of the broker's services or assistance ;48 or that suc</w:t>
      </w:r>
    </w:p>
    <w:p>
      <w:pPr>
        <w:pStyle w:val="Normal"/>
        <w:spacing w:lineRule="exact" w:line="9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8"/>
        </w:rPr>
      </w:pPr>
      <w:r>
        <w:rPr>
          <w:rFonts w:eastAsia="Arial" w:cs="Arial" w:ascii="Arial" w:hAnsi="Arial"/>
          <w:sz w:val="18"/>
        </w:rPr>
        <w:t>pendent action on the part of the employer was taken</w:t>
      </w:r>
    </w:p>
    <w:p>
      <w:pPr>
        <w:pStyle w:val="Normal"/>
        <w:spacing w:lineRule="exact" w:line="5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7"/>
        </w:rPr>
      </w:pPr>
      <w:r>
        <w:rPr>
          <w:rFonts w:eastAsia="Arial" w:cs="Arial" w:ascii="Arial" w:hAnsi="Arial"/>
          <w:sz w:val="17"/>
        </w:rPr>
        <w:t>faith,44 or followed a termination of the broker's emplo</w:t>
      </w:r>
    </w:p>
    <w:p>
      <w:pPr>
        <w:pStyle w:val="Normal"/>
        <w:spacing w:lineRule="exact" w:line="26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340" w:right="0"/>
        <w:rPr>
          <w:rFonts w:ascii="Arial" w:hAnsi="Arial" w:eastAsia="Arial" w:cs="Arial"/>
          <w:sz w:val="16"/>
        </w:rPr>
      </w:pPr>
      <w:r>
        <w:rPr>
          <w:rFonts w:eastAsia="Arial" w:cs="Arial" w:ascii="Arial" w:hAnsi="Arial"/>
          <w:sz w:val="16"/>
        </w:rPr>
        <w:t>41 Lloyd v. Matthews, 51 N. Y., 124; Malken v. Sterry, 146</w:t>
      </w:r>
    </w:p>
    <w:p>
      <w:pPr>
        <w:pStyle w:val="Normal"/>
        <w:spacing w:lineRule="exact" w:line="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Lyon v. West Side Transfer Co., 132 A. D., 777; Vanderveer</w:t>
      </w:r>
    </w:p>
    <w:p>
      <w:pPr>
        <w:pStyle w:val="Normal"/>
        <w:spacing w:lineRule="exact" w:line="2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83 Hun, 116, aff'd 151 N. Y., 673; Southwick v. Swavienski, 114</w:t>
      </w:r>
    </w:p>
    <w:p>
      <w:pPr>
        <w:pStyle w:val="Normal"/>
        <w:spacing w:lineRule="exact" w:line="1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Kiernan v. Bloom, 91 A. D., 429; Palmer v. Durand, 62 A. D.,</w:t>
      </w:r>
    </w:p>
    <w:p>
      <w:pPr>
        <w:pStyle w:val="Normal"/>
        <w:spacing w:lineRule="exact" w:line="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firstLine="3" w:left="20" w:right="-5"/>
        <w:jc w:val="both"/>
        <w:rPr/>
      </w:pPr>
      <w:r>
        <w:rPr>
          <w:rFonts w:eastAsia="Arial" w:cs="Arial" w:ascii="Arial" w:hAnsi="Arial"/>
          <w:sz w:val="16"/>
        </w:rPr>
        <w:t xml:space="preserve">roll v. Pettit, 67 Hun, 418; Walton v. Chesebrough, 39 A. D., 6 </w:t>
      </w:r>
      <w:r>
        <w:rPr>
          <w:rFonts w:eastAsia="Arial" w:cs="Arial" w:ascii="Arial" w:hAnsi="Arial"/>
          <w:sz w:val="15"/>
        </w:rPr>
        <w:t>v. Bussard, 18 A. D., 36; Wyckoff v. Bliss, 12 Daly, 324; Morgan 4 E. D. Smith, 636; Lynch v. McKenna, 58 How. Pr., 42 (broker</w:t>
      </w:r>
    </w:p>
    <w:p>
      <w:pPr>
        <w:pStyle w:val="Normal"/>
        <w:spacing w:lineRule="exact" w:line="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40" w:right="0"/>
        <w:rPr>
          <w:rFonts w:ascii="Arial" w:hAnsi="Arial" w:eastAsia="Arial" w:cs="Arial"/>
          <w:sz w:val="17"/>
        </w:rPr>
      </w:pPr>
      <w:r>
        <w:rPr>
          <w:rFonts w:eastAsia="Arial" w:cs="Arial" w:ascii="Arial" w:hAnsi="Arial"/>
          <w:sz w:val="17"/>
        </w:rPr>
        <w:t>by purchaser); Hanford v. Shapter, 4 Daily, 243; Hobbs v.</w:t>
      </w:r>
    </w:p>
    <w:p>
      <w:pPr>
        <w:pStyle w:val="Normal"/>
        <w:spacing w:lineRule="exact" w:line="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40" w:right="0"/>
        <w:rPr>
          <w:rFonts w:ascii="Arial" w:hAnsi="Arial" w:eastAsia="Arial" w:cs="Arial"/>
          <w:sz w:val="16"/>
        </w:rPr>
      </w:pPr>
      <w:r>
        <w:rPr>
          <w:rFonts w:eastAsia="Arial" w:cs="Arial" w:ascii="Arial" w:hAnsi="Arial"/>
          <w:sz w:val="16"/>
        </w:rPr>
        <w:t>Misc., 618; Atwater v. Wilson, 13 Misc., 117; O'Toole v. Tucker</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554; Schubert v. Kaplan, 109 N. Y. Supp., 729; O'Shea v. Brill</w:t>
      </w:r>
    </w:p>
    <w:p>
      <w:pPr>
        <w:pStyle w:val="Normal"/>
        <w:spacing w:lineRule="exact" w:line="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Supp., 1020; McKnight v. Thayer, 27 N. Y. Supp., 440 (exclusiv</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termination); Dailey v. Young, 13 N. Y. Supp., 435; Tyler v. S</w:t>
      </w:r>
    </w:p>
    <w:p>
      <w:pPr>
        <w:pStyle w:val="Normal"/>
        <w:spacing w:lineRule="exact" w:line="3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hanging="315" w:left="340" w:right="-5"/>
        <w:jc w:val="both"/>
        <w:rPr/>
      </w:pPr>
      <w:r>
        <w:rPr>
          <w:rFonts w:eastAsia="Arial" w:cs="Arial" w:ascii="Arial" w:hAnsi="Arial"/>
          <w:sz w:val="16"/>
        </w:rPr>
        <w:t>Misc., 185 (condemnation by city at price in excess of sale pric 42Palmer v. Durand, 62 A. D., 467; Doran v. Bussard, 18 A.</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Hobbs v. Edgar, 23 Misc., 618; Hammn v. Weber, 19 Misc., 485, 489;</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O'Toole v. Tucker, 17 Misc., 554; Pollatschek v. Goodwin, 17 Misc., 587;</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firstLine="17" w:left="20" w:right="594"/>
        <w:rPr>
          <w:rFonts w:ascii="Arial" w:hAnsi="Arial" w:eastAsia="Arial" w:cs="Arial"/>
          <w:sz w:val="16"/>
        </w:rPr>
      </w:pPr>
      <w:r>
        <w:rPr>
          <w:rFonts w:eastAsia="Arial" w:cs="Arial" w:ascii="Arial" w:hAnsi="Arial"/>
          <w:sz w:val="16"/>
        </w:rPr>
        <w:t>(substitution of other property-exchange; cf. Meyer v. Improved Prop-erty Holding Co., 137 A. D., 691 (lease) ); Jones v. Henry, 15 Misc., 151</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5"/>
        </w:rPr>
      </w:pPr>
      <w:r>
        <w:rPr>
          <w:rFonts w:eastAsia="Arial" w:cs="Arial" w:ascii="Arial" w:hAnsi="Arial"/>
          <w:sz w:val="15"/>
        </w:rPr>
        <w:t>(employer varied terms to meet customer's inability to comply with terms</w:t>
      </w:r>
    </w:p>
    <w:p>
      <w:pPr>
        <w:pStyle w:val="Normal"/>
        <w:spacing w:lineRule="exact" w:line="2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6"/>
        </w:rPr>
      </w:pPr>
      <w:r>
        <w:rPr>
          <w:rFonts w:eastAsia="Arial" w:cs="Arial" w:ascii="Arial" w:hAnsi="Arial"/>
          <w:sz w:val="16"/>
        </w:rPr>
        <w:t>as preliminarily agreed upon); Atwater v. Wilson, 13 Misc., 117; Gold v.</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Serrell, 6 Misc., 124; O'Shea v. Brill, 108 N. Y. Supp., 1020; Levy v.</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Coogan, 9 N. Y. Supp., 534.</w:t>
      </w:r>
    </w:p>
    <w:p>
      <w:pPr>
        <w:pStyle w:val="Normal"/>
        <w:spacing w:lineRule="exact" w:line="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43 Oppenheimer v. Barnett, 131 A. D., 614; Sampson v. Ottinger, 93</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4"/>
        </w:rPr>
      </w:pPr>
      <w:r>
        <w:rPr>
          <w:rFonts w:eastAsia="Arial" w:cs="Arial" w:ascii="Arial" w:hAnsi="Arial"/>
          <w:sz w:val="14"/>
        </w:rPr>
        <w:t>A. D., 226.</w:t>
      </w:r>
    </w:p>
    <w:p>
      <w:pPr>
        <w:pStyle w:val="Normal"/>
        <w:spacing w:lineRule="exact" w:line="4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left="320" w:right="0"/>
        <w:rPr>
          <w:rFonts w:ascii="Arial" w:hAnsi="Arial" w:eastAsia="Arial" w:cs="Arial"/>
          <w:sz w:val="15"/>
        </w:rPr>
      </w:pPr>
      <w:r>
        <w:rPr>
          <w:rFonts w:eastAsia="Arial" w:cs="Arial" w:ascii="Arial" w:hAnsi="Arial"/>
          <w:sz w:val="15"/>
        </w:rPr>
        <w:t>44 If the customer informs the employer that he has received particu-</w:t>
      </w:r>
    </w:p>
    <w:p>
      <w:pPr>
        <w:pStyle w:val="Normal"/>
        <w:spacing w:lineRule="exact" w:line="3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lars from some source other than the employer himself, the employer is</w:t>
      </w:r>
    </w:p>
    <w:p>
      <w:pPr>
        <w:pStyle w:val="Normal"/>
        <w:spacing w:lineRule="exact" w:line="3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charged with notice that a broker may have been active in the matter, and</w:t>
      </w:r>
    </w:p>
    <w:p>
      <w:pPr>
        <w:pStyle w:val="Normal"/>
        <w:spacing w:lineRule="exact" w:line="2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it is his duty to make inquiry from whom. Lloyd v. Matthews, 51 N. Y.,</w:t>
      </w:r>
    </w:p>
    <w:p>
      <w:pPr>
        <w:pStyle w:val="Normal"/>
        <w:spacing w:lineRule="exact" w:line="14"/>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clear" w:pos="720"/>
          <w:tab w:val="left" w:pos="386" w:leader="none"/>
        </w:tabs>
        <w:spacing w:lineRule="auto" w:line="276"/>
        <w:ind w:firstLine="10" w:right="274"/>
        <w:rPr>
          <w:rFonts w:ascii="Arial" w:hAnsi="Arial" w:eastAsia="Arial" w:cs="Arial"/>
          <w:sz w:val="16"/>
        </w:rPr>
      </w:pPr>
      <w:r>
        <w:rPr>
          <w:rFonts w:eastAsia="Arial" w:cs="Arial" w:ascii="Arial" w:hAnsi="Arial"/>
          <w:sz w:val="16"/>
        </w:rPr>
        <w:t xml:space="preserve">But if, upon being approached directly by a customer, the employer </w:t>
      </w:r>
      <w:r>
        <w:rPr>
          <w:rFonts w:eastAsia="Arial" w:cs="Arial" w:ascii="Arial" w:hAnsi="Arial"/>
          <w:sz w:val="14"/>
        </w:rPr>
        <w:t>asks the broker for the name of the broker's customer and the broker</w:t>
      </w:r>
      <w:r>
        <w:rPr>
          <w:rFonts w:eastAsia="Arial" w:cs="Arial" w:ascii="Arial" w:hAnsi="Arial"/>
          <w:sz w:val="15"/>
        </w:rPr>
        <w:t xml:space="preserve"> gives a misleading answer, as a result of which the employer innocently </w:t>
      </w:r>
      <w:r>
        <w:rPr>
          <w:rFonts w:eastAsia="Arial" w:cs="Arial" w:ascii="Arial" w:hAnsi="Arial"/>
          <w:sz w:val="16"/>
        </w:rPr>
        <w:t xml:space="preserve">deals directly with the broker's customer and makes a reduction in the </w:t>
      </w:r>
      <w:r>
        <w:rPr>
          <w:rFonts w:eastAsia="Arial" w:cs="Arial" w:ascii="Arial" w:hAnsi="Arial"/>
          <w:sz w:val="15"/>
        </w:rPr>
        <w:t>purchase price in the belief that there is no broker involved, the broker cannot recover his commissions. Jungblut v. Gundra, 134 A. D., 291.</w:t>
      </w:r>
    </w:p>
    <w:p>
      <w:pPr>
        <w:sectPr>
          <w:type w:val="nextPage"/>
          <w:pgSz w:w="7700" w:h="12869"/>
          <w:pgMar w:left="1080" w:right="0" w:gutter="0" w:header="0" w:top="94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9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9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80" w:right="0" w:gutter="0" w:header="0" w:top="946"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6">
            <wp:simplePos x="0" y="0"/>
            <wp:positionH relativeFrom="page">
              <wp:posOffset>0</wp:posOffset>
            </wp:positionH>
            <wp:positionV relativeFrom="page">
              <wp:posOffset>0</wp:posOffset>
            </wp:positionV>
            <wp:extent cx="4885690" cy="8025130"/>
            <wp:effectExtent l="0" t="0" r="0" b="0"/>
            <wp:wrapNone/>
            <wp:docPr id="15"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 descr=""/>
                    <pic:cNvPicPr>
                      <a:picLocks noChangeAspect="1" noChangeArrowheads="1"/>
                    </pic:cNvPicPr>
                  </pic:nvPicPr>
                  <pic:blipFill>
                    <a:blip r:embed="rId14"/>
                    <a:srcRect l="-4" t="-2" r="-4" b="-2"/>
                    <a:stretch>
                      <a:fillRect/>
                    </a:stretch>
                  </pic:blipFill>
                  <pic:spPr bwMode="auto">
                    <a:xfrm>
                      <a:off x="0" y="0"/>
                      <a:ext cx="4885690" cy="8025130"/>
                    </a:xfrm>
                    <a:prstGeom prst="rect">
                      <a:avLst/>
                    </a:prstGeom>
                  </pic:spPr>
                </pic:pic>
              </a:graphicData>
            </a:graphic>
          </wp:anchor>
        </w:drawing>
      </w:r>
      <w:bookmarkStart w:id="24" w:name="page13"/>
      <w:bookmarkStart w:id="25" w:name="page13"/>
      <w:bookmarkEnd w:id="25"/>
    </w:p>
    <w:p>
      <w:pPr>
        <w:pStyle w:val="Normal"/>
        <w:tabs>
          <w:tab w:val="clear" w:pos="720"/>
          <w:tab w:val="left" w:pos="1740" w:leader="none"/>
        </w:tabs>
        <w:spacing w:lineRule="atLeast" w:line="0"/>
        <w:ind w:left="40" w:right="0"/>
        <w:rPr/>
      </w:pPr>
      <w:r>
        <w:rPr>
          <w:rFonts w:eastAsia="Arial" w:cs="Arial" w:ascii="Arial" w:hAnsi="Arial"/>
          <w:sz w:val="28"/>
          <w:vertAlign w:val="subscript"/>
        </w:rPr>
        <w:t>350</w:t>
      </w:r>
      <w:r>
        <w:rPr>
          <w:rFonts w:eastAsia="Times New Roman" w:cs="Times New Roman" w:ascii="Times New Roman" w:hAnsi="Times New Roman"/>
        </w:rPr>
        <w:tab/>
      </w:r>
      <w:r>
        <w:rPr>
          <w:rFonts w:eastAsia="Arial" w:cs="Arial" w:ascii="Arial" w:hAnsi="Arial"/>
          <w:sz w:val="15"/>
        </w:rPr>
        <w:t>YALE LAW JOURNAL</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0" w:right="0"/>
        <w:rPr>
          <w:rFonts w:ascii="Arial" w:hAnsi="Arial" w:eastAsia="Arial" w:cs="Arial"/>
          <w:sz w:val="18"/>
        </w:rPr>
      </w:pPr>
      <w:r>
        <w:rPr>
          <w:rFonts w:eastAsia="Arial" w:cs="Arial" w:ascii="Arial" w:hAnsi="Arial"/>
          <w:sz w:val="18"/>
        </w:rPr>
        <w:t>good faith and without intent to deprive him of earn</w:t>
      </w:r>
    </w:p>
    <w:p>
      <w:pPr>
        <w:pStyle w:val="Normal"/>
        <w:spacing w:lineRule="exact" w:line="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80" w:right="0"/>
        <w:rPr>
          <w:rFonts w:ascii="Arial" w:hAnsi="Arial" w:eastAsia="Arial" w:cs="Arial"/>
          <w:sz w:val="18"/>
        </w:rPr>
      </w:pPr>
      <w:r>
        <w:rPr>
          <w:rFonts w:eastAsia="Arial" w:cs="Arial" w:ascii="Arial" w:hAnsi="Arial"/>
          <w:sz w:val="18"/>
        </w:rPr>
        <w:t>sions;45 or that (in the absence of an express right d</w:t>
      </w:r>
    </w:p>
    <w:p>
      <w:pPr>
        <w:pStyle w:val="Normal"/>
        <w:spacing w:lineRule="exact" w:line="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7"/>
        <w:ind w:left="60" w:right="-5"/>
        <w:rPr>
          <w:rFonts w:ascii="Arial" w:hAnsi="Arial" w:eastAsia="Arial" w:cs="Arial"/>
          <w:sz w:val="18"/>
        </w:rPr>
      </w:pPr>
      <w:r>
        <w:rPr>
          <w:rFonts w:eastAsia="Arial" w:cs="Arial" w:ascii="Arial" w:hAnsi="Arial"/>
          <w:sz w:val="18"/>
        </w:rPr>
        <w:t>period of his employment to commissions on the tran terest by whomsoever made46), the broker had failed</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6"/>
        </w:rPr>
      </w:pPr>
      <w:r>
        <w:rPr>
          <w:rFonts w:eastAsia="Arial" w:cs="Arial" w:ascii="Arial" w:hAnsi="Arial"/>
          <w:sz w:val="16"/>
        </w:rPr>
        <w:t>doned the attempt to confer a benefit upon the employer</w:t>
      </w:r>
    </w:p>
    <w:p>
      <w:pPr>
        <w:pStyle w:val="Normal"/>
        <w:spacing w:lineRule="exact" w:line="6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60" w:right="0"/>
        <w:rPr>
          <w:rFonts w:ascii="Arial" w:hAnsi="Arial" w:eastAsia="Arial" w:cs="Arial"/>
          <w:sz w:val="18"/>
        </w:rPr>
      </w:pPr>
      <w:r>
        <w:rPr>
          <w:rFonts w:eastAsia="Arial" w:cs="Arial" w:ascii="Arial" w:hAnsi="Arial"/>
          <w:sz w:val="18"/>
        </w:rPr>
        <w:t>Questions of the termination of employment, failur</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donment are, of course, mainly question of fact. The</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7"/>
        </w:rPr>
      </w:pPr>
      <w:r>
        <w:rPr>
          <w:rFonts w:eastAsia="Arial" w:cs="Arial" w:ascii="Arial" w:hAnsi="Arial"/>
          <w:sz w:val="17"/>
        </w:rPr>
        <w:t>of abandonment, however, must be considered in the l</w:t>
      </w:r>
    </w:p>
    <w:p>
      <w:pPr>
        <w:pStyle w:val="Normal"/>
        <w:spacing w:lineRule="exact" w:line="5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8"/>
        </w:rPr>
      </w:pPr>
      <w:r>
        <w:rPr>
          <w:rFonts w:eastAsia="Arial" w:cs="Arial" w:ascii="Arial" w:hAnsi="Arial"/>
          <w:sz w:val="18"/>
        </w:rPr>
        <w:t>broker's employment, which may be one of the follo</w:t>
      </w:r>
    </w:p>
    <w:p>
      <w:pPr>
        <w:pStyle w:val="Normal"/>
        <w:spacing w:lineRule="exact" w:line="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general types:</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693" w:leader="none"/>
        </w:tabs>
        <w:spacing w:lineRule="auto" w:line="280"/>
        <w:ind w:firstLine="230" w:left="60" w:right="-5"/>
        <w:jc w:val="both"/>
        <w:rPr>
          <w:rFonts w:ascii="Arial" w:hAnsi="Arial" w:eastAsia="Arial" w:cs="Arial"/>
          <w:sz w:val="19"/>
        </w:rPr>
      </w:pPr>
      <w:r>
        <w:rPr>
          <w:rFonts w:eastAsia="Arial" w:cs="Arial" w:ascii="Arial" w:hAnsi="Arial"/>
          <w:sz w:val="19"/>
        </w:rPr>
        <w:t xml:space="preserve">Where the employer specifies in advance to t </w:t>
      </w:r>
      <w:r>
        <w:rPr>
          <w:rFonts w:eastAsia="Arial" w:cs="Arial" w:ascii="Arial" w:hAnsi="Arial"/>
          <w:sz w:val="17"/>
        </w:rPr>
        <w:t>the essential terms upon which it is desired to bring</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20" w:right="0"/>
        <w:rPr>
          <w:rFonts w:ascii="Arial" w:hAnsi="Arial" w:eastAsia="Arial" w:cs="Arial"/>
          <w:sz w:val="15"/>
        </w:rPr>
      </w:pPr>
      <w:r>
        <w:rPr>
          <w:rFonts w:eastAsia="Arial" w:cs="Arial" w:ascii="Arial" w:hAnsi="Arial"/>
          <w:sz w:val="15"/>
        </w:rPr>
        <w:t>transfer of interest.</w:t>
      </w:r>
    </w:p>
    <w:p>
      <w:pPr>
        <w:pStyle w:val="Normal"/>
        <w:spacing w:lineRule="exact" w:line="101"/>
        <w:rPr>
          <w:rFonts w:ascii="Times New Roman" w:hAnsi="Times New Roman" w:eastAsia="Times New Roman" w:cs="Times New Roman"/>
          <w:sz w:val="15"/>
        </w:rPr>
      </w:pPr>
      <w:r>
        <w:rPr>
          <w:rFonts w:eastAsia="Times New Roman" w:cs="Times New Roman" w:ascii="Times New Roman" w:hAnsi="Times New Roman"/>
          <w:sz w:val="15"/>
        </w:rPr>
      </w:r>
    </w:p>
    <w:p>
      <w:pPr>
        <w:pStyle w:val="Normal"/>
        <w:numPr>
          <w:ilvl w:val="1"/>
          <w:numId w:val="4"/>
        </w:numPr>
        <w:tabs>
          <w:tab w:val="clear" w:pos="720"/>
          <w:tab w:val="left" w:pos="543" w:leader="none"/>
        </w:tabs>
        <w:spacing w:lineRule="auto" w:line="319"/>
        <w:ind w:firstLine="235" w:left="20" w:right="534"/>
        <w:jc w:val="both"/>
        <w:rPr>
          <w:rFonts w:ascii="Arial" w:hAnsi="Arial" w:eastAsia="Arial" w:cs="Arial"/>
          <w:sz w:val="18"/>
        </w:rPr>
      </w:pPr>
      <w:r>
        <w:rPr>
          <w:rFonts w:eastAsia="Arial" w:cs="Arial" w:ascii="Arial" w:hAnsi="Arial"/>
          <w:sz w:val="18"/>
        </w:rPr>
        <w:t>Where the employer, without in any way obligating him-</w:t>
      </w:r>
      <w:r>
        <w:rPr>
          <w:rFonts w:eastAsia="Arial" w:cs="Arial" w:ascii="Arial" w:hAnsi="Arial"/>
          <w:sz w:val="17"/>
        </w:rPr>
        <w:t>self, requests the broker to obtain and report for his considera-tion offers of the terms upon which customers making the same desire to bring about the transfer of interest.</w:t>
      </w:r>
    </w:p>
    <w:p>
      <w:pPr>
        <w:pStyle w:val="Normal"/>
        <w:spacing w:lineRule="exact" w:line="203"/>
        <w:rPr>
          <w:rFonts w:ascii="Arial" w:hAnsi="Arial" w:eastAsia="Arial" w:cs="Arial"/>
          <w:sz w:val="18"/>
        </w:rPr>
      </w:pPr>
      <w:r>
        <w:rPr>
          <w:rFonts w:eastAsia="Arial" w:cs="Arial" w:ascii="Arial" w:hAnsi="Arial"/>
          <w:sz w:val="18"/>
        </w:rPr>
      </w:r>
    </w:p>
    <w:p>
      <w:pPr>
        <w:pStyle w:val="Normal"/>
        <w:numPr>
          <w:ilvl w:val="0"/>
          <w:numId w:val="5"/>
        </w:numPr>
        <w:tabs>
          <w:tab w:val="clear" w:pos="720"/>
          <w:tab w:val="left" w:pos="530" w:leader="none"/>
        </w:tabs>
        <w:spacing w:lineRule="auto" w:line="297"/>
        <w:ind w:firstLine="223" w:left="20" w:right="594"/>
        <w:jc w:val="both"/>
        <w:rPr>
          <w:rFonts w:ascii="Arial" w:hAnsi="Arial" w:eastAsia="Arial" w:cs="Arial"/>
          <w:sz w:val="18"/>
        </w:rPr>
      </w:pPr>
      <w:r>
        <w:rPr>
          <w:rFonts w:eastAsia="Arial" w:cs="Arial" w:ascii="Arial" w:hAnsi="Arial"/>
          <w:sz w:val="18"/>
        </w:rPr>
        <w:t>Where the employer, without in any way obligating him-</w:t>
      </w:r>
      <w:r>
        <w:rPr>
          <w:rFonts w:eastAsia="Arial" w:cs="Arial" w:ascii="Arial" w:hAnsi="Arial"/>
          <w:sz w:val="17"/>
        </w:rPr>
        <w:t>self, requests the broker simply to put him into communication with parties willing to negotiate with regard to the transfer of</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5"/>
        </w:rPr>
      </w:pPr>
      <w:r>
        <w:rPr>
          <w:rFonts w:eastAsia="Arial" w:cs="Arial" w:ascii="Arial" w:hAnsi="Arial"/>
          <w:sz w:val="15"/>
        </w:rPr>
        <w:t>interest.</w:t>
      </w:r>
    </w:p>
    <w:p>
      <w:pPr>
        <w:pStyle w:val="Normal"/>
        <w:spacing w:lineRule="exact" w:line="32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20" w:right="0"/>
        <w:rPr>
          <w:rFonts w:ascii="Arial" w:hAnsi="Arial" w:eastAsia="Arial" w:cs="Arial"/>
          <w:sz w:val="15"/>
        </w:rPr>
      </w:pPr>
      <w:r>
        <w:rPr>
          <w:rFonts w:eastAsia="Arial" w:cs="Arial" w:ascii="Arial" w:hAnsi="Arial"/>
          <w:sz w:val="15"/>
        </w:rPr>
        <w:t>45Mooney v. Elder, 56 N. Y., 238 (bad faith); Vanderveer v. Suy-</w:t>
      </w:r>
    </w:p>
    <w:p>
      <w:pPr>
        <w:pStyle w:val="Normal"/>
        <w:spacing w:lineRule="exact" w:line="3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3"/>
        <w:ind w:hanging="6" w:left="20" w:right="314"/>
        <w:jc w:val="both"/>
        <w:rPr/>
      </w:pPr>
      <w:r>
        <w:rPr>
          <w:rFonts w:eastAsia="Arial" w:cs="Arial" w:ascii="Arial" w:hAnsi="Arial"/>
          <w:sz w:val="16"/>
        </w:rPr>
        <w:t>dam, 83 Hun, 116, aff'd 151 N. Y., 673; O'Hara v. Murray, 144 A. D., 113; Travis v. Bowron, 138 A. D., 554; Cords v. Ruth, 115 A. D., 568; Diamond</w:t>
      </w:r>
    </w:p>
    <w:p>
      <w:pPr>
        <w:pStyle w:val="Normal"/>
        <w:spacing w:lineRule="atLeast" w:line="0"/>
        <w:rPr>
          <w:rFonts w:ascii="Arial" w:hAnsi="Arial" w:eastAsia="Arial" w:cs="Arial"/>
          <w:sz w:val="16"/>
        </w:rPr>
      </w:pPr>
      <w:r>
        <w:rPr>
          <w:rFonts w:eastAsia="Arial" w:cs="Arial" w:ascii="Arial" w:hAnsi="Arial"/>
          <w:sz w:val="16"/>
        </w:rPr>
        <w:t>v. Wheeler, 80 A. D., 58 (termination a question of fact); Geery v. Pollock,</w:t>
      </w:r>
    </w:p>
    <w:p>
      <w:pPr>
        <w:pStyle w:val="Normal"/>
        <w:spacing w:lineRule="exact" w:line="1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16 A. D., 321 (bad faith-broker employed by purchaser); Woolley v.</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7"/>
        </w:rPr>
      </w:pPr>
      <w:r>
        <w:rPr>
          <w:rFonts w:eastAsia="Arial" w:cs="Arial" w:ascii="Arial" w:hAnsi="Arial"/>
          <w:sz w:val="17"/>
        </w:rPr>
        <w:t>Loew, 80 Hun, 294 (bad faith); Dailey v. Young, 13 N. Y. Supp., 435;</w:t>
      </w:r>
    </w:p>
    <w:p>
      <w:pPr>
        <w:pStyle w:val="Normal"/>
        <w:spacing w:lineRule="exact" w:line="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McKnight v. Thayer, 27 N. Y. Supp., 440 (exclusive agency).</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40" w:right="0"/>
        <w:rPr>
          <w:rFonts w:ascii="Arial" w:hAnsi="Arial" w:eastAsia="Arial" w:cs="Arial"/>
          <w:sz w:val="16"/>
        </w:rPr>
      </w:pPr>
      <w:r>
        <w:rPr>
          <w:rFonts w:eastAsia="Arial" w:cs="Arial" w:ascii="Arial" w:hAnsi="Arial"/>
          <w:sz w:val="16"/>
        </w:rPr>
        <w:t>46 See O'Hara v. Murray, 144 A. D., 113; Parkhurst v. Tryon, 134 A.</w:t>
      </w:r>
    </w:p>
    <w:p>
      <w:pPr>
        <w:pStyle w:val="Normal"/>
        <w:spacing w:lineRule="exact" w:line="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firstLine="2" w:left="20" w:right="534"/>
        <w:rPr>
          <w:rFonts w:ascii="Arial" w:hAnsi="Arial" w:eastAsia="Arial" w:cs="Arial"/>
          <w:sz w:val="16"/>
        </w:rPr>
      </w:pPr>
      <w:r>
        <w:rPr>
          <w:rFonts w:eastAsia="Arial" w:cs="Arial" w:ascii="Arial" w:hAnsi="Arial"/>
          <w:sz w:val="16"/>
        </w:rPr>
        <w:t>D., 843; Emberson v. Dean, 46 How. Pr., 236; Van Patten v. Taber, 71 Misc., 610; Davis v. Van Tassel, 107 N. Y. Supp., 910.</w:t>
      </w:r>
    </w:p>
    <w:p>
      <w:pPr>
        <w:pStyle w:val="Normal"/>
        <w:spacing w:lineRule="auto" w:line="273"/>
        <w:ind w:firstLine="325" w:right="334"/>
        <w:jc w:val="both"/>
        <w:rPr/>
      </w:pPr>
      <w:r>
        <w:rPr>
          <w:rFonts w:eastAsia="Arial" w:cs="Arial" w:ascii="Arial" w:hAnsi="Arial"/>
          <w:sz w:val="16"/>
        </w:rPr>
        <w:t xml:space="preserve">47 Lloyd v. Matthews, 51 N. Y., 124; McClave v. Paine, 49 N. Y., 561 </w:t>
      </w:r>
      <w:r>
        <w:rPr>
          <w:rFonts w:eastAsia="Arial" w:cs="Arial" w:ascii="Arial" w:hAnsi="Arial"/>
          <w:sz w:val="15"/>
        </w:rPr>
        <w:t>(purchaser had been customer of broker in regard to a different parcel); Moloney v. Brennan, 138 A. D., 510; Meyer v. Improved Property Holding</w:t>
      </w:r>
    </w:p>
    <w:p>
      <w:pPr>
        <w:pStyle w:val="Normal"/>
        <w:spacing w:lineRule="exact" w:line="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4"/>
        <w:ind w:firstLine="2" w:left="20" w:right="334"/>
        <w:jc w:val="both"/>
        <w:rPr>
          <w:rFonts w:ascii="Arial" w:hAnsi="Arial" w:eastAsia="Arial" w:cs="Arial"/>
          <w:sz w:val="16"/>
        </w:rPr>
      </w:pPr>
      <w:r>
        <w:rPr>
          <w:rFonts w:eastAsia="Arial" w:cs="Arial" w:ascii="Arial" w:hAnsi="Arial"/>
          <w:sz w:val="16"/>
        </w:rPr>
        <w:t>Co., 137 A. D., 691 (lease); Boyd v. Improved Property Holding Co., 135 A. D., 623 (lease); Waters &amp; Son v. Rafalsky, 134 A. D., 870; Cohn Co.</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v. Lee, 132 A. D., 697; Miller v. Vining, 112 A. D., 304; Bouscher v. Lar-</w:t>
      </w:r>
    </w:p>
    <w:p>
      <w:pPr>
        <w:pStyle w:val="Normal"/>
        <w:spacing w:lineRule="exact" w:line="1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kins, 84 Hun, 288; Brown v. Snyder, 57 A. D., 413; Meyer v. Straus, 42</w:t>
      </w:r>
    </w:p>
    <w:p>
      <w:pPr>
        <w:pStyle w:val="Normal"/>
        <w:spacing w:lineRule="exact" w:line="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1"/>
        <w:ind w:right="374"/>
        <w:rPr>
          <w:rFonts w:ascii="Arial" w:hAnsi="Arial" w:eastAsia="Arial" w:cs="Arial"/>
          <w:sz w:val="16"/>
        </w:rPr>
      </w:pPr>
      <w:r>
        <w:rPr>
          <w:rFonts w:eastAsia="Arial" w:cs="Arial" w:ascii="Arial" w:hAnsi="Arial"/>
          <w:sz w:val="16"/>
        </w:rPr>
        <w:t>A. D., 613; White v. Twitchings, 26 Hun, 503; Goodwin v. Brennecke, 21 A. D. 138; Batterthwaite v. Vreeland, 3 Hun, 152; Michaelis v. Gahren,</w:t>
      </w:r>
    </w:p>
    <w:p>
      <w:pPr>
        <w:pStyle w:val="Normal"/>
        <w:spacing w:lineRule="atLeast" w:line="0"/>
        <w:rPr>
          <w:rFonts w:ascii="Arial" w:hAnsi="Arial" w:eastAsia="Arial" w:cs="Arial"/>
          <w:sz w:val="16"/>
        </w:rPr>
      </w:pPr>
      <w:r>
        <w:rPr>
          <w:rFonts w:eastAsia="Arial" w:cs="Arial" w:ascii="Arial" w:hAnsi="Arial"/>
          <w:sz w:val="16"/>
        </w:rPr>
        <w:t>9 A. D., 495; Briggs v. Rowe, 4 Keyes, 424; Harris v. Burtnett, 2 Daly,</w:t>
      </w:r>
    </w:p>
    <w:p>
      <w:pPr>
        <w:pStyle w:val="Normal"/>
        <w:spacing w:lineRule="exact" w:line="1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189 (broker employed by purchaser); Schano v. Storch, 56 Misc., 484;</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8"/>
        <w:ind w:firstLine="2" w:right="374"/>
        <w:rPr/>
      </w:pPr>
      <w:r>
        <w:rPr>
          <w:rFonts w:eastAsia="Arial" w:cs="Arial" w:ascii="Arial" w:hAnsi="Arial"/>
          <w:sz w:val="16"/>
        </w:rPr>
        <w:t>Markus v. Kenneally, 19 Misc., 517; Willard v. Ferguson, 110 N. Y. Supp., 909; Nadler v. Menschel, 110 N. Y. Supp., 384.</w:t>
      </w:r>
    </w:p>
    <w:p>
      <w:pPr>
        <w:sectPr>
          <w:type w:val="nextPage"/>
          <w:pgSz w:w="7700" w:h="12869"/>
          <w:pgMar w:left="1040" w:right="0" w:gutter="0" w:header="0" w:top="70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5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5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40" w:right="0" w:gutter="0" w:header="0" w:top="707"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7">
            <wp:simplePos x="0" y="0"/>
            <wp:positionH relativeFrom="page">
              <wp:posOffset>0</wp:posOffset>
            </wp:positionH>
            <wp:positionV relativeFrom="page">
              <wp:posOffset>0</wp:posOffset>
            </wp:positionV>
            <wp:extent cx="4885690" cy="8025130"/>
            <wp:effectExtent l="0" t="0" r="0" b="0"/>
            <wp:wrapNone/>
            <wp:docPr id="16"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descr=""/>
                    <pic:cNvPicPr>
                      <a:picLocks noChangeAspect="1" noChangeArrowheads="1"/>
                    </pic:cNvPicPr>
                  </pic:nvPicPr>
                  <pic:blipFill>
                    <a:blip r:embed="rId15"/>
                    <a:srcRect l="-4" t="-2" r="-4" b="-2"/>
                    <a:stretch>
                      <a:fillRect/>
                    </a:stretch>
                  </pic:blipFill>
                  <pic:spPr bwMode="auto">
                    <a:xfrm>
                      <a:off x="0" y="0"/>
                      <a:ext cx="4885690" cy="8025130"/>
                    </a:xfrm>
                    <a:prstGeom prst="rect">
                      <a:avLst/>
                    </a:prstGeom>
                  </pic:spPr>
                </pic:pic>
              </a:graphicData>
            </a:graphic>
          </wp:anchor>
        </w:drawing>
      </w:r>
      <w:bookmarkStart w:id="26" w:name="page14"/>
      <w:bookmarkStart w:id="27" w:name="page14"/>
      <w:bookmarkEnd w:id="27"/>
    </w:p>
    <w:p>
      <w:pPr>
        <w:pStyle w:val="Normal"/>
        <w:tabs>
          <w:tab w:val="clear" w:pos="720"/>
          <w:tab w:val="left" w:pos="5480" w:leader="none"/>
        </w:tabs>
        <w:spacing w:lineRule="atLeast" w:line="0"/>
        <w:ind w:left="880" w:right="0"/>
        <w:rPr/>
      </w:pPr>
      <w:r>
        <w:rPr>
          <w:rFonts w:eastAsia="Arial" w:cs="Arial" w:ascii="Arial" w:hAnsi="Arial"/>
          <w:sz w:val="18"/>
        </w:rPr>
        <w:t>REAL ESTATE BROKER COMMISSIONS</w:t>
      </w:r>
      <w:r>
        <w:rPr>
          <w:rFonts w:eastAsia="Times New Roman" w:cs="Times New Roman" w:ascii="Times New Roman" w:hAnsi="Times New Roman"/>
        </w:rPr>
        <w:tab/>
      </w:r>
      <w:r>
        <w:rPr>
          <w:rFonts w:eastAsia="Arial" w:cs="Arial" w:ascii="Arial" w:hAnsi="Arial"/>
          <w:sz w:val="17"/>
          <w:vertAlign w:val="subscript"/>
        </w:rPr>
        <w:t>351</w:t>
      </w:r>
    </w:p>
    <w:p>
      <w:pPr>
        <w:pStyle w:val="Normal"/>
        <w:spacing w:lineRule="exact" w:line="393"/>
        <w:rPr>
          <w:rFonts w:ascii="Times New Roman" w:hAnsi="Times New Roman" w:eastAsia="Times New Roman" w:cs="Times New Roman"/>
          <w:sz w:val="17"/>
          <w:vertAlign w:val="subscript"/>
        </w:rPr>
      </w:pPr>
      <w:r>
        <w:rPr>
          <w:rFonts w:eastAsia="Times New Roman" w:cs="Times New Roman" w:ascii="Times New Roman" w:hAnsi="Times New Roman"/>
          <w:sz w:val="17"/>
          <w:vertAlign w:val="subscript"/>
        </w:rPr>
      </w:r>
    </w:p>
    <w:p>
      <w:pPr>
        <w:pStyle w:val="Normal"/>
        <w:spacing w:lineRule="atLeast" w:line="0"/>
        <w:ind w:left="320" w:right="0"/>
        <w:rPr>
          <w:rFonts w:ascii="Arial" w:hAnsi="Arial" w:eastAsia="Arial" w:cs="Arial"/>
          <w:sz w:val="18"/>
        </w:rPr>
      </w:pPr>
      <w:r>
        <w:rPr>
          <w:rFonts w:eastAsia="Arial" w:cs="Arial" w:ascii="Arial" w:hAnsi="Arial"/>
          <w:sz w:val="18"/>
        </w:rPr>
        <w:t>Obviously it is easier to prove abandonment by the brok</w:t>
      </w:r>
    </w:p>
    <w:p>
      <w:pPr>
        <w:pStyle w:val="Normal"/>
        <w:spacing w:lineRule="exact" w:line="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4"/>
        <w:ind w:firstLine="2" w:left="100" w:right="-5"/>
        <w:jc w:val="both"/>
        <w:rPr/>
      </w:pPr>
      <w:r>
        <w:rPr>
          <w:rFonts w:eastAsia="Arial" w:cs="Arial" w:ascii="Arial" w:hAnsi="Arial"/>
          <w:sz w:val="17"/>
        </w:rPr>
        <w:t>the first two of the above three types of employment, wher broker's duty is to participate as a mediator in finding a com basis of agreement, than in the third, where he has done al</w:t>
      </w:r>
    </w:p>
    <w:p>
      <w:pPr>
        <w:pStyle w:val="Normal"/>
        <w:spacing w:lineRule="exact" w:line="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20" w:right="0"/>
        <w:rPr>
          <w:rFonts w:ascii="Arial" w:hAnsi="Arial" w:eastAsia="Arial" w:cs="Arial"/>
          <w:sz w:val="18"/>
        </w:rPr>
      </w:pPr>
      <w:r>
        <w:rPr>
          <w:rFonts w:eastAsia="Arial" w:cs="Arial" w:ascii="Arial" w:hAnsi="Arial"/>
          <w:sz w:val="18"/>
        </w:rPr>
        <w:t>is expected of him when he has brought the employer and</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2"/>
        <w:ind w:left="120" w:right="-5"/>
        <w:jc w:val="both"/>
        <w:rPr>
          <w:rFonts w:ascii="Arial" w:hAnsi="Arial" w:eastAsia="Arial" w:cs="Arial"/>
          <w:sz w:val="18"/>
        </w:rPr>
      </w:pPr>
      <w:r>
        <w:rPr>
          <w:rFonts w:eastAsia="Arial" w:cs="Arial" w:ascii="Arial" w:hAnsi="Arial"/>
          <w:sz w:val="18"/>
        </w:rPr>
        <w:t>customer into touch, although his right to commissions rem contingent upon the accrual of the benefit to the employer</w:t>
      </w:r>
    </w:p>
    <w:p>
      <w:pPr>
        <w:pStyle w:val="Normal"/>
        <w:spacing w:lineRule="atLeast" w:line="0"/>
        <w:ind w:left="120" w:right="0"/>
        <w:rPr>
          <w:rFonts w:ascii="Arial" w:hAnsi="Arial" w:eastAsia="Arial" w:cs="Arial"/>
          <w:sz w:val="16"/>
        </w:rPr>
      </w:pPr>
      <w:r>
        <w:rPr>
          <w:rFonts w:eastAsia="Arial" w:cs="Arial" w:ascii="Arial" w:hAnsi="Arial"/>
          <w:sz w:val="16"/>
        </w:rPr>
        <w:t>is to be noted, however, that the mere fact that negotiations ce</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2"/>
        <w:ind w:firstLine="8" w:left="120" w:right="-5"/>
        <w:jc w:val="both"/>
        <w:rPr>
          <w:rFonts w:ascii="Arial" w:hAnsi="Arial" w:eastAsia="Arial" w:cs="Arial"/>
          <w:sz w:val="18"/>
        </w:rPr>
      </w:pPr>
      <w:r>
        <w:rPr>
          <w:rFonts w:eastAsia="Arial" w:cs="Arial" w:ascii="Arial" w:hAnsi="Arial"/>
          <w:sz w:val="18"/>
        </w:rPr>
        <w:t>for a time is not in itself proof of abandonment;49 and if broker has not abandoned the transaction he cannot be jud</w:t>
      </w:r>
    </w:p>
    <w:p>
      <w:pPr>
        <w:pStyle w:val="Normal"/>
        <w:spacing w:lineRule="auto" w:line="288"/>
        <w:ind w:firstLine="4" w:left="100" w:right="-5"/>
        <w:jc w:val="both"/>
        <w:rPr/>
      </w:pPr>
      <w:r>
        <w:rPr>
          <w:rFonts w:eastAsia="Arial" w:cs="Arial" w:ascii="Arial" w:hAnsi="Arial"/>
          <w:sz w:val="18"/>
        </w:rPr>
        <w:t xml:space="preserve">as against the employer, to have failed before the bona fide mination or the expiration of the period of his employment </w:t>
      </w:r>
      <w:r>
        <w:rPr>
          <w:rFonts w:eastAsia="Arial" w:cs="Arial" w:ascii="Arial" w:hAnsi="Arial"/>
          <w:sz w:val="17"/>
        </w:rPr>
        <w:t>in the absence of either, for a reasonable time.50</w:t>
      </w:r>
    </w:p>
    <w:p>
      <w:pPr>
        <w:pStyle w:val="Normal"/>
        <w:spacing w:lineRule="exact" w:line="12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480" w:right="0"/>
        <w:rPr>
          <w:rFonts w:ascii="Arial" w:hAnsi="Arial" w:eastAsia="Arial" w:cs="Arial"/>
          <w:sz w:val="16"/>
        </w:rPr>
      </w:pPr>
      <w:r>
        <w:rPr>
          <w:rFonts w:eastAsia="Arial" w:cs="Arial" w:ascii="Arial" w:hAnsi="Arial"/>
          <w:sz w:val="16"/>
        </w:rPr>
        <w:t>(b) REMOTENESS BY REASON OF ACTION BY OTHER BROKER</w:t>
      </w:r>
    </w:p>
    <w:p>
      <w:pPr>
        <w:pStyle w:val="Normal"/>
        <w:spacing w:lineRule="exact" w:line="18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8"/>
        <w:ind w:firstLine="196" w:left="120" w:right="-5"/>
        <w:jc w:val="both"/>
        <w:rPr>
          <w:rFonts w:ascii="Arial" w:hAnsi="Arial" w:eastAsia="Arial" w:cs="Arial"/>
          <w:sz w:val="18"/>
        </w:rPr>
      </w:pPr>
      <w:r>
        <w:rPr>
          <w:rFonts w:eastAsia="Arial" w:cs="Arial" w:ascii="Arial" w:hAnsi="Arial"/>
          <w:sz w:val="18"/>
        </w:rPr>
        <w:t>There is, of course, no such relationship between rival bro as exists between the employer and the broker, and consequ</w:t>
      </w:r>
    </w:p>
    <w:p>
      <w:pPr>
        <w:pStyle w:val="Normal"/>
        <w:spacing w:lineRule="atLeast" w:line="0"/>
        <w:ind w:left="120" w:right="0"/>
        <w:rPr>
          <w:rFonts w:ascii="Arial" w:hAnsi="Arial" w:eastAsia="Arial" w:cs="Arial"/>
          <w:sz w:val="18"/>
        </w:rPr>
      </w:pPr>
      <w:r>
        <w:rPr>
          <w:rFonts w:eastAsia="Arial" w:cs="Arial" w:ascii="Arial" w:hAnsi="Arial"/>
          <w:sz w:val="18"/>
        </w:rPr>
        <w:t>there arise in the former case no such rights to, and dutie</w:t>
      </w:r>
    </w:p>
    <w:p>
      <w:pPr>
        <w:pStyle w:val="Normal"/>
        <w:spacing w:lineRule="exact" w:line="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8"/>
        <w:ind w:firstLine="4" w:left="100" w:right="14"/>
        <w:jc w:val="both"/>
        <w:rPr/>
      </w:pPr>
      <w:r>
        <w:rPr>
          <w:rFonts w:eastAsia="Arial" w:cs="Arial" w:ascii="Arial" w:hAnsi="Arial"/>
          <w:sz w:val="18"/>
        </w:rPr>
        <w:t xml:space="preserve">non-interference as in the latter. In the absence of express </w:t>
      </w:r>
      <w:r>
        <w:rPr>
          <w:rFonts w:eastAsia="Arial" w:cs="Arial" w:ascii="Arial" w:hAnsi="Arial"/>
          <w:sz w:val="17"/>
        </w:rPr>
        <w:t>vision in the contract of employment of the plaintiff broke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00" w:right="0"/>
        <w:rPr>
          <w:rFonts w:ascii="Arial" w:hAnsi="Arial" w:eastAsia="Arial" w:cs="Arial"/>
          <w:sz w:val="16"/>
        </w:rPr>
      </w:pPr>
      <w:r>
        <w:rPr>
          <w:rFonts w:eastAsia="Arial" w:cs="Arial" w:ascii="Arial" w:hAnsi="Arial"/>
          <w:sz w:val="16"/>
        </w:rPr>
        <w:t>titling him to a commission by whomsoever the transfer of int</w:t>
      </w:r>
    </w:p>
    <w:p>
      <w:pPr>
        <w:pStyle w:val="Normal"/>
        <w:spacing w:lineRule="exact" w:line="8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100" w:right="0"/>
        <w:rPr>
          <w:rFonts w:ascii="Arial" w:hAnsi="Arial" w:eastAsia="Arial" w:cs="Arial"/>
          <w:sz w:val="18"/>
        </w:rPr>
      </w:pPr>
      <w:r>
        <w:rPr>
          <w:rFonts w:eastAsia="Arial" w:cs="Arial" w:ascii="Arial" w:hAnsi="Arial"/>
          <w:sz w:val="18"/>
        </w:rPr>
        <w:t>est is brought about,5' or giving him the exclusive agency,</w:t>
      </w:r>
    </w:p>
    <w:p>
      <w:pPr>
        <w:pStyle w:val="Normal"/>
        <w:spacing w:lineRule="exact" w:line="4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6"/>
        <w:ind w:hanging="4" w:left="100" w:right="-5"/>
        <w:jc w:val="both"/>
        <w:rPr>
          <w:rFonts w:ascii="Arial" w:hAnsi="Arial" w:eastAsia="Arial" w:cs="Arial"/>
          <w:sz w:val="18"/>
        </w:rPr>
      </w:pPr>
      <w:r>
        <w:rPr>
          <w:rFonts w:eastAsia="Arial" w:cs="Arial" w:ascii="Arial" w:hAnsi="Arial"/>
          <w:sz w:val="18"/>
        </w:rPr>
        <w:t>becomes therefore (with the exception hereafter referred simply a question of fact whether or not the causal relatio</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5"/>
        <w:ind w:firstLine="4" w:left="100" w:right="-5"/>
        <w:jc w:val="both"/>
        <w:rPr>
          <w:rFonts w:ascii="Arial" w:hAnsi="Arial" w:eastAsia="Arial" w:cs="Arial"/>
          <w:sz w:val="18"/>
        </w:rPr>
      </w:pPr>
      <w:r>
        <w:rPr>
          <w:rFonts w:eastAsia="Arial" w:cs="Arial" w:ascii="Arial" w:hAnsi="Arial"/>
          <w:sz w:val="18"/>
        </w:rPr>
        <w:t>tween the efforts of the plaintiff broker and the benefit t employer is remote as against the causal relation between th</w:t>
      </w:r>
    </w:p>
    <w:p>
      <w:pPr>
        <w:pStyle w:val="Normal"/>
        <w:spacing w:lineRule="atLeast" w:line="0"/>
        <w:ind w:left="120" w:right="0"/>
        <w:rPr>
          <w:rFonts w:ascii="Arial" w:hAnsi="Arial" w:eastAsia="Arial" w:cs="Arial"/>
          <w:sz w:val="18"/>
        </w:rPr>
      </w:pPr>
      <w:r>
        <w:rPr>
          <w:rFonts w:eastAsia="Arial" w:cs="Arial" w:ascii="Arial" w:hAnsi="Arial"/>
          <w:sz w:val="18"/>
        </w:rPr>
        <w:t>forts of the rival broker and such benefit.53 The exceptio</w:t>
      </w:r>
    </w:p>
    <w:p>
      <w:pPr>
        <w:pStyle w:val="Normal"/>
        <w:spacing w:lineRule="exact" w:line="2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0" w:right="0"/>
        <w:rPr>
          <w:rFonts w:ascii="Arial" w:hAnsi="Arial" w:eastAsia="Arial" w:cs="Arial"/>
          <w:sz w:val="15"/>
        </w:rPr>
      </w:pPr>
      <w:r>
        <w:rPr>
          <w:rFonts w:eastAsia="Arial" w:cs="Arial" w:ascii="Arial" w:hAnsi="Arial"/>
          <w:sz w:val="15"/>
        </w:rPr>
        <w:t>48 "In the first case the broker's duty is fulfilled and his commis</w:t>
      </w:r>
    </w:p>
    <w:p>
      <w:pPr>
        <w:pStyle w:val="Normal"/>
        <w:spacing w:lineRule="exact" w:line="4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83"/>
        <w:ind w:firstLine="9" w:left="80" w:right="-5"/>
        <w:jc w:val="both"/>
        <w:rPr/>
      </w:pPr>
      <w:r>
        <w:rPr>
          <w:rFonts w:eastAsia="Arial" w:cs="Arial" w:ascii="Arial" w:hAnsi="Arial"/>
          <w:sz w:val="16"/>
        </w:rPr>
        <w:t xml:space="preserve">are earned when he produces a customer, ready, willing and able to </w:t>
      </w:r>
      <w:r>
        <w:rPr>
          <w:rFonts w:eastAsia="Arial" w:cs="Arial" w:ascii="Arial" w:hAnsi="Arial"/>
          <w:sz w:val="15"/>
        </w:rPr>
        <w:t>ply with all the terms fixed by the former. * * * In the second cas broker's commissions are not earned until the customer produced b</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80" w:right="0"/>
        <w:rPr>
          <w:rFonts w:ascii="Arial" w:hAnsi="Arial" w:eastAsia="Arial" w:cs="Arial"/>
          <w:sz w:val="15"/>
        </w:rPr>
      </w:pPr>
      <w:r>
        <w:rPr>
          <w:rFonts w:eastAsia="Arial" w:cs="Arial" w:ascii="Arial" w:hAnsi="Arial"/>
          <w:sz w:val="15"/>
        </w:rPr>
        <w:t>reaches an agreement with the owner upon the price and terms upon</w:t>
      </w:r>
    </w:p>
    <w:p>
      <w:pPr>
        <w:pStyle w:val="Normal"/>
        <w:spacing w:lineRule="exact" w:line="3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80" w:right="0"/>
        <w:rPr>
          <w:rFonts w:ascii="Arial" w:hAnsi="Arial" w:eastAsia="Arial" w:cs="Arial"/>
          <w:sz w:val="16"/>
        </w:rPr>
      </w:pPr>
      <w:r>
        <w:rPr>
          <w:rFonts w:eastAsia="Arial" w:cs="Arial" w:ascii="Arial" w:hAnsi="Arial"/>
          <w:sz w:val="16"/>
        </w:rPr>
        <w:t>a sale can be made." Arnold v. Schmeidler, 144 A. D., 420; Brundi</w:t>
      </w:r>
    </w:p>
    <w:p>
      <w:pPr>
        <w:pStyle w:val="Normal"/>
        <w:spacing w:lineRule="exact" w:line="1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 w:right="0"/>
        <w:rPr>
          <w:rFonts w:ascii="Arial" w:hAnsi="Arial" w:eastAsia="Arial" w:cs="Arial"/>
          <w:sz w:val="16"/>
        </w:rPr>
      </w:pPr>
      <w:r>
        <w:rPr>
          <w:rFonts w:eastAsia="Arial" w:cs="Arial" w:ascii="Arial" w:hAnsi="Arial"/>
          <w:sz w:val="16"/>
        </w:rPr>
        <w:t>McCormick, 69 Hun, 65; Wyckoff v. Bliss, 12 Daly, 324, 328.</w:t>
      </w:r>
    </w:p>
    <w:p>
      <w:pPr>
        <w:pStyle w:val="Normal"/>
        <w:spacing w:lineRule="exact" w:line="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80" w:right="0"/>
        <w:rPr>
          <w:rFonts w:ascii="Arial" w:hAnsi="Arial" w:eastAsia="Arial" w:cs="Arial"/>
          <w:sz w:val="16"/>
        </w:rPr>
      </w:pPr>
      <w:r>
        <w:rPr>
          <w:rFonts w:eastAsia="Arial" w:cs="Arial" w:ascii="Arial" w:hAnsi="Arial"/>
          <w:sz w:val="16"/>
        </w:rPr>
        <w:t>49 Goodwin v. Brennecke, 21 A. D., 138; Michaelis v. Gahren, 9 A</w:t>
      </w:r>
    </w:p>
    <w:p>
      <w:pPr>
        <w:pStyle w:val="Normal"/>
        <w:spacing w:lineRule="atLeast" w:line="0"/>
        <w:ind w:left="20" w:right="0"/>
        <w:rPr>
          <w:rFonts w:ascii="Arial" w:hAnsi="Arial" w:eastAsia="Arial" w:cs="Arial"/>
          <w:sz w:val="14"/>
        </w:rPr>
      </w:pPr>
      <w:r>
        <w:rPr>
          <w:rFonts w:eastAsia="Arial" w:cs="Arial" w:ascii="Arial" w:hAnsi="Arial"/>
          <w:sz w:val="14"/>
        </w:rPr>
        <w:t>495.</w:t>
      </w:r>
    </w:p>
    <w:p>
      <w:pPr>
        <w:pStyle w:val="Normal"/>
        <w:spacing w:lineRule="exact" w:line="8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left="360" w:right="0"/>
        <w:rPr>
          <w:rFonts w:ascii="Arial" w:hAnsi="Arial" w:eastAsia="Arial" w:cs="Arial"/>
          <w:sz w:val="16"/>
        </w:rPr>
      </w:pPr>
      <w:r>
        <w:rPr>
          <w:rFonts w:eastAsia="Arial" w:cs="Arial" w:ascii="Arial" w:hAnsi="Arial"/>
          <w:sz w:val="16"/>
        </w:rPr>
        <w:t>50 Moore v. Boehm, 45 Misc., 622; Donovan v. Weed, 182 N. Y., 43;</w:t>
      </w:r>
    </w:p>
    <w:p>
      <w:pPr>
        <w:pStyle w:val="Normal"/>
        <w:spacing w:lineRule="exact" w:line="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Parvin v. Abels-Gold Realty Co., 110 N. Y. Supp., 582.</w:t>
      </w:r>
    </w:p>
    <w:p>
      <w:pPr>
        <w:pStyle w:val="Normal"/>
        <w:spacing w:lineRule="exact" w:line="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60" w:right="0"/>
        <w:rPr>
          <w:rFonts w:ascii="Arial" w:hAnsi="Arial" w:eastAsia="Arial" w:cs="Arial"/>
          <w:sz w:val="16"/>
        </w:rPr>
      </w:pPr>
      <w:r>
        <w:rPr>
          <w:rFonts w:eastAsia="Arial" w:cs="Arial" w:ascii="Arial" w:hAnsi="Arial"/>
          <w:sz w:val="16"/>
        </w:rPr>
        <w:t>61 See Davis v. Van Tassel, 107 N. Y. Supp., 910.</w:t>
      </w:r>
    </w:p>
    <w:p>
      <w:pPr>
        <w:pStyle w:val="Normal"/>
        <w:spacing w:lineRule="exact" w:line="1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60" w:right="0"/>
        <w:rPr>
          <w:rFonts w:ascii="Arial" w:hAnsi="Arial" w:eastAsia="Arial" w:cs="Arial"/>
          <w:sz w:val="16"/>
        </w:rPr>
      </w:pPr>
      <w:r>
        <w:rPr>
          <w:rFonts w:eastAsia="Arial" w:cs="Arial" w:ascii="Arial" w:hAnsi="Arial"/>
          <w:sz w:val="16"/>
        </w:rPr>
        <w:t>52 See Johnson v. Lord, 35 A. D., 325; Powell v. Anderson, 15 Daly,</w:t>
      </w:r>
    </w:p>
    <w:p>
      <w:pPr>
        <w:pStyle w:val="Normal"/>
        <w:spacing w:lineRule="atLeast" w:line="0"/>
        <w:rPr>
          <w:rFonts w:ascii="Arial" w:hAnsi="Arial" w:eastAsia="Arial" w:cs="Arial"/>
          <w:sz w:val="13"/>
        </w:rPr>
      </w:pPr>
      <w:r>
        <w:rPr>
          <w:rFonts w:eastAsia="Arial" w:cs="Arial" w:ascii="Arial" w:hAnsi="Arial"/>
          <w:sz w:val="13"/>
        </w:rPr>
        <w:t>219.</w:t>
      </w:r>
    </w:p>
    <w:p>
      <w:pPr>
        <w:pStyle w:val="Normal"/>
        <w:spacing w:lineRule="exact" w:line="92"/>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firstLine="336" w:left="20" w:right="1374"/>
        <w:jc w:val="both"/>
        <w:rPr/>
      </w:pPr>
      <w:r>
        <w:rPr>
          <w:rFonts w:eastAsia="Arial" w:cs="Arial" w:ascii="Arial" w:hAnsi="Arial"/>
          <w:sz w:val="16"/>
        </w:rPr>
        <w:t xml:space="preserve">53Smith v. McGovern, 65 N. Y., 574; Sussdorf v. Schmidt, 55 N. Y., </w:t>
      </w:r>
      <w:r>
        <w:rPr>
          <w:rFonts w:eastAsia="Arial" w:cs="Arial" w:ascii="Arial" w:hAnsi="Arial"/>
          <w:sz w:val="15"/>
        </w:rPr>
        <w:t>319; Shapiro v. Shapiro, 117 A. D., 817; Metcalfe v. Gordon, 86 A. D., 368;</w:t>
      </w:r>
    </w:p>
    <w:p>
      <w:pPr>
        <w:sectPr>
          <w:type w:val="nextPage"/>
          <w:pgSz w:w="7700" w:h="12869"/>
          <w:pgMar w:left="980" w:right="0" w:gutter="0" w:header="0" w:top="82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99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99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980" w:right="0" w:gutter="0" w:header="0" w:top="823"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8">
            <wp:simplePos x="0" y="0"/>
            <wp:positionH relativeFrom="page">
              <wp:posOffset>0</wp:posOffset>
            </wp:positionH>
            <wp:positionV relativeFrom="page">
              <wp:posOffset>0</wp:posOffset>
            </wp:positionV>
            <wp:extent cx="4885690" cy="8025130"/>
            <wp:effectExtent l="0" t="0" r="0" b="0"/>
            <wp:wrapNone/>
            <wp:docPr id="17"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 descr=""/>
                    <pic:cNvPicPr>
                      <a:picLocks noChangeAspect="1" noChangeArrowheads="1"/>
                    </pic:cNvPicPr>
                  </pic:nvPicPr>
                  <pic:blipFill>
                    <a:blip r:embed="rId16"/>
                    <a:srcRect l="-4" t="-2" r="-4" b="-2"/>
                    <a:stretch>
                      <a:fillRect/>
                    </a:stretch>
                  </pic:blipFill>
                  <pic:spPr bwMode="auto">
                    <a:xfrm>
                      <a:off x="0" y="0"/>
                      <a:ext cx="4885690" cy="8025130"/>
                    </a:xfrm>
                    <a:prstGeom prst="rect">
                      <a:avLst/>
                    </a:prstGeom>
                  </pic:spPr>
                </pic:pic>
              </a:graphicData>
            </a:graphic>
          </wp:anchor>
        </w:drawing>
      </w:r>
      <w:bookmarkStart w:id="28" w:name="page15"/>
      <w:bookmarkStart w:id="29" w:name="page15"/>
      <w:bookmarkEnd w:id="29"/>
    </w:p>
    <w:p>
      <w:pPr>
        <w:pStyle w:val="Normal"/>
        <w:tabs>
          <w:tab w:val="clear" w:pos="720"/>
          <w:tab w:val="left" w:pos="1760" w:leader="none"/>
        </w:tabs>
        <w:spacing w:lineRule="atLeast" w:line="0"/>
        <w:ind w:left="40" w:right="0"/>
        <w:rPr/>
      </w:pPr>
      <w:r>
        <w:rPr>
          <w:rFonts w:eastAsia="Arial" w:cs="Arial" w:ascii="Arial" w:hAnsi="Arial"/>
          <w:sz w:val="30"/>
          <w:vertAlign w:val="subscript"/>
        </w:rPr>
        <w:t>352</w:t>
      </w:r>
      <w:r>
        <w:rPr>
          <w:rFonts w:eastAsia="Times New Roman" w:cs="Times New Roman" w:ascii="Times New Roman" w:hAnsi="Times New Roman"/>
        </w:rPr>
        <w:tab/>
      </w:r>
      <w:r>
        <w:rPr>
          <w:rFonts w:eastAsia="Arial" w:cs="Arial" w:ascii="Arial" w:hAnsi="Arial"/>
          <w:sz w:val="15"/>
        </w:rPr>
        <w:t>YALE LAW JOURNAL</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0" w:right="0"/>
        <w:rPr>
          <w:rFonts w:ascii="Arial" w:hAnsi="Arial" w:eastAsia="Arial" w:cs="Arial"/>
          <w:sz w:val="18"/>
        </w:rPr>
      </w:pPr>
      <w:r>
        <w:rPr>
          <w:rFonts w:eastAsia="Arial" w:cs="Arial" w:ascii="Arial" w:hAnsi="Arial"/>
          <w:sz w:val="18"/>
        </w:rPr>
        <w:t>that if it appears that the facts as proved favor the</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7"/>
        <w:ind w:hanging="4" w:left="80" w:right="-5"/>
        <w:rPr>
          <w:rFonts w:ascii="Arial" w:hAnsi="Arial" w:eastAsia="Arial" w:cs="Arial"/>
          <w:sz w:val="18"/>
        </w:rPr>
      </w:pPr>
      <w:r>
        <w:rPr>
          <w:rFonts w:eastAsia="Arial" w:cs="Arial" w:ascii="Arial" w:hAnsi="Arial"/>
          <w:sz w:val="18"/>
        </w:rPr>
        <w:t>because of action by the employer, through the me rival broker, of such a nature as to amount to an in</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6"/>
        </w:rPr>
      </w:pPr>
      <w:r>
        <w:rPr>
          <w:rFonts w:eastAsia="Arial" w:cs="Arial" w:ascii="Arial" w:hAnsi="Arial"/>
          <w:sz w:val="16"/>
        </w:rPr>
        <w:t>tion of the employer's duty of non-interference with th</w:t>
      </w:r>
    </w:p>
    <w:p>
      <w:pPr>
        <w:pStyle w:val="Normal"/>
        <w:spacing w:lineRule="exact" w:line="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80" w:right="0"/>
        <w:rPr>
          <w:rFonts w:ascii="Arial" w:hAnsi="Arial" w:eastAsia="Arial" w:cs="Arial"/>
          <w:sz w:val="18"/>
        </w:rPr>
      </w:pPr>
      <w:r>
        <w:rPr>
          <w:rFonts w:eastAsia="Arial" w:cs="Arial" w:ascii="Arial" w:hAnsi="Arial"/>
          <w:sz w:val="18"/>
        </w:rPr>
        <w:t>broker's customer, the plaintiff broker's claim will</w:t>
      </w:r>
    </w:p>
    <w:p>
      <w:pPr>
        <w:pStyle w:val="Normal"/>
        <w:spacing w:lineRule="exact" w:line="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6"/>
        </w:rPr>
      </w:pPr>
      <w:r>
        <w:rPr>
          <w:rFonts w:eastAsia="Arial" w:cs="Arial" w:ascii="Arial" w:hAnsi="Arial"/>
          <w:sz w:val="16"/>
        </w:rPr>
        <w:t>feated.54</w:t>
      </w:r>
    </w:p>
    <w:p>
      <w:pPr>
        <w:pStyle w:val="Normal"/>
        <w:spacing w:lineRule="exact" w:line="8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40" w:right="0"/>
        <w:rPr>
          <w:rFonts w:ascii="Arial" w:hAnsi="Arial" w:eastAsia="Arial" w:cs="Arial"/>
          <w:sz w:val="19"/>
        </w:rPr>
      </w:pPr>
      <w:r>
        <w:rPr>
          <w:rFonts w:eastAsia="Arial" w:cs="Arial" w:ascii="Arial" w:hAnsi="Arial"/>
          <w:sz w:val="19"/>
        </w:rPr>
        <w:t>It is part of the broker's risk that other brokers may avail</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40" w:right="0"/>
        <w:rPr>
          <w:rFonts w:ascii="Arial" w:hAnsi="Arial" w:eastAsia="Arial" w:cs="Arial"/>
          <w:sz w:val="17"/>
        </w:rPr>
      </w:pPr>
      <w:r>
        <w:rPr>
          <w:rFonts w:eastAsia="Arial" w:cs="Arial" w:ascii="Arial" w:hAnsi="Arial"/>
          <w:sz w:val="17"/>
        </w:rPr>
        <w:t>themselves to some extent of his labors.55 Thus, remoteness is</w:t>
      </w:r>
    </w:p>
    <w:p>
      <w:pPr>
        <w:pStyle w:val="Normal"/>
        <w:spacing w:lineRule="exact" w:line="9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04"/>
        <w:ind w:firstLine="3" w:left="20" w:right="1314"/>
        <w:rPr/>
      </w:pPr>
      <w:r>
        <w:rPr>
          <w:rFonts w:eastAsia="Arial" w:cs="Arial" w:ascii="Arial" w:hAnsi="Arial"/>
          <w:sz w:val="17"/>
        </w:rPr>
        <w:t>established as against the plaintiff broker by proof that while his efforts to interest a customer were still unsuccessful, or after the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6"/>
        </w:rPr>
      </w:pPr>
      <w:r>
        <w:rPr>
          <w:rFonts w:eastAsia="Arial" w:cs="Arial" w:ascii="Arial" w:hAnsi="Arial"/>
          <w:sz w:val="16"/>
        </w:rPr>
        <w:t>customer's refusal to accept his offices,56 some other broker, profit-</w:t>
      </w:r>
    </w:p>
    <w:p>
      <w:pPr>
        <w:pStyle w:val="Normal"/>
        <w:spacing w:lineRule="exact" w:line="6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7"/>
        </w:rPr>
      </w:pPr>
      <w:r>
        <w:rPr>
          <w:rFonts w:eastAsia="Arial" w:cs="Arial" w:ascii="Arial" w:hAnsi="Arial"/>
          <w:sz w:val="17"/>
        </w:rPr>
        <w:t>ing by the ground-work already laid by the plaintiff broker, but</w:t>
      </w:r>
    </w:p>
    <w:p>
      <w:pPr>
        <w:pStyle w:val="Normal"/>
        <w:spacing w:lineRule="exact" w:line="4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8"/>
        </w:rPr>
      </w:pPr>
      <w:r>
        <w:rPr>
          <w:rFonts w:eastAsia="Arial" w:cs="Arial" w:ascii="Arial" w:hAnsi="Arial"/>
          <w:sz w:val="18"/>
        </w:rPr>
        <w:t>without fraud or bad faith, succeeded in inducing the same cus-</w:t>
      </w:r>
    </w:p>
    <w:p>
      <w:pPr>
        <w:pStyle w:val="Normal"/>
        <w:spacing w:lineRule="exact" w:line="5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tomer to complete the transaction or to enter into a final and bind-</w:t>
      </w:r>
    </w:p>
    <w:p>
      <w:pPr>
        <w:pStyle w:val="Normal"/>
        <w:spacing w:lineRule="exact" w:line="6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7"/>
        </w:rPr>
      </w:pPr>
      <w:r>
        <w:rPr>
          <w:rFonts w:eastAsia="Arial" w:cs="Arial" w:ascii="Arial" w:hAnsi="Arial"/>
          <w:sz w:val="17"/>
        </w:rPr>
        <w:t>ing contract therefor, upon terms no more advantageeous or even</w:t>
      </w:r>
    </w:p>
    <w:p>
      <w:pPr>
        <w:pStyle w:val="Normal"/>
        <w:spacing w:lineRule="exact" w:line="4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20" w:right="0"/>
        <w:rPr>
          <w:rFonts w:ascii="Arial" w:hAnsi="Arial" w:eastAsia="Arial" w:cs="Arial"/>
          <w:sz w:val="18"/>
        </w:rPr>
      </w:pPr>
      <w:r>
        <w:rPr>
          <w:rFonts w:eastAsia="Arial" w:cs="Arial" w:ascii="Arial" w:hAnsi="Arial"/>
          <w:sz w:val="18"/>
        </w:rPr>
        <w:t>less advantageous57 to the employer than those unsuccessfully</w:t>
      </w:r>
    </w:p>
    <w:p>
      <w:pPr>
        <w:pStyle w:val="Normal"/>
        <w:spacing w:lineRule="exact" w:line="6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proposed by the plaintiff broker.58</w:t>
      </w:r>
    </w:p>
    <w:p>
      <w:pPr>
        <w:pStyle w:val="Normal"/>
        <w:spacing w:lineRule="exact" w:line="22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Bellesheim v. Palm, 54 A. D., 77 (remoteness not overcome by proof of</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hanging="1" w:left="20" w:right="1374"/>
        <w:rPr>
          <w:rFonts w:ascii="Arial" w:hAnsi="Arial" w:eastAsia="Arial" w:cs="Arial"/>
          <w:sz w:val="16"/>
        </w:rPr>
      </w:pPr>
      <w:r>
        <w:rPr>
          <w:rFonts w:eastAsia="Arial" w:cs="Arial" w:ascii="Arial" w:hAnsi="Arial"/>
          <w:sz w:val="16"/>
        </w:rPr>
        <w:t>subsequent express promise to pay commissions); Goldstein v. Waters, 15 Daly, 397 (undisclosed customer); Gillen v. Wise, 14 Daly, 480; Feld-</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man v. O'Brien, 23 Misc., 341; Maracella v. O'Dell, 3 Daly, 123; Klinck v.</w:t>
      </w:r>
    </w:p>
    <w:p>
      <w:pPr>
        <w:pStyle w:val="Normal"/>
        <w:spacing w:lineRule="exact" w:line="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Burrows, 6 N. Y. State Rep., 715.</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6"/>
        </w:rPr>
      </w:pPr>
      <w:r>
        <w:rPr>
          <w:rFonts w:eastAsia="Arial" w:cs="Arial" w:ascii="Arial" w:hAnsi="Arial"/>
          <w:sz w:val="16"/>
        </w:rPr>
        <w:t>64 See cases cited post in notes 61 and 62.</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ind w:firstLine="326" w:right="1334"/>
        <w:jc w:val="both"/>
        <w:rPr>
          <w:rFonts w:ascii="Arial" w:hAnsi="Arial" w:eastAsia="Arial" w:cs="Arial"/>
          <w:sz w:val="16"/>
        </w:rPr>
      </w:pPr>
      <w:r>
        <w:rPr>
          <w:rFonts w:eastAsia="Arial" w:cs="Arial" w:ascii="Arial" w:hAnsi="Arial"/>
          <w:sz w:val="16"/>
        </w:rPr>
        <w:t>55 Donovan v. Weed, 182 N. Y., 43; Jenkins v. Mahoney, 142 A. D., 653; Cole v. Kosch, 116 A. D., 715; Hamilton v. Gillender, 26 A. D., 156;</w:t>
      </w:r>
    </w:p>
    <w:p>
      <w:pPr>
        <w:pStyle w:val="Normal"/>
        <w:spacing w:lineRule="auto" w:line="273"/>
        <w:ind w:hanging="3" w:right="1334"/>
        <w:rPr/>
      </w:pPr>
      <w:r>
        <w:rPr>
          <w:rFonts w:eastAsia="Arial" w:cs="Arial" w:ascii="Arial" w:hAnsi="Arial"/>
          <w:sz w:val="16"/>
        </w:rPr>
        <w:t xml:space="preserve">De Zavala v. Rogaliner, 45 Misc., 430. A broker may, of course, employ a </w:t>
      </w:r>
      <w:r>
        <w:rPr>
          <w:rFonts w:eastAsia="Arial" w:cs="Arial" w:ascii="Arial" w:hAnsi="Arial"/>
          <w:sz w:val="15"/>
        </w:rPr>
        <w:t>second broker as his agent, irt which case, if the agent broker causes the</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5"/>
        </w:rPr>
      </w:pPr>
      <w:r>
        <w:rPr>
          <w:rFonts w:eastAsia="Arial" w:cs="Arial" w:ascii="Arial" w:hAnsi="Arial"/>
          <w:sz w:val="15"/>
        </w:rPr>
        <w:t>benefit to the employer, the principal broker becomes entitled to his agreed</w:t>
      </w:r>
    </w:p>
    <w:p>
      <w:pPr>
        <w:pStyle w:val="Normal"/>
        <w:spacing w:lineRule="exact" w:line="1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8"/>
        <w:ind w:firstLine="7" w:right="1354"/>
        <w:rPr>
          <w:rFonts w:ascii="Arial" w:hAnsi="Arial" w:eastAsia="Arial" w:cs="Arial"/>
          <w:sz w:val="16"/>
        </w:rPr>
      </w:pPr>
      <w:r>
        <w:rPr>
          <w:rFonts w:eastAsia="Arial" w:cs="Arial" w:ascii="Arial" w:hAnsi="Arial"/>
          <w:sz w:val="16"/>
        </w:rPr>
        <w:t>share of the commission. Kohn v. Jacobs, 4 Misc., 265. But payment to the agent broker discharges the employer. Goldenberg v. Spargo, 134 A.</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D., 626.</w:t>
      </w:r>
    </w:p>
    <w:p>
      <w:pPr>
        <w:pStyle w:val="Normal"/>
        <w:spacing w:lineRule="exact" w:line="1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40" w:right="0"/>
        <w:rPr>
          <w:rFonts w:ascii="Arial" w:hAnsi="Arial" w:eastAsia="Arial" w:cs="Arial"/>
          <w:sz w:val="16"/>
        </w:rPr>
      </w:pPr>
      <w:r>
        <w:rPr>
          <w:rFonts w:eastAsia="Arial" w:cs="Arial" w:ascii="Arial" w:hAnsi="Arial"/>
          <w:sz w:val="16"/>
        </w:rPr>
        <w:t>56Haase v. Ullman, 148 A. D., 40; Hendricks v. Daniels, 19 N. Y.</w:t>
      </w:r>
    </w:p>
    <w:p>
      <w:pPr>
        <w:pStyle w:val="Normal"/>
        <w:spacing w:lineRule="exact" w:line="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Supp., 414.</w:t>
      </w:r>
    </w:p>
    <w:p>
      <w:pPr>
        <w:pStyle w:val="Normal"/>
        <w:spacing w:lineRule="exact" w:line="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Arial" w:hAnsi="Arial" w:eastAsia="Arial" w:cs="Arial"/>
          <w:sz w:val="17"/>
        </w:rPr>
      </w:pPr>
      <w:r>
        <w:rPr>
          <w:rFonts w:eastAsia="Arial" w:cs="Arial" w:ascii="Arial" w:hAnsi="Arial"/>
          <w:sz w:val="17"/>
        </w:rPr>
        <w:t>57Baker v. Thomas, 12 Misc., 432; Hendricks v. Daniels, 19 N. Y.</w:t>
      </w:r>
    </w:p>
    <w:p>
      <w:pPr>
        <w:pStyle w:val="Normal"/>
        <w:spacing w:lineRule="exact" w:line="3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5"/>
        </w:rPr>
      </w:pPr>
      <w:r>
        <w:rPr>
          <w:rFonts w:eastAsia="Arial" w:cs="Arial" w:ascii="Arial" w:hAnsi="Arial"/>
          <w:sz w:val="15"/>
        </w:rPr>
        <w:t>Supp., 414.</w:t>
      </w:r>
    </w:p>
    <w:p>
      <w:pPr>
        <w:pStyle w:val="Normal"/>
        <w:spacing w:lineRule="exact" w:line="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68"/>
        <w:ind w:firstLine="326" w:right="1314"/>
        <w:rPr>
          <w:rFonts w:ascii="Arial" w:hAnsi="Arial" w:eastAsia="Arial" w:cs="Arial"/>
          <w:sz w:val="16"/>
        </w:rPr>
      </w:pPr>
      <w:r>
        <w:rPr>
          <w:rFonts w:eastAsia="Arial" w:cs="Arial" w:ascii="Arial" w:hAnsi="Arial"/>
          <w:sz w:val="16"/>
        </w:rPr>
        <w:t>58 See cases cited ante in note 55; also: Wylie v. Marine Natl Bank, 61 N. Y., 415; Donovan v. Weed, 182 N. Y., 43; Alden v. Earle, 4 N. Y. Supp., 548, aff'd 121 N. Y., 688 (lease); May Co. v. Holland Holding Co.,</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156 A. D., 162; Sutphen v. United States Trust Co., 142 A. D., 8223 (lease);</w:t>
      </w:r>
    </w:p>
    <w:p>
      <w:pPr>
        <w:pStyle w:val="Normal"/>
        <w:spacing w:lineRule="exact" w:line="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4"/>
        <w:ind w:hanging="1" w:right="1314"/>
        <w:jc w:val="both"/>
        <w:rPr>
          <w:rFonts w:ascii="Arial" w:hAnsi="Arial" w:eastAsia="Arial" w:cs="Arial"/>
          <w:sz w:val="17"/>
        </w:rPr>
      </w:pPr>
      <w:r>
        <w:rPr>
          <w:rFonts w:eastAsia="Arial" w:cs="Arial" w:ascii="Arial" w:hAnsi="Arial"/>
          <w:sz w:val="17"/>
        </w:rPr>
        <w:t>Rae Company v. Kane, 121 A. D., 494; Cole v. Kosch, 116 A. D., 715; Sampson v. Ottinger, 93 A. D., 226; Douglas v. Halsted, 81 Hun, 65;</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Freedman v. Havemeyer, 37 A. D., 518; Johnson v. Lord, 35 A. D., 325;</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8"/>
        </w:rPr>
      </w:pPr>
      <w:r>
        <w:rPr>
          <w:rFonts w:eastAsia="Arial" w:cs="Arial" w:ascii="Arial" w:hAnsi="Arial"/>
          <w:sz w:val="18"/>
        </w:rPr>
        <w:t>Dreyer v. Rauch, 42 How. Pr., 22; Ware v. Dos Passos, 4 A. D., 32;</w:t>
      </w:r>
    </w:p>
    <w:p>
      <w:pPr>
        <w:pStyle w:val="Normal"/>
        <w:spacing w:lineRule="auto" w:line="292"/>
        <w:ind w:hanging="13" w:left="20" w:right="1334"/>
        <w:rPr>
          <w:rFonts w:ascii="Arial" w:hAnsi="Arial" w:eastAsia="Arial" w:cs="Arial"/>
          <w:sz w:val="16"/>
        </w:rPr>
      </w:pPr>
      <w:r>
        <w:rPr>
          <w:rFonts w:eastAsia="Arial" w:cs="Arial" w:ascii="Arial" w:hAnsi="Arial"/>
          <w:sz w:val="16"/>
        </w:rPr>
        <w:t>Goldstein v. Walters, 15 Daly, 397; Freeman v. Polstein, 49 Misc., 644 (broker employed by purchaser); De Zavala v. Rogaliner, 45 Misc., 430,</w:t>
      </w:r>
    </w:p>
    <w:p>
      <w:pPr>
        <w:sectPr>
          <w:type w:val="nextPage"/>
          <w:pgSz w:w="7700" w:h="12869"/>
          <w:pgMar w:left="1020" w:right="0" w:gutter="0" w:header="0" w:top="64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3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3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20" w:right="0" w:gutter="0" w:header="0" w:top="648"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19">
            <wp:simplePos x="0" y="0"/>
            <wp:positionH relativeFrom="page">
              <wp:posOffset>0</wp:posOffset>
            </wp:positionH>
            <wp:positionV relativeFrom="page">
              <wp:posOffset>0</wp:posOffset>
            </wp:positionV>
            <wp:extent cx="4885690" cy="8025130"/>
            <wp:effectExtent l="0" t="0" r="0" b="0"/>
            <wp:wrapNone/>
            <wp:docPr id="18"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 descr=""/>
                    <pic:cNvPicPr>
                      <a:picLocks noChangeAspect="1" noChangeArrowheads="1"/>
                    </pic:cNvPicPr>
                  </pic:nvPicPr>
                  <pic:blipFill>
                    <a:blip r:embed="rId17"/>
                    <a:srcRect l="-4" t="-2" r="-4" b="-2"/>
                    <a:stretch>
                      <a:fillRect/>
                    </a:stretch>
                  </pic:blipFill>
                  <pic:spPr bwMode="auto">
                    <a:xfrm>
                      <a:off x="0" y="0"/>
                      <a:ext cx="4885690" cy="8025130"/>
                    </a:xfrm>
                    <a:prstGeom prst="rect">
                      <a:avLst/>
                    </a:prstGeom>
                  </pic:spPr>
                </pic:pic>
              </a:graphicData>
            </a:graphic>
          </wp:anchor>
        </w:drawing>
      </w:r>
      <w:bookmarkStart w:id="30" w:name="page16"/>
      <w:bookmarkStart w:id="31" w:name="page16"/>
      <w:bookmarkEnd w:id="31"/>
    </w:p>
    <w:p>
      <w:pPr>
        <w:pStyle w:val="Normal"/>
        <w:tabs>
          <w:tab w:val="clear" w:pos="720"/>
          <w:tab w:val="left" w:pos="5460" w:leader="none"/>
        </w:tabs>
        <w:spacing w:lineRule="atLeast" w:line="0"/>
        <w:ind w:left="820" w:right="0"/>
        <w:rPr/>
      </w:pPr>
      <w:r>
        <w:rPr>
          <w:rFonts w:eastAsia="Arial" w:cs="Arial" w:ascii="Arial" w:hAnsi="Arial"/>
          <w:sz w:val="16"/>
        </w:rPr>
        <w:t>REAL. ESTATE BROKER COMMISSIONS</w:t>
      </w:r>
      <w:r>
        <w:rPr>
          <w:rFonts w:eastAsia="Times New Roman" w:cs="Times New Roman" w:ascii="Times New Roman" w:hAnsi="Times New Roman"/>
        </w:rPr>
        <w:tab/>
      </w:r>
      <w:r>
        <w:rPr>
          <w:rFonts w:eastAsia="Arial" w:cs="Arial" w:ascii="Arial" w:hAnsi="Arial"/>
          <w:sz w:val="14"/>
        </w:rPr>
        <w:t>353</w:t>
      </w:r>
    </w:p>
    <w:p>
      <w:pPr>
        <w:pStyle w:val="Normal"/>
        <w:spacing w:lineRule="exact" w:line="25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302"/>
        <w:ind w:firstLine="187" w:left="80" w:right="-5"/>
        <w:rPr>
          <w:rFonts w:ascii="Arial" w:hAnsi="Arial" w:eastAsia="Arial" w:cs="Arial"/>
          <w:sz w:val="18"/>
        </w:rPr>
      </w:pPr>
      <w:r>
        <w:rPr>
          <w:rFonts w:eastAsia="Arial" w:cs="Arial" w:ascii="Arial" w:hAnsi="Arial"/>
          <w:sz w:val="18"/>
        </w:rPr>
        <w:t>Remoteness is not established, however, when it appea the employer, in the absence of a previous abandonmen</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6"/>
        </w:rPr>
      </w:pPr>
      <w:r>
        <w:rPr>
          <w:rFonts w:eastAsia="Arial" w:cs="Arial" w:ascii="Arial" w:hAnsi="Arial"/>
          <w:sz w:val="16"/>
        </w:rPr>
        <w:t>plaintiff broker, or bona fide termination b ythe employer</w:t>
      </w:r>
    </w:p>
    <w:p>
      <w:pPr>
        <w:pStyle w:val="Normal"/>
        <w:spacing w:lineRule="exact" w:line="6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95"/>
        <w:ind w:hanging="2" w:left="60" w:right="-5"/>
        <w:rPr/>
      </w:pPr>
      <w:r>
        <w:rPr>
          <w:rFonts w:eastAsia="Arial" w:cs="Arial" w:ascii="Arial" w:hAnsi="Arial"/>
          <w:sz w:val="17"/>
        </w:rPr>
        <w:t>plaintiff broker, or bona fide termination by the employ procured from a customer by the plaintiff broker, and t</w:t>
      </w:r>
    </w:p>
    <w:p>
      <w:pPr>
        <w:pStyle w:val="Normal"/>
        <w:spacing w:lineRule="atLeast" w:line="0"/>
        <w:ind w:left="80" w:right="0"/>
        <w:rPr>
          <w:rFonts w:ascii="Arial" w:hAnsi="Arial" w:eastAsia="Arial" w:cs="Arial"/>
          <w:sz w:val="19"/>
        </w:rPr>
      </w:pPr>
      <w:r>
        <w:rPr>
          <w:rFonts w:eastAsia="Arial" w:cs="Arial" w:ascii="Arial" w:hAnsi="Arial"/>
          <w:sz w:val="19"/>
        </w:rPr>
        <w:t>accepted the same or perhaps a less advantageous pro</w:t>
      </w:r>
    </w:p>
    <w:p>
      <w:pPr>
        <w:pStyle w:val="Normal"/>
        <w:spacing w:lineRule="exact" w:line="5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left="60" w:right="0"/>
        <w:rPr>
          <w:rFonts w:ascii="Arial" w:hAnsi="Arial" w:eastAsia="Arial" w:cs="Arial"/>
          <w:sz w:val="16"/>
        </w:rPr>
      </w:pPr>
      <w:r>
        <w:rPr>
          <w:rFonts w:eastAsia="Arial" w:cs="Arial" w:ascii="Arial" w:hAnsi="Arial"/>
          <w:sz w:val="16"/>
        </w:rPr>
        <w:t>from the same customer when submitted by some other bro</w:t>
      </w:r>
    </w:p>
    <w:p>
      <w:pPr>
        <w:pStyle w:val="Normal"/>
        <w:spacing w:lineRule="exact" w:line="6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3"/>
        <w:ind w:hanging="1" w:left="60" w:right="-5"/>
        <w:rPr>
          <w:rFonts w:ascii="Arial" w:hAnsi="Arial" w:eastAsia="Arial" w:cs="Arial"/>
          <w:sz w:val="17"/>
        </w:rPr>
      </w:pPr>
      <w:r>
        <w:rPr>
          <w:rFonts w:eastAsia="Arial" w:cs="Arial" w:ascii="Arial" w:hAnsi="Arial"/>
          <w:sz w:val="17"/>
        </w:rPr>
        <w:t>unless the employer was induced by the misleading statem the plaintiff broker to believe that the proposition subm</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60" w:right="0"/>
        <w:rPr>
          <w:rFonts w:ascii="Arial" w:hAnsi="Arial" w:eastAsia="Arial" w:cs="Arial"/>
          <w:sz w:val="18"/>
        </w:rPr>
      </w:pPr>
      <w:r>
        <w:rPr>
          <w:rFonts w:eastAsia="Arial" w:cs="Arial" w:ascii="Arial" w:hAnsi="Arial"/>
          <w:sz w:val="18"/>
        </w:rPr>
        <w:t>the rival broker came from some customer other than</w:t>
      </w:r>
    </w:p>
    <w:p>
      <w:pPr>
        <w:pStyle w:val="Normal"/>
        <w:spacing w:lineRule="exact" w:line="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6"/>
        </w:rPr>
      </w:pPr>
      <w:r>
        <w:rPr>
          <w:rFonts w:eastAsia="Arial" w:cs="Arial" w:ascii="Arial" w:hAnsi="Arial"/>
          <w:sz w:val="16"/>
        </w:rPr>
        <w:t>tomer of the plaintiff broker.60</w:t>
      </w:r>
    </w:p>
    <w:p>
      <w:pPr>
        <w:pStyle w:val="Normal"/>
        <w:spacing w:lineRule="exact" w:line="14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600" w:right="0"/>
        <w:rPr>
          <w:rFonts w:ascii="Arial" w:hAnsi="Arial" w:eastAsia="Arial" w:cs="Arial"/>
          <w:sz w:val="16"/>
        </w:rPr>
      </w:pPr>
      <w:r>
        <w:rPr>
          <w:rFonts w:eastAsia="Arial" w:cs="Arial" w:ascii="Arial" w:hAnsi="Arial"/>
          <w:sz w:val="16"/>
        </w:rPr>
        <w:t>(c) REMOTENESS BY REASON OF ACTION BY CUSTOMER</w:t>
      </w:r>
    </w:p>
    <w:p>
      <w:pPr>
        <w:pStyle w:val="Normal"/>
        <w:spacing w:lineRule="exact" w:line="15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6"/>
        <w:ind w:firstLine="196" w:left="60" w:right="-5"/>
        <w:rPr>
          <w:rFonts w:ascii="Arial" w:hAnsi="Arial" w:eastAsia="Arial" w:cs="Arial"/>
          <w:sz w:val="18"/>
        </w:rPr>
      </w:pPr>
      <w:r>
        <w:rPr>
          <w:rFonts w:eastAsia="Arial" w:cs="Arial" w:ascii="Arial" w:hAnsi="Arial"/>
          <w:sz w:val="18"/>
        </w:rPr>
        <w:t>Remoteness is not necessarily established by proof th transfer of interest or the execution of the contract w</w:t>
      </w:r>
    </w:p>
    <w:p>
      <w:pPr>
        <w:pStyle w:val="Normal"/>
        <w:spacing w:lineRule="exact" w:line="1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made between the employer and some customer other t</w:t>
      </w:r>
    </w:p>
    <w:p>
      <w:pPr>
        <w:pStyle w:val="Normal"/>
        <w:spacing w:lineRule="exact" w:line="6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6"/>
        <w:ind w:hanging="6" w:left="60" w:right="-5"/>
        <w:rPr>
          <w:rFonts w:ascii="Arial" w:hAnsi="Arial" w:eastAsia="Arial" w:cs="Arial"/>
          <w:sz w:val="18"/>
        </w:rPr>
      </w:pPr>
      <w:r>
        <w:rPr>
          <w:rFonts w:eastAsia="Arial" w:cs="Arial" w:ascii="Arial" w:hAnsi="Arial"/>
          <w:sz w:val="18"/>
        </w:rPr>
        <w:t>broker's customer before the ultimate transfer or assign such interest or contract to the broker's customer. It is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60" w:right="0"/>
        <w:rPr>
          <w:rFonts w:ascii="Arial" w:hAnsi="Arial" w:eastAsia="Arial" w:cs="Arial"/>
          <w:sz w:val="18"/>
        </w:rPr>
      </w:pPr>
      <w:r>
        <w:rPr>
          <w:rFonts w:eastAsia="Arial" w:cs="Arial" w:ascii="Arial" w:hAnsi="Arial"/>
          <w:sz w:val="18"/>
        </w:rPr>
        <w:t>course, that in the absence of an unrevoked or untermi</w:t>
      </w:r>
    </w:p>
    <w:p>
      <w:pPr>
        <w:pStyle w:val="Normal"/>
        <w:spacing w:lineRule="exact" w:line="10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52"/>
        <w:ind w:hanging="1" w:left="40" w:right="-5"/>
        <w:jc w:val="both"/>
        <w:rPr>
          <w:rFonts w:ascii="Arial" w:hAnsi="Arial" w:eastAsia="Arial" w:cs="Arial"/>
          <w:sz w:val="16"/>
        </w:rPr>
      </w:pPr>
      <w:r>
        <w:rPr>
          <w:rFonts w:eastAsia="Arial" w:cs="Arial" w:ascii="Arial" w:hAnsi="Arial"/>
          <w:sz w:val="16"/>
        </w:rPr>
        <w:t>contract of employment whereby the broker is given the ex agency with a definite time in which to produce a customer,</w:t>
      </w:r>
    </w:p>
    <w:p>
      <w:pPr>
        <w:pStyle w:val="Normal"/>
        <w:spacing w:lineRule="exact" w:line="6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hanging="5" w:left="40" w:right="-5"/>
        <w:jc w:val="both"/>
        <w:rPr>
          <w:rFonts w:ascii="Arial" w:hAnsi="Arial" w:eastAsia="Arial" w:cs="Arial"/>
          <w:sz w:val="16"/>
        </w:rPr>
      </w:pPr>
      <w:r>
        <w:rPr>
          <w:rFonts w:eastAsia="Arial" w:cs="Arial" w:ascii="Arial" w:hAnsi="Arial"/>
          <w:sz w:val="16"/>
        </w:rPr>
        <w:t>84 N. Y. Supp., 969; Farber v. Cohn, 74 Misc., 396; Tyng v. Con Misc., 283 (lease); Haines v. Barney, 33 Misc., 748; Shipman v. W 112112 N. Y. Supp., 895; Hendricks v. Daniels, 19 N. Y. Supp., 41</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6"/>
        <w:ind w:hanging="5" w:left="40" w:right="-5"/>
        <w:jc w:val="both"/>
        <w:rPr>
          <w:rFonts w:ascii="Arial" w:hAnsi="Arial" w:eastAsia="Arial" w:cs="Arial"/>
          <w:sz w:val="16"/>
        </w:rPr>
      </w:pPr>
      <w:r>
        <w:rPr>
          <w:rFonts w:eastAsia="Arial" w:cs="Arial" w:ascii="Arial" w:hAnsi="Arial"/>
          <w:sz w:val="16"/>
        </w:rPr>
        <w:t>v. Lamb, 1 N. Y. Supp., 431, N. Y. Supp., 930; Feldman v. O'Br Misc., 341; McNulty v. Rowe, 28 Misc., 523; Baker v. Thomas,</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6"/>
        </w:rPr>
      </w:pPr>
      <w:r>
        <w:rPr>
          <w:rFonts w:eastAsia="Arial" w:cs="Arial" w:ascii="Arial" w:hAnsi="Arial"/>
          <w:sz w:val="16"/>
        </w:rPr>
        <w:t>432; Shipman v. French, 1 N. Y. Supp., 67.</w:t>
      </w:r>
    </w:p>
    <w:p>
      <w:pPr>
        <w:pStyle w:val="Normal"/>
        <w:spacing w:lineRule="exact" w:line="4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80"/>
        <w:ind w:firstLine="328" w:left="20" w:right="-5"/>
        <w:jc w:val="both"/>
        <w:rPr/>
      </w:pPr>
      <w:r>
        <w:rPr>
          <w:rFonts w:eastAsia="Arial" w:cs="Arial" w:ascii="Arial" w:hAnsi="Arial"/>
          <w:sz w:val="16"/>
        </w:rPr>
        <w:t xml:space="preserve">59 L'Ecluse v. Field, 154 A. D., 685 (question for the jury); V len v. Herbst, 30 A. D., 255; Holley v. Townsend, 2 Hilt., 34; Mc v. Thompson, 26 Misc., 735 (broker employed by purchaser); Bu </w:t>
      </w:r>
      <w:r>
        <w:rPr>
          <w:rFonts w:eastAsia="Arial" w:cs="Arial" w:ascii="Arial" w:hAnsi="Arial"/>
          <w:sz w:val="15"/>
        </w:rPr>
        <w:t>Weiffenbach, 21 Misc., 30; Hendricks v. Daniels, 19 N. Y. Supp.,</w:t>
      </w:r>
    </w:p>
    <w:p>
      <w:pPr>
        <w:pStyle w:val="Normal"/>
        <w:spacing w:lineRule="exact" w:line="19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40" w:right="0"/>
        <w:rPr>
          <w:rFonts w:ascii="Arial" w:hAnsi="Arial" w:eastAsia="Arial" w:cs="Arial"/>
          <w:sz w:val="15"/>
        </w:rPr>
      </w:pPr>
      <w:r>
        <w:rPr>
          <w:rFonts w:eastAsia="Arial" w:cs="Arial" w:ascii="Arial" w:hAnsi="Arial"/>
          <w:sz w:val="15"/>
        </w:rPr>
        <w:t>60 If the employer informs the plaintiff broker that some othe</w:t>
      </w:r>
    </w:p>
    <w:p>
      <w:pPr>
        <w:pStyle w:val="Normal"/>
        <w:spacing w:lineRule="exact" w:line="2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5"/>
        </w:rPr>
      </w:pPr>
      <w:r>
        <w:rPr>
          <w:rFonts w:eastAsia="Arial" w:cs="Arial" w:ascii="Arial" w:hAnsi="Arial"/>
          <w:sz w:val="15"/>
        </w:rPr>
        <w:t>has approached him regarding the property, but the plaintiff bro</w:t>
      </w:r>
    </w:p>
    <w:p>
      <w:pPr>
        <w:pStyle w:val="Normal"/>
        <w:spacing w:lineRule="exact" w:line="3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6"/>
        <w:ind w:firstLine="1" w:left="20" w:right="-5"/>
        <w:jc w:val="both"/>
        <w:rPr/>
      </w:pPr>
      <w:r>
        <w:rPr>
          <w:rFonts w:eastAsia="Arial" w:cs="Arial" w:ascii="Arial" w:hAnsi="Arial"/>
          <w:sz w:val="16"/>
        </w:rPr>
        <w:t>not disclose the name of his customer, or gives a misleading an the employer thereafter in good faith sells through such othe</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5"/>
        </w:rPr>
      </w:pPr>
      <w:r>
        <w:rPr>
          <w:rFonts w:eastAsia="Arial" w:cs="Arial" w:ascii="Arial" w:hAnsi="Arial"/>
          <w:sz w:val="15"/>
        </w:rPr>
        <w:t>(who proves to be another broker) to the plaintiff broker's custo</w:t>
      </w:r>
    </w:p>
    <w:p>
      <w:pPr>
        <w:pStyle w:val="Normal"/>
        <w:spacing w:lineRule="exact" w:line="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6"/>
        </w:rPr>
      </w:pPr>
      <w:r>
        <w:rPr>
          <w:rFonts w:eastAsia="Arial" w:cs="Arial" w:ascii="Arial" w:hAnsi="Arial"/>
          <w:sz w:val="16"/>
        </w:rPr>
        <w:t>plaintiff broker cannot recover commissions. Courtney v. Rhod</w:t>
      </w:r>
    </w:p>
    <w:p>
      <w:pPr>
        <w:pStyle w:val="Normal"/>
        <w:spacing w:lineRule="atLeast" w:line="0"/>
        <w:rPr>
          <w:rFonts w:ascii="Arial" w:hAnsi="Arial" w:eastAsia="Arial" w:cs="Arial"/>
          <w:sz w:val="14"/>
        </w:rPr>
      </w:pPr>
      <w:r>
        <w:rPr>
          <w:rFonts w:eastAsia="Arial" w:cs="Arial" w:ascii="Arial" w:hAnsi="Arial"/>
          <w:sz w:val="14"/>
        </w:rPr>
        <w:t>D., 799.</w:t>
      </w:r>
    </w:p>
    <w:p>
      <w:pPr>
        <w:pStyle w:val="Normal"/>
        <w:spacing w:lineRule="exact" w:line="7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76"/>
        <w:ind w:firstLine="325" w:right="-5"/>
        <w:jc w:val="both"/>
        <w:rPr/>
      </w:pPr>
      <w:r>
        <w:rPr>
          <w:rFonts w:eastAsia="Arial" w:cs="Arial" w:ascii="Arial" w:hAnsi="Arial"/>
          <w:sz w:val="16"/>
        </w:rPr>
        <w:t xml:space="preserve">61 Having employed a broker for no definite period, to nego exchange, and the broker having incurred expenses for advert </w:t>
      </w:r>
      <w:r>
        <w:rPr>
          <w:rFonts w:eastAsia="Arial" w:cs="Arial" w:ascii="Arial" w:hAnsi="Arial"/>
          <w:sz w:val="15"/>
        </w:rPr>
        <w:t>property pursuant to the contract, the employer cannot revoke tract, except after a reasonable time, without being liable in da</w:t>
      </w:r>
    </w:p>
    <w:p>
      <w:pPr>
        <w:pStyle w:val="Normal"/>
        <w:spacing w:lineRule="exact" w:line="17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5"/>
        </w:rPr>
      </w:pPr>
      <w:r>
        <w:rPr>
          <w:rFonts w:eastAsia="Arial" w:cs="Arial" w:ascii="Arial" w:hAnsi="Arial"/>
          <w:sz w:val="15"/>
        </w:rPr>
        <w:t>the broker. Bathrick v. Coffin, 134 A. D., 103.</w:t>
      </w:r>
    </w:p>
    <w:p>
      <w:pPr>
        <w:pStyle w:val="Normal"/>
        <w:spacing w:lineRule="exact" w:line="53"/>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20" w:right="0"/>
        <w:rPr>
          <w:rFonts w:ascii="Arial" w:hAnsi="Arial" w:eastAsia="Arial" w:cs="Arial"/>
          <w:sz w:val="15"/>
        </w:rPr>
      </w:pPr>
      <w:r>
        <w:rPr>
          <w:rFonts w:eastAsia="Arial" w:cs="Arial" w:ascii="Arial" w:hAnsi="Arial"/>
          <w:sz w:val="15"/>
        </w:rPr>
        <w:t>62 Bathrick v. Coffin, 13 A. D., 101, 103; Levy v. Rothe, 17 Mis</w:t>
      </w:r>
    </w:p>
    <w:p>
      <w:pPr>
        <w:pStyle w:val="Normal"/>
        <w:spacing w:lineRule="exact" w:line="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5"/>
        </w:rPr>
      </w:pPr>
      <w:r>
        <w:rPr>
          <w:rFonts w:eastAsia="Arial" w:cs="Arial" w:ascii="Arial" w:hAnsi="Arial"/>
          <w:sz w:val="15"/>
        </w:rPr>
        <w:t>Schultz v. Griffin, 5 Misc., 499.</w:t>
      </w:r>
    </w:p>
    <w:p>
      <w:pPr>
        <w:sectPr>
          <w:type w:val="nextPage"/>
          <w:pgSz w:w="7700" w:h="12869"/>
          <w:pgMar w:left="1040" w:right="0" w:gutter="0" w:header="0" w:top="96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5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5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40" w:right="0" w:gutter="0" w:header="0" w:top="964"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20">
            <wp:simplePos x="0" y="0"/>
            <wp:positionH relativeFrom="page">
              <wp:posOffset>0</wp:posOffset>
            </wp:positionH>
            <wp:positionV relativeFrom="page">
              <wp:posOffset>0</wp:posOffset>
            </wp:positionV>
            <wp:extent cx="4885690" cy="8025130"/>
            <wp:effectExtent l="0" t="0" r="0" b="0"/>
            <wp:wrapNone/>
            <wp:docPr id="19"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 descr=""/>
                    <pic:cNvPicPr>
                      <a:picLocks noChangeAspect="1" noChangeArrowheads="1"/>
                    </pic:cNvPicPr>
                  </pic:nvPicPr>
                  <pic:blipFill>
                    <a:blip r:embed="rId18"/>
                    <a:srcRect l="-4" t="-2" r="-4" b="-2"/>
                    <a:stretch>
                      <a:fillRect/>
                    </a:stretch>
                  </pic:blipFill>
                  <pic:spPr bwMode="auto">
                    <a:xfrm>
                      <a:off x="0" y="0"/>
                      <a:ext cx="4885690" cy="8025130"/>
                    </a:xfrm>
                    <a:prstGeom prst="rect">
                      <a:avLst/>
                    </a:prstGeom>
                  </pic:spPr>
                </pic:pic>
              </a:graphicData>
            </a:graphic>
          </wp:anchor>
        </w:drawing>
      </w:r>
      <w:bookmarkStart w:id="32" w:name="page17"/>
      <w:bookmarkStart w:id="33" w:name="page17"/>
      <w:bookmarkEnd w:id="33"/>
    </w:p>
    <w:p>
      <w:pPr>
        <w:pStyle w:val="Normal"/>
        <w:tabs>
          <w:tab w:val="clear" w:pos="720"/>
          <w:tab w:val="left" w:pos="1740" w:leader="none"/>
        </w:tabs>
        <w:spacing w:lineRule="atLeast" w:line="0"/>
        <w:ind w:left="20" w:right="0"/>
        <w:rPr/>
      </w:pPr>
      <w:r>
        <w:rPr>
          <w:rFonts w:eastAsia="Arial" w:cs="Arial" w:ascii="Arial" w:hAnsi="Arial"/>
          <w:sz w:val="30"/>
          <w:vertAlign w:val="subscript"/>
        </w:rPr>
        <w:t>354</w:t>
      </w:r>
      <w:r>
        <w:rPr>
          <w:rFonts w:eastAsia="Times New Roman" w:cs="Times New Roman" w:ascii="Times New Roman" w:hAnsi="Times New Roman"/>
        </w:rPr>
        <w:tab/>
      </w:r>
      <w:r>
        <w:rPr>
          <w:rFonts w:eastAsia="Arial" w:cs="Arial" w:ascii="Arial" w:hAnsi="Arial"/>
          <w:sz w:val="15"/>
        </w:rPr>
        <w:t>YALE LAW JOURNAL</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60" w:right="0"/>
        <w:rPr>
          <w:rFonts w:ascii="Arial" w:hAnsi="Arial" w:eastAsia="Arial" w:cs="Arial"/>
          <w:sz w:val="18"/>
        </w:rPr>
      </w:pPr>
      <w:r>
        <w:rPr>
          <w:rFonts w:eastAsia="Arial" w:cs="Arial" w:ascii="Arial" w:hAnsi="Arial"/>
          <w:sz w:val="18"/>
        </w:rPr>
        <w:t>employer is free at any time63 to deal directly with</w:t>
      </w:r>
    </w:p>
    <w:p>
      <w:pPr>
        <w:pStyle w:val="Normal"/>
        <w:spacing w:lineRule="exact" w:line="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16"/>
        <w:ind w:firstLine="17" w:left="60" w:right="-5"/>
        <w:rPr/>
      </w:pPr>
      <w:r>
        <w:rPr>
          <w:rFonts w:eastAsia="Arial" w:cs="Arial" w:ascii="Arial" w:hAnsi="Arial"/>
          <w:sz w:val="18"/>
        </w:rPr>
        <w:t xml:space="preserve">found by himself or brought to him by another brok </w:t>
      </w:r>
      <w:r>
        <w:rPr>
          <w:rFonts w:eastAsia="Arial" w:cs="Arial" w:ascii="Arial" w:hAnsi="Arial"/>
          <w:sz w:val="17"/>
        </w:rPr>
        <w:t>benefit64 accrues to him through such negotiation, his</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12"/>
        <w:ind w:firstLine="4" w:left="60" w:right="14"/>
        <w:rPr>
          <w:rFonts w:ascii="Arial" w:hAnsi="Arial" w:eastAsia="Arial" w:cs="Arial"/>
          <w:sz w:val="18"/>
        </w:rPr>
      </w:pPr>
      <w:r>
        <w:rPr>
          <w:rFonts w:eastAsia="Arial" w:cs="Arial" w:ascii="Arial" w:hAnsi="Arial"/>
          <w:sz w:val="18"/>
        </w:rPr>
        <w:t>the broker for commissions ceases as to any services thereafter;65 but such direct negotiations must have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90"/>
        <w:ind w:firstLine="6" w:left="40" w:right="-5"/>
        <w:rPr>
          <w:rFonts w:ascii="Arial" w:hAnsi="Arial" w:eastAsia="Arial" w:cs="Arial"/>
          <w:sz w:val="18"/>
        </w:rPr>
      </w:pPr>
      <w:r>
        <w:rPr>
          <w:rFonts w:eastAsia="Arial" w:cs="Arial" w:ascii="Arial" w:hAnsi="Arial"/>
          <w:sz w:val="18"/>
        </w:rPr>
        <w:t>in good faith, and if it appears that the customer was intermediary or dummy for the purpose of cloaking a</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0" w:right="0"/>
        <w:rPr>
          <w:rFonts w:ascii="Arial" w:hAnsi="Arial" w:eastAsia="Arial" w:cs="Arial"/>
          <w:sz w:val="16"/>
        </w:rPr>
      </w:pPr>
      <w:r>
        <w:rPr>
          <w:rFonts w:eastAsia="Arial" w:cs="Arial" w:ascii="Arial" w:hAnsi="Arial"/>
          <w:sz w:val="16"/>
        </w:rPr>
        <w:t>the broker's customer in order to defeat the broker's claim for</w:t>
      </w:r>
    </w:p>
    <w:p>
      <w:pPr>
        <w:pStyle w:val="Normal"/>
        <w:spacing w:lineRule="exact" w:line="7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24"/>
        <w:ind w:firstLine="4" w:left="20" w:right="354"/>
        <w:rPr>
          <w:rFonts w:ascii="Arial" w:hAnsi="Arial" w:eastAsia="Arial" w:cs="Arial"/>
          <w:sz w:val="18"/>
        </w:rPr>
      </w:pPr>
      <w:r>
        <w:rPr>
          <w:rFonts w:eastAsia="Arial" w:cs="Arial" w:ascii="Arial" w:hAnsi="Arial"/>
          <w:sz w:val="18"/>
        </w:rPr>
        <w:t>commissions, remoteness is not established.66 In the absence of proof to the contrary, bad faith in such a transaction with an</w:t>
      </w:r>
    </w:p>
    <w:p>
      <w:pPr>
        <w:pStyle w:val="Normal"/>
        <w:spacing w:lineRule="atLeast" w:line="0"/>
        <w:ind w:left="20" w:right="0"/>
        <w:rPr>
          <w:rFonts w:ascii="Arial" w:hAnsi="Arial" w:eastAsia="Arial" w:cs="Arial"/>
          <w:sz w:val="16"/>
        </w:rPr>
      </w:pPr>
      <w:r>
        <w:rPr>
          <w:rFonts w:eastAsia="Arial" w:cs="Arial" w:ascii="Arial" w:hAnsi="Arial"/>
          <w:sz w:val="16"/>
        </w:rPr>
        <w:t>intermediate customer will not be presumed ;67 proof of bad faith,</w:t>
      </w:r>
    </w:p>
    <w:p>
      <w:pPr>
        <w:pStyle w:val="Normal"/>
        <w:spacing w:lineRule="exact" w:line="7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8"/>
        </w:rPr>
      </w:pPr>
      <w:r>
        <w:rPr>
          <w:rFonts w:eastAsia="Arial" w:cs="Arial" w:ascii="Arial" w:hAnsi="Arial"/>
          <w:sz w:val="18"/>
        </w:rPr>
        <w:t>however, need not be actual proof, but only circumstantial evi-</w:t>
      </w:r>
    </w:p>
    <w:p>
      <w:pPr>
        <w:pStyle w:val="Normal"/>
        <w:spacing w:lineRule="exact" w:line="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9"/>
        </w:rPr>
      </w:pPr>
      <w:r>
        <w:rPr>
          <w:rFonts w:eastAsia="Arial" w:cs="Arial" w:ascii="Arial" w:hAnsi="Arial"/>
          <w:sz w:val="19"/>
        </w:rPr>
        <w:t>dence from which bad faith may be inferred as a question of</w:t>
      </w:r>
    </w:p>
    <w:p>
      <w:pPr>
        <w:pStyle w:val="Normal"/>
        <w:spacing w:lineRule="exact" w:line="3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5"/>
        </w:rPr>
      </w:pPr>
      <w:r>
        <w:rPr>
          <w:rFonts w:eastAsia="Arial" w:cs="Arial" w:ascii="Arial" w:hAnsi="Arial"/>
          <w:sz w:val="15"/>
        </w:rPr>
        <w:t>fact.68</w:t>
      </w:r>
    </w:p>
    <w:p>
      <w:pPr>
        <w:pStyle w:val="Normal"/>
        <w:spacing w:lineRule="exact" w:line="339"/>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40" w:right="0"/>
        <w:rPr>
          <w:rFonts w:ascii="Arial" w:hAnsi="Arial" w:eastAsia="Arial" w:cs="Arial"/>
          <w:sz w:val="18"/>
        </w:rPr>
      </w:pPr>
      <w:r>
        <w:rPr>
          <w:rFonts w:eastAsia="Arial" w:cs="Arial" w:ascii="Arial" w:hAnsi="Arial"/>
          <w:sz w:val="18"/>
        </w:rPr>
        <w:t>(d) WHERE THE TERMS PRESCRIBED OR AGREED TO BY THE EM-</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20" w:right="0"/>
        <w:rPr>
          <w:rFonts w:ascii="Arial" w:hAnsi="Arial" w:eastAsia="Arial" w:cs="Arial"/>
          <w:sz w:val="11"/>
        </w:rPr>
      </w:pPr>
      <w:r>
        <w:rPr>
          <w:rFonts w:eastAsia="Arial" w:cs="Arial" w:ascii="Arial" w:hAnsi="Arial"/>
          <w:sz w:val="11"/>
        </w:rPr>
        <w:t>PLOYER FOR THE TRANSFER OF INTEREST WHICH THE BROKER</w:t>
      </w:r>
    </w:p>
    <w:p>
      <w:pPr>
        <w:pStyle w:val="Normal"/>
        <w:spacing w:lineRule="exact" w:line="135"/>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left="420" w:right="0"/>
        <w:rPr>
          <w:rFonts w:ascii="Arial" w:hAnsi="Arial" w:eastAsia="Arial" w:cs="Arial"/>
          <w:sz w:val="11"/>
        </w:rPr>
      </w:pPr>
      <w:r>
        <w:rPr>
          <w:rFonts w:eastAsia="Arial" w:cs="Arial" w:ascii="Arial" w:hAnsi="Arial"/>
          <w:sz w:val="11"/>
        </w:rPr>
        <w:t>WAS EMPLOYED TO FACILITATE HAVE BEEN CONSENTED,</w:t>
      </w:r>
    </w:p>
    <w:p>
      <w:pPr>
        <w:pStyle w:val="Normal"/>
        <w:spacing w:lineRule="exact" w:line="139"/>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right="974"/>
        <w:jc w:val="center"/>
        <w:rPr>
          <w:rFonts w:ascii="Arial" w:hAnsi="Arial" w:eastAsia="Arial" w:cs="Arial"/>
          <w:sz w:val="12"/>
        </w:rPr>
      </w:pPr>
      <w:r>
        <w:rPr>
          <w:rFonts w:eastAsia="Arial" w:cs="Arial" w:ascii="Arial" w:hAnsi="Arial"/>
          <w:sz w:val="12"/>
        </w:rPr>
        <w:t>TO, BUT THE CONTRACT ITSELF HAS NOT</w:t>
      </w:r>
    </w:p>
    <w:p>
      <w:pPr>
        <w:pStyle w:val="Normal"/>
        <w:spacing w:lineRule="exact" w:line="1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left="2160" w:right="0"/>
        <w:rPr>
          <w:rFonts w:ascii="Arial" w:hAnsi="Arial" w:eastAsia="Arial" w:cs="Arial"/>
          <w:sz w:val="11"/>
        </w:rPr>
      </w:pPr>
      <w:r>
        <w:rPr>
          <w:rFonts w:eastAsia="Arial" w:cs="Arial" w:ascii="Arial" w:hAnsi="Arial"/>
          <w:sz w:val="11"/>
        </w:rPr>
        <w:t>BEEN EXECUTED.</w:t>
      </w:r>
    </w:p>
    <w:p>
      <w:pPr>
        <w:pStyle w:val="Normal"/>
        <w:spacing w:lineRule="exact" w:line="256"/>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left="240" w:right="0"/>
        <w:rPr>
          <w:rFonts w:ascii="Arial" w:hAnsi="Arial" w:eastAsia="Arial" w:cs="Arial"/>
          <w:sz w:val="18"/>
        </w:rPr>
      </w:pPr>
      <w:r>
        <w:rPr>
          <w:rFonts w:eastAsia="Arial" w:cs="Arial" w:ascii="Arial" w:hAnsi="Arial"/>
          <w:sz w:val="18"/>
        </w:rPr>
        <w:t>In this class of cases the employer can establish r</w:t>
      </w:r>
    </w:p>
    <w:p>
      <w:pPr>
        <w:pStyle w:val="Normal"/>
        <w:spacing w:lineRule="exact" w:line="5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8"/>
        </w:rPr>
      </w:pPr>
      <w:r>
        <w:rPr>
          <w:rFonts w:eastAsia="Arial" w:cs="Arial" w:ascii="Arial" w:hAnsi="Arial"/>
          <w:sz w:val="18"/>
        </w:rPr>
        <w:t>proof that the consenting customer was not in fa</w:t>
      </w:r>
    </w:p>
    <w:p>
      <w:pPr>
        <w:pStyle w:val="Normal"/>
        <w:spacing w:lineRule="exact" w:line="7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6"/>
        </w:rPr>
      </w:pPr>
      <w:r>
        <w:rPr>
          <w:rFonts w:eastAsia="Arial" w:cs="Arial" w:ascii="Arial" w:hAnsi="Arial"/>
          <w:sz w:val="16"/>
        </w:rPr>
        <w:t>to him by the plaintiff broker even though the plaint</w:t>
      </w: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8"/>
        </w:rPr>
      </w:pPr>
      <w:r>
        <w:rPr>
          <w:rFonts w:eastAsia="Arial" w:cs="Arial" w:ascii="Arial" w:hAnsi="Arial"/>
          <w:sz w:val="18"/>
        </w:rPr>
        <w:t>admittedly the first to secure the customer's cons</w:t>
      </w:r>
    </w:p>
    <w:p>
      <w:pPr>
        <w:pStyle w:val="Normal"/>
        <w:spacing w:lineRule="exact" w:line="27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340" w:right="0"/>
        <w:rPr>
          <w:rFonts w:ascii="Arial" w:hAnsi="Arial" w:eastAsia="Arial" w:cs="Arial"/>
          <w:sz w:val="16"/>
        </w:rPr>
      </w:pPr>
      <w:r>
        <w:rPr>
          <w:rFonts w:eastAsia="Arial" w:cs="Arial" w:ascii="Arial" w:hAnsi="Arial"/>
          <w:sz w:val="16"/>
        </w:rPr>
        <w:t>63 But not after a complete preliminary agreement wi</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40" w:right="0"/>
        <w:rPr>
          <w:rFonts w:ascii="Arial" w:hAnsi="Arial" w:eastAsia="Arial" w:cs="Arial"/>
          <w:sz w:val="16"/>
        </w:rPr>
      </w:pPr>
      <w:r>
        <w:rPr>
          <w:rFonts w:eastAsia="Arial" w:cs="Arial" w:ascii="Arial" w:hAnsi="Arial"/>
          <w:sz w:val="16"/>
        </w:rPr>
        <w:t>customer. Moses v. Helmke, 18 Misc., 357.</w:t>
      </w:r>
    </w:p>
    <w:p>
      <w:pPr>
        <w:pStyle w:val="Normal"/>
        <w:spacing w:lineRule="exact" w:line="8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60" w:right="0"/>
        <w:rPr>
          <w:rFonts w:ascii="Arial" w:hAnsi="Arial" w:eastAsia="Arial" w:cs="Arial"/>
          <w:sz w:val="16"/>
        </w:rPr>
      </w:pPr>
      <w:r>
        <w:rPr>
          <w:rFonts w:eastAsia="Arial" w:cs="Arial" w:ascii="Arial" w:hAnsi="Arial"/>
          <w:sz w:val="16"/>
        </w:rPr>
        <w:t>64 The benefit must be at least an agreement and not</w:t>
      </w:r>
    </w:p>
    <w:p>
      <w:pPr>
        <w:pStyle w:val="Normal"/>
        <w:spacing w:lineRule="exact" w:line="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21"/>
        <w:ind w:hanging="293" w:left="320" w:right="1034"/>
        <w:rPr>
          <w:rFonts w:ascii="Arial" w:hAnsi="Arial" w:eastAsia="Arial" w:cs="Arial"/>
          <w:sz w:val="15"/>
        </w:rPr>
      </w:pPr>
      <w:r>
        <w:rPr>
          <w:rFonts w:eastAsia="Arial" w:cs="Arial" w:ascii="Arial" w:hAnsi="Arial"/>
          <w:sz w:val="15"/>
        </w:rPr>
        <w:t>accepted offer. Lovett v. Clench, 115 A. D., 635. 65 Shusterman v. Kraus, 148 A. D., 727; Hodge v. Apelles, 122 A. D.,</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7"/>
        </w:rPr>
      </w:pPr>
      <w:r>
        <w:rPr>
          <w:rFonts w:eastAsia="Arial" w:cs="Arial" w:ascii="Arial" w:hAnsi="Arial"/>
          <w:sz w:val="17"/>
        </w:rPr>
        <w:t>437; Cole v. Kosch, 116 A. D., 715; Ettinghoff v. Horowitz, 115</w:t>
      </w:r>
    </w:p>
    <w:p>
      <w:pPr>
        <w:pStyle w:val="Normal"/>
        <w:spacing w:lineRule="exact" w:line="4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6"/>
        </w:rPr>
      </w:pPr>
      <w:r>
        <w:rPr>
          <w:rFonts w:eastAsia="Arial" w:cs="Arial" w:ascii="Arial" w:hAnsi="Arial"/>
          <w:sz w:val="16"/>
        </w:rPr>
        <w:t>A. D., 571; Ranger v. Lee, 66 Misc., 144; Shapiro v. Nadler, 51 Misc., 13;</w:t>
      </w:r>
    </w:p>
    <w:p>
      <w:pPr>
        <w:pStyle w:val="Normal"/>
        <w:spacing w:lineRule="exact" w:line="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5"/>
        </w:rPr>
      </w:pPr>
      <w:r>
        <w:rPr>
          <w:rFonts w:eastAsia="Arial" w:cs="Arial" w:ascii="Arial" w:hAnsi="Arial"/>
          <w:sz w:val="15"/>
        </w:rPr>
        <w:t>Pescia v. Haines, 50 Misc., 550 (lease); Harris v. Rogers, 15 N. Y. State</w:t>
      </w:r>
    </w:p>
    <w:p>
      <w:pPr>
        <w:pStyle w:val="Normal"/>
        <w:spacing w:lineRule="exact" w:line="4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Rep., 396; Goldsmith v. Cook, 14 N. Y. Supp., 878.</w:t>
      </w: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300"/>
        <w:ind w:firstLine="313" w:left="20" w:right="394"/>
        <w:rPr/>
      </w:pPr>
      <w:r>
        <w:rPr>
          <w:rFonts w:eastAsia="Arial" w:cs="Arial" w:ascii="Arial" w:hAnsi="Arial"/>
          <w:sz w:val="16"/>
        </w:rPr>
        <w:t xml:space="preserve">66 Travis v. Bowron, 138 A. D., 554; Martin v. Fegan, 95 A. D., 154; </w:t>
      </w:r>
      <w:r>
        <w:rPr>
          <w:rFonts w:eastAsia="Arial" w:cs="Arial" w:ascii="Arial" w:hAnsi="Arial"/>
          <w:sz w:val="15"/>
        </w:rPr>
        <w:t>Winans v. Jacques, 10 Daly, 487; Konner v. Anderson, 32 Misc., 511; Ran-</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5"/>
        </w:rPr>
      </w:pPr>
      <w:r>
        <w:rPr>
          <w:rFonts w:eastAsia="Arial" w:cs="Arial" w:ascii="Arial" w:hAnsi="Arial"/>
          <w:sz w:val="15"/>
        </w:rPr>
        <w:t>drup v. Schroeder, 22 Misc., 365; McKnight rv. Thayer, 21 N. Y. Supp., 440.</w:t>
      </w:r>
    </w:p>
    <w:p>
      <w:pPr>
        <w:pStyle w:val="Normal"/>
        <w:spacing w:lineRule="exact" w:line="8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326"/>
        <w:ind w:firstLine="322" w:right="1034"/>
        <w:rPr>
          <w:rFonts w:ascii="Arial" w:hAnsi="Arial" w:eastAsia="Arial" w:cs="Arial"/>
          <w:sz w:val="15"/>
        </w:rPr>
      </w:pPr>
      <w:r>
        <w:rPr>
          <w:rFonts w:eastAsia="Arial" w:cs="Arial" w:ascii="Arial" w:hAnsi="Arial"/>
          <w:sz w:val="15"/>
        </w:rPr>
        <w:t>67 Bennet v. Kidder, 5 Daly, 512 (broker employed by purchaser); Hamm v. Weber, 19 Misc., 485.</w:t>
      </w:r>
    </w:p>
    <w:p>
      <w:pPr>
        <w:pStyle w:val="Normal"/>
        <w:spacing w:lineRule="atLeast" w:line="0"/>
        <w:ind w:left="320" w:right="0"/>
        <w:rPr>
          <w:rFonts w:ascii="Arial" w:hAnsi="Arial" w:eastAsia="Arial" w:cs="Arial"/>
          <w:sz w:val="16"/>
        </w:rPr>
      </w:pPr>
      <w:r>
        <w:rPr>
          <w:rFonts w:eastAsia="Arial" w:cs="Arial" w:ascii="Arial" w:hAnsi="Arial"/>
          <w:sz w:val="16"/>
        </w:rPr>
        <w:t>68 Travis v. Bowron, 138 A. D., 554.</w:t>
      </w:r>
    </w:p>
    <w:p>
      <w:pPr>
        <w:sectPr>
          <w:type w:val="nextPage"/>
          <w:pgSz w:w="7700" w:h="12869"/>
          <w:pgMar w:left="1020" w:right="0" w:gutter="0" w:header="0" w:top="64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3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3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p>
      <w:pPr>
        <w:sectPr>
          <w:type w:val="continuous"/>
          <w:pgSz w:w="7700" w:h="12869"/>
          <w:pgMar w:left="1020" w:right="0" w:gutter="0" w:header="0" w:top="643" w:footer="0" w:bottom="0"/>
          <w:formProt w:val="false"/>
          <w:textDirection w:val="lrTb"/>
          <w:docGrid w:type="default" w:linePitch="360" w:charSpace="0"/>
        </w:sectPr>
      </w:pPr>
    </w:p>
    <w:p>
      <w:pPr>
        <w:pStyle w:val="Normal"/>
        <w:spacing w:lineRule="exact" w:line="73"/>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0" allowOverlap="1" relativeHeight="21">
            <wp:simplePos x="0" y="0"/>
            <wp:positionH relativeFrom="page">
              <wp:posOffset>0</wp:posOffset>
            </wp:positionH>
            <wp:positionV relativeFrom="page">
              <wp:posOffset>0</wp:posOffset>
            </wp:positionV>
            <wp:extent cx="4885690" cy="8025130"/>
            <wp:effectExtent l="0" t="0" r="0" b="0"/>
            <wp:wrapNone/>
            <wp:docPr id="20"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 descr=""/>
                    <pic:cNvPicPr>
                      <a:picLocks noChangeAspect="1" noChangeArrowheads="1"/>
                    </pic:cNvPicPr>
                  </pic:nvPicPr>
                  <pic:blipFill>
                    <a:blip r:embed="rId19"/>
                    <a:srcRect l="-4" t="-2" r="-4" b="-2"/>
                    <a:stretch>
                      <a:fillRect/>
                    </a:stretch>
                  </pic:blipFill>
                  <pic:spPr bwMode="auto">
                    <a:xfrm>
                      <a:off x="0" y="0"/>
                      <a:ext cx="4885690" cy="8025130"/>
                    </a:xfrm>
                    <a:prstGeom prst="rect">
                      <a:avLst/>
                    </a:prstGeom>
                  </pic:spPr>
                </pic:pic>
              </a:graphicData>
            </a:graphic>
          </wp:anchor>
        </w:drawing>
      </w:r>
      <w:bookmarkStart w:id="34" w:name="page18"/>
      <w:bookmarkStart w:id="35" w:name="page18"/>
      <w:bookmarkEnd w:id="35"/>
    </w:p>
    <w:p>
      <w:pPr>
        <w:pStyle w:val="Normal"/>
        <w:tabs>
          <w:tab w:val="clear" w:pos="720"/>
          <w:tab w:val="left" w:pos="5420" w:leader="none"/>
        </w:tabs>
        <w:spacing w:lineRule="atLeast" w:line="0"/>
        <w:ind w:left="800" w:right="0"/>
        <w:rPr/>
      </w:pPr>
      <w:r>
        <w:rPr>
          <w:rFonts w:eastAsia="Arial" w:cs="Arial" w:ascii="Arial" w:hAnsi="Arial"/>
          <w:sz w:val="17"/>
        </w:rPr>
        <w:t>REAL ESTATE BROKER COMMISSIONS</w:t>
      </w:r>
      <w:r>
        <w:rPr>
          <w:rFonts w:eastAsia="Times New Roman" w:cs="Times New Roman" w:ascii="Times New Roman" w:hAnsi="Times New Roman"/>
        </w:rPr>
        <w:tab/>
      </w:r>
      <w:r>
        <w:rPr>
          <w:rFonts w:eastAsia="Arial" w:cs="Arial" w:ascii="Arial" w:hAnsi="Arial"/>
          <w:sz w:val="13"/>
        </w:rPr>
        <w:t>355</w:t>
      </w:r>
    </w:p>
    <w:p>
      <w:pPr>
        <w:pStyle w:val="Normal"/>
        <w:spacing w:lineRule="exact" w:line="265"/>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left="40" w:right="0"/>
        <w:rPr>
          <w:rFonts w:ascii="Arial" w:hAnsi="Arial" w:eastAsia="Arial" w:cs="Arial"/>
          <w:sz w:val="18"/>
        </w:rPr>
      </w:pPr>
      <w:r>
        <w:rPr>
          <w:rFonts w:eastAsia="Arial" w:cs="Arial" w:ascii="Arial" w:hAnsi="Arial"/>
          <w:sz w:val="18"/>
        </w:rPr>
        <w:t>ployer's terms.69 The "production" of the consenting cust</w:t>
      </w:r>
    </w:p>
    <w:p>
      <w:pPr>
        <w:pStyle w:val="Normal"/>
        <w:spacing w:lineRule="exact" w:line="4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0"/>
        <w:ind w:left="40" w:right="-5"/>
        <w:rPr>
          <w:rFonts w:ascii="Arial" w:hAnsi="Arial" w:eastAsia="Arial" w:cs="Arial"/>
          <w:sz w:val="17"/>
        </w:rPr>
      </w:pPr>
      <w:r>
        <w:rPr>
          <w:rFonts w:eastAsia="Arial" w:cs="Arial" w:ascii="Arial" w:hAnsi="Arial"/>
          <w:sz w:val="17"/>
        </w:rPr>
        <w:t>implies more than the mere notification of the employer to to meet the customer :70 the broker must bring or send th</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40" w:right="0"/>
        <w:rPr>
          <w:rFonts w:ascii="Arial" w:hAnsi="Arial" w:eastAsia="Arial" w:cs="Arial"/>
          <w:sz w:val="18"/>
        </w:rPr>
      </w:pPr>
      <w:r>
        <w:rPr>
          <w:rFonts w:eastAsia="Arial" w:cs="Arial" w:ascii="Arial" w:hAnsi="Arial"/>
          <w:sz w:val="18"/>
        </w:rPr>
        <w:t>tomer in person to the employer,71 or at least make auth</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5"/>
        <w:ind w:left="40" w:right="34"/>
        <w:rPr>
          <w:rFonts w:ascii="Arial" w:hAnsi="Arial" w:eastAsia="Arial" w:cs="Arial"/>
          <w:sz w:val="18"/>
        </w:rPr>
      </w:pPr>
      <w:r>
        <w:rPr>
          <w:rFonts w:eastAsia="Arial" w:cs="Arial" w:ascii="Arial" w:hAnsi="Arial"/>
          <w:sz w:val="18"/>
        </w:rPr>
        <w:t>tender on behalf of the customer, the latter being within unless, of course, the employer, after receiving notice fro</w:t>
      </w:r>
    </w:p>
    <w:p>
      <w:pPr>
        <w:pStyle w:val="Normal"/>
        <w:spacing w:lineRule="atLeast" w:line="0"/>
        <w:ind w:left="40" w:right="0"/>
        <w:rPr>
          <w:rFonts w:ascii="Arial" w:hAnsi="Arial" w:eastAsia="Arial" w:cs="Arial"/>
          <w:sz w:val="18"/>
        </w:rPr>
      </w:pPr>
      <w:r>
        <w:rPr>
          <w:rFonts w:eastAsia="Arial" w:cs="Arial" w:ascii="Arial" w:hAnsi="Arial"/>
          <w:sz w:val="18"/>
        </w:rPr>
        <w:t>broker that the broker has found a customer willing to a</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0" w:right="0"/>
        <w:rPr>
          <w:rFonts w:ascii="Arial" w:hAnsi="Arial" w:eastAsia="Arial" w:cs="Arial"/>
          <w:sz w:val="17"/>
        </w:rPr>
      </w:pPr>
      <w:r>
        <w:rPr>
          <w:rFonts w:eastAsia="Arial" w:cs="Arial" w:ascii="Arial" w:hAnsi="Arial"/>
          <w:sz w:val="17"/>
        </w:rPr>
        <w:t>the employer's terms, declines in advance to proceed furthe</w:t>
      </w:r>
    </w:p>
    <w:p>
      <w:pPr>
        <w:pStyle w:val="Normal"/>
        <w:spacing w:lineRule="exact" w:line="7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4260" w:right="0"/>
        <w:rPr>
          <w:rFonts w:ascii="Arial" w:hAnsi="Arial" w:eastAsia="Arial" w:cs="Arial"/>
          <w:sz w:val="15"/>
        </w:rPr>
      </w:pPr>
      <w:r>
        <w:rPr>
          <w:rFonts w:eastAsia="Arial" w:cs="Arial" w:ascii="Arial" w:hAnsi="Arial"/>
          <w:sz w:val="15"/>
        </w:rPr>
        <w:t>Lee J. Perrin.</w:t>
      </w:r>
    </w:p>
    <w:p>
      <w:pPr>
        <w:pStyle w:val="Normal"/>
        <w:spacing w:lineRule="exact" w:line="8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20" w:right="0"/>
        <w:rPr>
          <w:rFonts w:ascii="Arial" w:hAnsi="Arial" w:eastAsia="Arial" w:cs="Arial"/>
          <w:sz w:val="15"/>
        </w:rPr>
      </w:pPr>
      <w:r>
        <w:rPr>
          <w:rFonts w:eastAsia="Arial" w:cs="Arial" w:ascii="Arial" w:hAnsi="Arial"/>
          <w:sz w:val="15"/>
        </w:rPr>
        <w:t>New York.</w:t>
      </w:r>
    </w:p>
    <w:p>
      <w:pPr>
        <w:pStyle w:val="Normal"/>
        <w:spacing w:lineRule="exact" w:line="266"/>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85"/>
        <w:ind w:firstLine="318" w:left="20" w:right="54"/>
        <w:rPr/>
      </w:pPr>
      <w:r>
        <w:rPr>
          <w:rFonts w:eastAsia="Arial" w:cs="Arial" w:ascii="Arial" w:hAnsi="Arial"/>
          <w:sz w:val="16"/>
        </w:rPr>
        <w:t>69McCloskey v. Thompson, 26 Misc., 735 (broker employed by pur-</w:t>
      </w:r>
      <w:r>
        <w:rPr>
          <w:rFonts w:eastAsia="Arial" w:cs="Arial" w:ascii="Arial" w:hAnsi="Arial"/>
          <w:sz w:val="15"/>
        </w:rPr>
        <w:t>chaser). The transfer of interest had in fact been completed, but the case presents a situation where the second broker "produced" the customer to</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76"/>
        <w:ind w:hanging="1" w:left="20" w:right="54"/>
        <w:rPr>
          <w:rFonts w:ascii="Arial" w:hAnsi="Arial" w:eastAsia="Arial" w:cs="Arial"/>
          <w:sz w:val="15"/>
        </w:rPr>
      </w:pPr>
      <w:r>
        <w:rPr>
          <w:rFonts w:eastAsia="Arial" w:cs="Arial" w:ascii="Arial" w:hAnsi="Arial"/>
          <w:sz w:val="15"/>
        </w:rPr>
        <w:t>the employer after the first broker had induced the customer to consent to the employer's terms, but before the customer was "produced" by the first</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20" w:right="0"/>
        <w:rPr>
          <w:rFonts w:ascii="Arial" w:hAnsi="Arial" w:eastAsia="Arial" w:cs="Arial"/>
          <w:sz w:val="16"/>
        </w:rPr>
      </w:pPr>
      <w:r>
        <w:rPr>
          <w:rFonts w:eastAsia="Arial" w:cs="Arial" w:ascii="Arial" w:hAnsi="Arial"/>
          <w:sz w:val="16"/>
        </w:rPr>
        <w:t>broker. Both "productions", however, occurred before the actual prelim-</w:t>
      </w:r>
    </w:p>
    <w:p>
      <w:pPr>
        <w:pStyle w:val="Normal"/>
        <w:spacing w:lineRule="exact" w:line="3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20" w:right="0"/>
        <w:rPr>
          <w:rFonts w:ascii="Arial" w:hAnsi="Arial" w:eastAsia="Arial" w:cs="Arial"/>
          <w:sz w:val="15"/>
        </w:rPr>
      </w:pPr>
      <w:r>
        <w:rPr>
          <w:rFonts w:eastAsia="Arial" w:cs="Arial" w:ascii="Arial" w:hAnsi="Arial"/>
          <w:sz w:val="15"/>
        </w:rPr>
        <w:t>inary closing of the transaction.</w:t>
      </w:r>
    </w:p>
    <w:p>
      <w:pPr>
        <w:pStyle w:val="Normal"/>
        <w:spacing w:lineRule="exact" w:line="22"/>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40" w:right="0"/>
        <w:rPr>
          <w:rFonts w:ascii="Arial" w:hAnsi="Arial" w:eastAsia="Arial" w:cs="Arial"/>
          <w:sz w:val="16"/>
        </w:rPr>
      </w:pPr>
      <w:r>
        <w:rPr>
          <w:rFonts w:eastAsia="Arial" w:cs="Arial" w:ascii="Arial" w:hAnsi="Arial"/>
          <w:sz w:val="16"/>
        </w:rPr>
        <w:t>70 Lotz v. Herriman, 120 A. D., 477.</w:t>
      </w:r>
    </w:p>
    <w:p>
      <w:pPr>
        <w:pStyle w:val="Normal"/>
        <w:spacing w:lineRule="exact" w:line="2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8"/>
        <w:ind w:firstLine="324" w:left="20" w:right="74"/>
        <w:rPr/>
      </w:pPr>
      <w:r>
        <w:rPr>
          <w:rFonts w:eastAsia="Arial" w:cs="Arial" w:ascii="Arial" w:hAnsi="Arial"/>
          <w:sz w:val="16"/>
        </w:rPr>
        <w:t xml:space="preserve">71 Rae Co. v. Kane, 121 A. D., 494; Shapiro v. Shapiro, 117 A. D., 817 </w:t>
      </w:r>
      <w:r>
        <w:rPr>
          <w:rFonts w:eastAsia="Arial" w:cs="Arial" w:ascii="Arial" w:hAnsi="Arial"/>
          <w:sz w:val="15"/>
        </w:rPr>
        <w:t>producing another broker who in turn produces a customer is not suf-</w:t>
      </w:r>
      <w:r>
        <w:rPr>
          <w:rFonts w:eastAsia="Arial" w:cs="Arial" w:ascii="Arial" w:hAnsi="Arial"/>
          <w:sz w:val="16"/>
        </w:rPr>
        <w:t>ficient); Halterman v. Leining, 45 Misc., 397; see generally cases cited in</w:t>
      </w:r>
    </w:p>
    <w:p>
      <w:pPr>
        <w:pStyle w:val="Normal"/>
        <w:spacing w:lineRule="atLeast" w:line="0"/>
        <w:rPr>
          <w:rFonts w:ascii="Arial" w:hAnsi="Arial" w:eastAsia="Arial" w:cs="Arial"/>
          <w:sz w:val="13"/>
        </w:rPr>
      </w:pPr>
      <w:r>
        <w:rPr>
          <w:rFonts w:eastAsia="Arial" w:cs="Arial" w:ascii="Arial" w:hAnsi="Arial"/>
          <w:sz w:val="13"/>
        </w:rPr>
        <w:t>notes 68 to 72.</w:t>
      </w:r>
    </w:p>
    <w:p>
      <w:pPr>
        <w:pStyle w:val="Normal"/>
        <w:spacing w:lineRule="exact" w:line="63"/>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left="340" w:right="0"/>
        <w:rPr>
          <w:rFonts w:ascii="Arial" w:hAnsi="Arial" w:eastAsia="Arial" w:cs="Arial"/>
          <w:sz w:val="15"/>
        </w:rPr>
      </w:pPr>
      <w:r>
        <w:rPr>
          <w:rFonts w:eastAsia="Arial" w:cs="Arial" w:ascii="Arial" w:hAnsi="Arial"/>
          <w:sz w:val="15"/>
        </w:rPr>
        <w:t>72 Marks v. Elliot, 90 N. Y. Supp., 331.</w:t>
      </w:r>
    </w:p>
    <w:p>
      <w:pPr>
        <w:pStyle w:val="Normal"/>
        <w:spacing w:lineRule="exact" w:line="4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left="340" w:right="0"/>
        <w:rPr>
          <w:rFonts w:ascii="Arial" w:hAnsi="Arial" w:eastAsia="Arial" w:cs="Arial"/>
          <w:sz w:val="15"/>
        </w:rPr>
      </w:pPr>
      <w:r>
        <w:rPr>
          <w:rFonts w:eastAsia="Arial" w:cs="Arial" w:ascii="Arial" w:hAnsi="Arial"/>
          <w:sz w:val="15"/>
        </w:rPr>
        <w:t>73 Getzelsohn v. Donelly, 50 Misc., 164; Moore v. Boehm, 45 Misc., 622.</w:t>
      </w:r>
    </w:p>
    <w:p>
      <w:pPr>
        <w:sectPr>
          <w:type w:val="nextPage"/>
          <w:pgSz w:w="7700" w:h="12869"/>
          <w:pgMar w:left="1020" w:right="0" w:gutter="0" w:header="0" w:top="96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034"/>
        <w:jc w:val="center"/>
        <w:rPr>
          <w:rFonts w:ascii="Times New Roman" w:hAnsi="Times New Roman" w:eastAsia="Times New Roman" w:cs="Times New Roman"/>
          <w:sz w:val="16"/>
        </w:rPr>
      </w:pPr>
      <w:r>
        <w:rPr>
          <w:rFonts w:eastAsia="Times New Roman" w:cs="Times New Roman" w:ascii="Times New Roman" w:hAnsi="Times New Roman"/>
          <w:sz w:val="16"/>
        </w:rPr>
        <w:t>This content downloaded from 111.93.31.52 on Mon, 05 Aug 2019 11:02:45 UTC</w:t>
      </w:r>
    </w:p>
    <w:p>
      <w:pPr>
        <w:pStyle w:val="Normal"/>
        <w:spacing w:lineRule="auto" w:line="206"/>
        <w:ind w:right="1034"/>
        <w:jc w:val="center"/>
        <w:rPr>
          <w:rFonts w:ascii="Times New Roman" w:hAnsi="Times New Roman" w:eastAsia="Times New Roman" w:cs="Times New Roman"/>
          <w:sz w:val="16"/>
        </w:rPr>
      </w:pPr>
      <w:r>
        <w:rPr>
          <w:rFonts w:eastAsia="Times New Roman" w:cs="Times New Roman" w:ascii="Times New Roman" w:hAnsi="Times New Roman"/>
          <w:sz w:val="16"/>
        </w:rPr>
        <w:t>All use subject to https://about.jstor.org/terms</w:t>
      </w:r>
    </w:p>
    <w:sectPr>
      <w:type w:val="continuous"/>
      <w:pgSz w:w="7700" w:h="12869"/>
      <w:pgMar w:left="1020" w:right="0" w:gutter="0" w:header="0" w:top="969"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0" w:hanging="0"/>
      </w:pPr>
    </w:lvl>
  </w:abstractNum>
  <w:abstractNum w:abstractNumId="2">
    <w:lvl w:ilvl="0">
      <w:start w:val="124"/>
      <w:numFmt w:val="decimal"/>
      <w:lvlText w:val="%1."/>
      <w:lvlJc w:val="left"/>
      <w:pPr>
        <w:tabs>
          <w:tab w:val="num" w:pos="0"/>
        </w:tabs>
        <w:ind w:left="0" w:hanging="0"/>
      </w:pPr>
    </w:lvl>
  </w:abstractNum>
  <w:abstractNum w:abstractNumId="3">
    <w:lvl w:ilvl="0">
      <w:start w:val="1"/>
      <w:numFmt w:val="decimal"/>
      <w:lvlText w:val="(%1)"/>
      <w:lvlJc w:val="left"/>
      <w:pPr>
        <w:tabs>
          <w:tab w:val="num" w:pos="0"/>
        </w:tabs>
        <w:ind w:left="0" w:hanging="0"/>
      </w:pPr>
    </w:lvl>
  </w:abstractNum>
  <w:abstractNum w:abstractNumId="4">
    <w:lvl w:ilvl="0">
      <w:start w:val="1"/>
      <w:numFmt w:val="decimal"/>
      <w:lvlText w:val="%1"/>
      <w:lvlJc w:val="left"/>
      <w:pPr>
        <w:tabs>
          <w:tab w:val="num" w:pos="0"/>
        </w:tabs>
        <w:ind w:left="0" w:hanging="0"/>
      </w:pPr>
    </w:lvl>
    <w:lvl w:ilvl="1">
      <w:start w:val="2"/>
      <w:numFmt w:val="decimal"/>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5">
    <w:lvl w:ilvl="0">
      <w:start w:val="3"/>
      <w:numFmt w:val="decimal"/>
      <w:lvlText w:val="(%1)"/>
      <w:lvlJc w:val="left"/>
      <w:pPr>
        <w:tabs>
          <w:tab w:val="num" w:pos="0"/>
        </w:tabs>
        <w:ind w:left="0" w:hanging="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